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Sack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 ATLANTIC REAL ESTATE FINANCE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1680 MICHIGAN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Real Estate Finance, Inc.</w:t>
              </w:r>
            </w:hyperlink>
            <w:r>
              <w:rPr/>
              <w:t xml:space="preserve"> [ </w:t>
            </w:r>
            <w:r>
              <w:rPr>
                <w:rFonts w:ascii="Times;serif" w:hAnsi="Times;serif"/>
                <w:color w:val="0000FF"/>
                <w:sz w:val="24"/>
                <w:shd w:fill="FFFFFF" w:val="clear"/>
              </w:rPr>
              <w:t>REFI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10.43</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119,856</w:t>
            </w:r>
            <w:r>
              <w:rPr>
                <w:rFonts w:ascii="Times;serif" w:hAnsi="Times;serif"/>
                <w:color w:val="008000"/>
                <w:position w:val="7"/>
                <w:sz w:val="16"/>
                <w:sz w:val="20"/>
                <w:shd w:fill="FFFFFF" w:val="clear"/>
              </w:rPr>
              <w:t>(1)</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10.53</w:t>
            </w:r>
          </w:p>
        </w:tc>
        <w:tc>
          <w:tcPr>
            <w:tcW w:w="11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121,356</w:t>
            </w:r>
            <w:r>
              <w:rPr>
                <w:rFonts w:ascii="Times;serif" w:hAnsi="Times;serif"/>
                <w:color w:val="008000"/>
                <w:position w:val="7"/>
                <w:sz w:val="16"/>
                <w:sz w:val="20"/>
                <w:shd w:fill="FFFFFF" w:val="clear"/>
              </w:rPr>
              <w:t>(1)</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10.39</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123,356</w:t>
            </w:r>
            <w:r>
              <w:rPr>
                <w:rFonts w:ascii="Times;serif" w:hAnsi="Times;serif"/>
                <w:color w:val="008000"/>
                <w:position w:val="7"/>
                <w:sz w:val="16"/>
                <w:sz w:val="20"/>
                <w:shd w:fill="FFFFFF" w:val="clear"/>
              </w:rPr>
              <w:t>(1)</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20, 2026, Mr. Sack was awarded 37,099 restricted shares of common stock under the Chicago Atlantic Real Estate Finance, Inc. 2021 Omnibus Incentive Plan. Pursuant to the terms of the award agreement, the 37,099 restricted shares of common stock will vest over a three-year period, with one-third of the restricted stock vesting after 12 months, 24 months and 36 months,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Sack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415" TargetMode="External"/><Relationship Id="rId5" Type="http://schemas.openxmlformats.org/officeDocument/2006/relationships/hyperlink" Target="http://www.sec.gov/cgi-bin/browse-edgar?action=getcompany&amp;CIK=00018679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3539</Characters>
  <CharactersWithSpaces>4109</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