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001-41123</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REAL ESTATE FINANCE, INC.</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500" w:type="dxa"/>
            <w:vAlign w:val="bottom"/>
          </w:tcPr>
          <w:p>
            <w:pPr>
              <w:spacing w:after="0"/>
              <w:rPr>
                <w:sz w:val="18"/>
                <w:szCs w:val="18"/>
                <w:color w:val="auto"/>
              </w:rPr>
            </w:pPr>
          </w:p>
        </w:tc>
      </w:tr>
      <w:tr>
        <w:trPr>
          <w:trHeight w:val="332"/>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39"/>
        </w:trPr>
        <w:tc>
          <w:tcPr>
            <w:tcW w:w="3920" w:type="dxa"/>
            <w:vAlign w:val="bottom"/>
            <w:gridSpan w:val="3"/>
          </w:tcPr>
          <w:p>
            <w:pPr>
              <w:ind w:left="1900"/>
              <w:spacing w:after="0" w:line="13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5"/>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1680 Michigan Avenue, Suite 700</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3"/>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right"/>
              <w:ind w:right="2460"/>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(Zip Code)</w:t>
            </w:r>
          </w:p>
        </w:tc>
      </w:tr>
      <w:tr>
        <w:trPr>
          <w:trHeight w:val="305"/>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809-7002</w:t>
            </w:r>
          </w:p>
        </w:tc>
      </w:tr>
      <w:tr>
        <w:trPr>
          <w:trHeight w:val="263"/>
        </w:trPr>
        <w:tc>
          <w:tcPr>
            <w:tcW w:w="7740" w:type="dxa"/>
            <w:vAlign w:val="bottom"/>
            <w:gridSpan w:val="8"/>
          </w:tcPr>
          <w:p>
            <w:pPr>
              <w:ind w:left="35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2"/>
                <w:szCs w:val="22"/>
                <w:color w:val="auto"/>
              </w:rPr>
            </w:pPr>
          </w:p>
        </w:tc>
      </w:tr>
      <w:tr>
        <w:trPr>
          <w:trHeight w:val="35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9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2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REFI</w:t>
            </w:r>
          </w:p>
        </w:tc>
        <w:tc>
          <w:tcPr>
            <w:tcW w:w="35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0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November 1, 2024</w:t>
            </w:r>
          </w:p>
        </w:tc>
      </w:tr>
      <w:tr>
        <w:trPr>
          <w:trHeight w:val="243"/>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19,634,482</w:t>
            </w:r>
          </w:p>
        </w:tc>
      </w:tr>
      <w:tr>
        <w:trPr>
          <w:trHeight w:val="135"/>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81"/>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0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212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spacing w:after="0"/>
              <w:rPr>
                <w:sz w:val="16"/>
                <w:szCs w:val="16"/>
                <w:color w:val="auto"/>
              </w:rPr>
            </w:pP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spacing w:after="0"/>
              <w:rPr>
                <w:sz w:val="16"/>
                <w:szCs w:val="16"/>
                <w:color w:val="auto"/>
              </w:rPr>
            </w:pP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spacing w:after="0"/>
              <w:rPr>
                <w:sz w:val="16"/>
                <w:szCs w:val="16"/>
                <w:color w:val="auto"/>
              </w:rPr>
            </w:pP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EE"/>
              <w:right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spacing w:after="0"/>
              <w:rPr>
                <w:sz w:val="16"/>
                <w:szCs w:val="16"/>
                <w:color w:val="auto"/>
              </w:rPr>
            </w:pP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spacing w:after="0"/>
              <w:rPr>
                <w:sz w:val="16"/>
                <w:szCs w:val="16"/>
                <w:color w:val="auto"/>
              </w:rPr>
            </w:pP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25</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w:t>
            </w: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11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89"/>
        </w:trPr>
        <w:tc>
          <w:tcPr>
            <w:tcW w:w="110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shd w:val="clear" w:color="auto" w:fill="CCEEFF"/>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34"/>
        </w:trPr>
        <w:tc>
          <w:tcPr>
            <w:tcW w:w="110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0000FF"/>
              <w:right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tcPr>
          <w:p>
            <w:pPr>
              <w:jc w:val="center"/>
              <w:ind w:left="1130"/>
              <w:spacing w:after="0" w:line="189"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80" w:type="dxa"/>
            <w:vAlign w:val="bottom"/>
          </w:tcPr>
          <w:p>
            <w:pPr>
              <w:spacing w:after="0"/>
              <w:rPr>
                <w:sz w:val="21"/>
                <w:szCs w:val="21"/>
                <w:color w:val="auto"/>
              </w:rPr>
            </w:pPr>
          </w:p>
        </w:tc>
        <w:tc>
          <w:tcPr>
            <w:tcW w:w="1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41"/>
        </w:trPr>
        <w:tc>
          <w:tcPr>
            <w:tcW w:w="75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338,270,022</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337,238,122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held for investment - related party (Note 8)</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354,672,510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(4,090,950 )</w:t>
            </w:r>
          </w:p>
        </w:tc>
        <w:tc>
          <w:tcPr>
            <w:tcW w:w="4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(4,972,647 )</w:t>
            </w:r>
          </w:p>
        </w:tc>
        <w:tc>
          <w:tcPr>
            <w:tcW w:w="0" w:type="dxa"/>
            <w:vAlign w:val="bottom"/>
          </w:tcPr>
          <w:p>
            <w:pPr>
              <w:spacing w:after="0"/>
              <w:rPr>
                <w:sz w:val="1"/>
                <w:szCs w:val="1"/>
                <w:color w:val="auto"/>
              </w:rPr>
            </w:pPr>
          </w:p>
        </w:tc>
      </w:tr>
      <w:tr>
        <w:trPr>
          <w:trHeight w:val="237"/>
        </w:trPr>
        <w:tc>
          <w:tcPr>
            <w:tcW w:w="75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350,581,560</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348,667,963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held for sale - related party, at fair value (Note 8)</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6,760,433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614,762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484,361</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1,471,621</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365,912,737</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Revolving loan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54,000,000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9,267,714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Related party payables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1,570,544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1,357,718</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reserve</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2,580,887</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70,445,979</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87,372,206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100,000,000 shares authorized and</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19,634,482 and 18,197,192 shares issued and outstanding, respectively</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196,345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299,721,916</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277,483,092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(4,451,503 )</w:t>
            </w:r>
          </w:p>
        </w:tc>
        <w:tc>
          <w:tcPr>
            <w:tcW w:w="4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(5,811,673 )</w:t>
            </w:r>
          </w:p>
        </w:tc>
        <w:tc>
          <w:tcPr>
            <w:tcW w:w="0" w:type="dxa"/>
            <w:vAlign w:val="bottom"/>
          </w:tcPr>
          <w:p>
            <w:pPr>
              <w:spacing w:after="0"/>
              <w:rPr>
                <w:sz w:val="1"/>
                <w:szCs w:val="1"/>
                <w:color w:val="auto"/>
              </w:rPr>
            </w:pPr>
          </w:p>
        </w:tc>
      </w:tr>
      <w:tr>
        <w:trPr>
          <w:trHeight w:val="239"/>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295,466,758</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271,853,391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365,912,737</w:t>
            </w:r>
          </w:p>
        </w:tc>
        <w:tc>
          <w:tcPr>
            <w:tcW w:w="280" w:type="dxa"/>
            <w:vAlign w:val="bottom"/>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359,225,597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-5614670</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-5614670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-5297170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-5297170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-4045585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-4028440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-2622550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-1388110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6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w:t>
            </w: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4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39"/>
        </w:trPr>
        <w:tc>
          <w:tcPr>
            <w:tcW w:w="18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16,258,744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15,183,450</w:t>
            </w:r>
          </w:p>
        </w:tc>
        <w:tc>
          <w:tcPr>
            <w:tcW w:w="2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46,624,842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46,369,976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(1,799,351 )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(1,449,143 )</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(5,742,333 )</w:t>
            </w: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(4,062,365 )</w:t>
            </w:r>
          </w:p>
        </w:tc>
        <w:tc>
          <w:tcPr>
            <w:tcW w:w="160" w:type="dxa"/>
            <w:vAlign w:val="bottom"/>
          </w:tcPr>
          <w:p>
            <w:pPr>
              <w:spacing w:after="0"/>
              <w:rPr>
                <w:sz w:val="21"/>
                <w:szCs w:val="21"/>
                <w:color w:val="auto"/>
              </w:rPr>
            </w:pPr>
          </w:p>
        </w:tc>
      </w:tr>
      <w:tr>
        <w:trPr>
          <w:trHeight w:val="238"/>
        </w:trPr>
        <w:tc>
          <w:tcPr>
            <w:tcW w:w="180" w:type="dxa"/>
            <w:vAlign w:val="bottom"/>
          </w:tcPr>
          <w:p>
            <w:pPr>
              <w:spacing w:after="0"/>
              <w:rPr>
                <w:sz w:val="20"/>
                <w:szCs w:val="20"/>
                <w:color w:val="auto"/>
              </w:rPr>
            </w:pPr>
          </w:p>
        </w:tc>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7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14,459,393</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13,734,307</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40,882,509</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42,307,611</w:t>
            </w:r>
          </w:p>
        </w:tc>
        <w:tc>
          <w:tcPr>
            <w:tcW w:w="120" w:type="dxa"/>
            <w:vAlign w:val="bottom"/>
            <w:tcBorders>
              <w:top w:val="single" w:sz="8" w:color="CFF0FC"/>
            </w:tcBorders>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80" w:type="dxa"/>
            <w:vAlign w:val="bottom"/>
          </w:tcPr>
          <w:p>
            <w:pPr>
              <w:spacing w:after="0"/>
              <w:rPr>
                <w:sz w:val="20"/>
                <w:szCs w:val="20"/>
                <w:color w:val="auto"/>
              </w:rPr>
            </w:pPr>
          </w:p>
        </w:tc>
        <w:tc>
          <w:tcPr>
            <w:tcW w:w="5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r>
      <w:tr>
        <w:trPr>
          <w:trHeight w:val="241"/>
        </w:trPr>
        <w:tc>
          <w:tcPr>
            <w:tcW w:w="1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5"/>
        </w:trPr>
        <w:tc>
          <w:tcPr>
            <w:tcW w:w="180" w:type="dxa"/>
            <w:vAlign w:val="bottom"/>
          </w:tcPr>
          <w:p>
            <w:pPr>
              <w:spacing w:after="0"/>
              <w:rPr>
                <w:sz w:val="21"/>
                <w:szCs w:val="21"/>
                <w:color w:val="auto"/>
              </w:rPr>
            </w:pPr>
          </w:p>
        </w:tc>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1,601,387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5,198,738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5,539,059</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39"/>
        </w:trPr>
        <w:tc>
          <w:tcPr>
            <w:tcW w:w="18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3,898,864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3,833,733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180" w:type="dxa"/>
            <w:vAlign w:val="bottom"/>
          </w:tcPr>
          <w:p>
            <w:pPr>
              <w:spacing w:after="0"/>
              <w:rPr>
                <w:sz w:val="21"/>
                <w:szCs w:val="21"/>
                <w:color w:val="auto"/>
              </w:rPr>
            </w:pPr>
          </w:p>
        </w:tc>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468,652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491,107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1,327,659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1,598,376</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39"/>
        </w:trPr>
        <w:tc>
          <w:tcPr>
            <w:tcW w:w="18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180" w:type="dxa"/>
            <w:vAlign w:val="bottom"/>
          </w:tcPr>
          <w:p>
            <w:pPr>
              <w:spacing w:after="0"/>
              <w:rPr>
                <w:sz w:val="21"/>
                <w:szCs w:val="21"/>
                <w:color w:val="auto"/>
              </w:rPr>
            </w:pPr>
          </w:p>
        </w:tc>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increase in provision for current expected credit losses</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(989,597 )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(41,351 )</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(884,789 )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1,193,880</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180" w:type="dxa"/>
            <w:vAlign w:val="bottom"/>
          </w:tcPr>
          <w:p>
            <w:pPr>
              <w:spacing w:after="0"/>
              <w:rPr>
                <w:sz w:val="20"/>
                <w:szCs w:val="20"/>
                <w:color w:val="auto"/>
              </w:rPr>
            </w:pPr>
          </w:p>
        </w:tc>
        <w:tc>
          <w:tcPr>
            <w:tcW w:w="5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7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3,247,757</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3,842,876</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11,753,622</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13,107,653</w:t>
            </w:r>
          </w:p>
        </w:tc>
        <w:tc>
          <w:tcPr>
            <w:tcW w:w="120" w:type="dxa"/>
            <w:vAlign w:val="bottom"/>
            <w:tcBorders>
              <w:top w:val="single" w:sz="8" w:color="CFF0FC"/>
            </w:tcBorders>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80" w:type="dxa"/>
            <w:vAlign w:val="bottom"/>
          </w:tcPr>
          <w:p>
            <w:pPr>
              <w:spacing w:after="0"/>
              <w:rPr>
                <w:sz w:val="20"/>
                <w:szCs w:val="20"/>
                <w:color w:val="auto"/>
              </w:rPr>
            </w:pPr>
          </w:p>
        </w:tc>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85,567</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(75,604 )</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112,767</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8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1"/>
        </w:trPr>
        <w:tc>
          <w:tcPr>
            <w:tcW w:w="180" w:type="dxa"/>
            <w:vAlign w:val="bottom"/>
          </w:tcPr>
          <w:p>
            <w:pPr>
              <w:spacing w:after="0"/>
              <w:rPr>
                <w:sz w:val="20"/>
                <w:szCs w:val="20"/>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9,976,998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29,312,725</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8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9"/>
        </w:trPr>
        <w:tc>
          <w:tcPr>
            <w:tcW w:w="180" w:type="dxa"/>
            <w:vAlign w:val="bottom"/>
          </w:tcPr>
          <w:p>
            <w:pPr>
              <w:spacing w:after="0"/>
              <w:rPr>
                <w:sz w:val="24"/>
                <w:szCs w:val="24"/>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9,976,998</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2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29,312,725</w:t>
            </w:r>
          </w:p>
        </w:tc>
        <w:tc>
          <w:tcPr>
            <w:tcW w:w="120" w:type="dxa"/>
            <w:vAlign w:val="bottom"/>
            <w:shd w:val="clear" w:color="auto" w:fill="CFF0FC"/>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180" w:type="dxa"/>
            <w:vAlign w:val="bottom"/>
          </w:tcPr>
          <w:p>
            <w:pPr>
              <w:spacing w:after="0"/>
              <w:rPr>
                <w:sz w:val="19"/>
                <w:szCs w:val="19"/>
                <w:color w:val="auto"/>
              </w:rPr>
            </w:pPr>
          </w:p>
        </w:tc>
        <w:tc>
          <w:tcPr>
            <w:tcW w:w="5160" w:type="dxa"/>
            <w:vAlign w:val="bottom"/>
            <w:tcBorders>
              <w:top w:val="single" w:sz="8" w:color="CFF0FC"/>
            </w:tcBorders>
          </w:tcPr>
          <w:p>
            <w:pPr>
              <w:spacing w:after="0"/>
              <w:rPr>
                <w:sz w:val="19"/>
                <w:szCs w:val="19"/>
                <w:color w:val="auto"/>
              </w:rPr>
            </w:pPr>
          </w:p>
        </w:tc>
        <w:tc>
          <w:tcPr>
            <w:tcW w:w="7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80" w:type="dxa"/>
            <w:vAlign w:val="bottom"/>
          </w:tcPr>
          <w:p>
            <w:pPr>
              <w:spacing w:after="0"/>
              <w:rPr>
                <w:sz w:val="21"/>
                <w:szCs w:val="21"/>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39"/>
        </w:trPr>
        <w:tc>
          <w:tcPr>
            <w:tcW w:w="18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180" w:type="dxa"/>
            <w:vAlign w:val="bottom"/>
          </w:tcPr>
          <w:p>
            <w:pPr>
              <w:spacing w:after="0"/>
              <w:rPr>
                <w:sz w:val="21"/>
                <w:szCs w:val="21"/>
                <w:color w:val="auto"/>
              </w:rPr>
            </w:pPr>
          </w:p>
        </w:tc>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39"/>
        </w:trPr>
        <w:tc>
          <w:tcPr>
            <w:tcW w:w="1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19,625,190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18,175,467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19,094,462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18,052,293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180" w:type="dxa"/>
            <w:vAlign w:val="bottom"/>
          </w:tcPr>
          <w:p>
            <w:pPr>
              <w:spacing w:after="0"/>
              <w:rPr>
                <w:sz w:val="21"/>
                <w:szCs w:val="21"/>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20,058,417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18,562,930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19,531,691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18,269,171</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864"/>
        </w:trPr>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1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-4516755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-4516755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-4516755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-4516755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-3265170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-3265170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-3265170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-3265170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-2305050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-2287905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-2305050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-2287905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-2305050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-2287905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-2305050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-2287905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520" w:type="dxa"/>
            <w:vAlign w:val="bottom"/>
            <w:gridSpan w:val="1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4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40" w:type="dxa"/>
            <w:vAlign w:val="bottom"/>
            <w:gridSpan w:val="4"/>
            <w:vMerge w:val="continue"/>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2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1, 2024</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19,624,458</w:t>
            </w:r>
          </w:p>
        </w:tc>
        <w:tc>
          <w:tcPr>
            <w:tcW w:w="1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196,245</w:t>
            </w:r>
          </w:p>
        </w:tc>
        <w:tc>
          <w:tcPr>
            <w:tcW w:w="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298,922,624</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(6,393,964 )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292,724,905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2,700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(46,159 )</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(46,132 )</w:t>
            </w: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7,324</w:t>
            </w:r>
          </w:p>
        </w:tc>
        <w:tc>
          <w:tcPr>
            <w:tcW w:w="1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845,451</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845,524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(9,269,175 )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(9,269,175 )</w:t>
            </w: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Borders>
              <w:bottom w:val="single" w:sz="8" w:color="CFF0FC"/>
            </w:tcBorders>
            <w:gridSpan w:val="2"/>
            <w:shd w:val="clear" w:color="auto" w:fill="CFF0FC"/>
          </w:tcPr>
          <w:p>
            <w:pPr>
              <w:spacing w:after="0"/>
              <w:rPr>
                <w:sz w:val="15"/>
                <w:szCs w:val="15"/>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right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left w:val="single" w:sz="8" w:color="CFF0FC"/>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11,211,636</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11,211,636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600" w:type="dxa"/>
            <w:vAlign w:val="bottom"/>
            <w:gridSpan w:val="2"/>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19,634,482</w:t>
            </w:r>
          </w:p>
        </w:tc>
        <w:tc>
          <w:tcPr>
            <w:tcW w:w="240" w:type="dxa"/>
            <w:vAlign w:val="bottom"/>
            <w:gridSpan w:val="2"/>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196,345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299,721,916</w:t>
            </w:r>
          </w:p>
        </w:tc>
        <w:tc>
          <w:tcPr>
            <w:tcW w:w="200" w:type="dxa"/>
            <w:vAlign w:val="bottom"/>
          </w:tcPr>
          <w:p>
            <w:pPr>
              <w:spacing w:after="0"/>
              <w:rPr>
                <w:sz w:val="14"/>
                <w:szCs w:val="14"/>
                <w:color w:val="auto"/>
              </w:rPr>
            </w:pPr>
          </w:p>
        </w:tc>
        <w:tc>
          <w:tcPr>
            <w:tcW w:w="140" w:type="dxa"/>
            <w:vAlign w:val="bottom"/>
          </w:tcPr>
          <w:p>
            <w:pPr>
              <w:jc w:val="right"/>
              <w:ind w:right="51"/>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(4,451,503 )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295,466,758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740" w:type="dxa"/>
            <w:vAlign w:val="bottom"/>
          </w:tcPr>
          <w:p>
            <w:pPr>
              <w:spacing w:after="0"/>
              <w:rPr>
                <w:sz w:val="24"/>
                <w:szCs w:val="24"/>
                <w:color w:val="auto"/>
              </w:rPr>
            </w:pPr>
          </w:p>
        </w:tc>
        <w:tc>
          <w:tcPr>
            <w:tcW w:w="3520" w:type="dxa"/>
            <w:vAlign w:val="bottom"/>
            <w:gridSpan w:val="1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1, 2023</w:t>
            </w:r>
          </w:p>
        </w:tc>
        <w:tc>
          <w:tcPr>
            <w:tcW w:w="16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18,101,778</w:t>
            </w:r>
          </w:p>
        </w:tc>
        <w:tc>
          <w:tcPr>
            <w:tcW w:w="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181,754</w:t>
            </w:r>
          </w:p>
        </w:tc>
        <w:tc>
          <w:tcPr>
            <w:tcW w:w="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276,405,754</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(2,897,634 )</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273,689,874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6,848</w:t>
            </w:r>
          </w:p>
        </w:tc>
        <w:tc>
          <w:tcPr>
            <w:tcW w:w="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540,357</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540,426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(8,421,905 )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(8,421,905 )</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Borders>
              <w:bottom w:val="single" w:sz="8" w:color="CFF0FC"/>
              <w:right w:val="single" w:sz="8" w:color="CFF0FC"/>
            </w:tcBorders>
            <w:shd w:val="clear" w:color="auto" w:fill="CFF0FC"/>
          </w:tcPr>
          <w:p>
            <w:pPr>
              <w:spacing w:after="0"/>
              <w:rPr>
                <w:sz w:val="15"/>
                <w:szCs w:val="15"/>
                <w:color w:val="auto"/>
              </w:rPr>
            </w:pPr>
          </w:p>
        </w:tc>
        <w:tc>
          <w:tcPr>
            <w:tcW w:w="118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left w:val="single" w:sz="8" w:color="CFF0FC"/>
              <w:bottom w:val="single" w:sz="8" w:color="CFF0FC"/>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auto"/>
            </w:tcBorders>
            <w:shd w:val="clear" w:color="auto" w:fill="CFF0FC"/>
          </w:tcPr>
          <w:p>
            <w:pPr>
              <w:spacing w:after="0"/>
              <w:rPr>
                <w:sz w:val="15"/>
                <w:szCs w:val="15"/>
                <w:color w:val="auto"/>
              </w:rPr>
            </w:pPr>
          </w:p>
        </w:tc>
        <w:tc>
          <w:tcPr>
            <w:tcW w:w="11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9,976,998</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9,976,998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4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18,108,626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181,823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276,946,111</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(1,342,541 )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275,785,393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3740" w:type="dxa"/>
            <w:vAlign w:val="bottom"/>
          </w:tcPr>
          <w:p>
            <w:pPr>
              <w:spacing w:after="0"/>
              <w:rPr>
                <w:sz w:val="24"/>
                <w:szCs w:val="24"/>
                <w:color w:val="auto"/>
              </w:rPr>
            </w:pPr>
          </w:p>
        </w:tc>
        <w:tc>
          <w:tcPr>
            <w:tcW w:w="3520" w:type="dxa"/>
            <w:vAlign w:val="bottom"/>
            <w:gridSpan w:val="1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18,197,192</w:t>
            </w:r>
          </w:p>
        </w:tc>
        <w:tc>
          <w:tcPr>
            <w:tcW w:w="1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181,972</w:t>
            </w:r>
          </w:p>
        </w:tc>
        <w:tc>
          <w:tcPr>
            <w:tcW w:w="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277,483,092</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(5,811,673 )</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271,853,391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1,309,503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20,026,952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20,040,214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7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127,787</w:t>
            </w:r>
          </w:p>
        </w:tc>
        <w:tc>
          <w:tcPr>
            <w:tcW w:w="1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2,211,872</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2,213,150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 on common shares ($1.41 per share)</w:t>
            </w: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(27,765,708 )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(27,765,708 )</w:t>
            </w:r>
          </w:p>
        </w:tc>
        <w:tc>
          <w:tcPr>
            <w:tcW w:w="0" w:type="dxa"/>
            <w:vAlign w:val="bottom"/>
          </w:tcPr>
          <w:p>
            <w:pPr>
              <w:spacing w:after="0"/>
              <w:rPr>
                <w:sz w:val="1"/>
                <w:szCs w:val="1"/>
                <w:color w:val="auto"/>
              </w:rPr>
            </w:pPr>
          </w:p>
        </w:tc>
      </w:tr>
      <w:tr>
        <w:trPr>
          <w:trHeight w:val="176"/>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Borders>
              <w:bottom w:val="single" w:sz="8" w:color="CFF0FC"/>
              <w:right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right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left w:val="single" w:sz="8" w:color="CFF0FC"/>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auto"/>
            </w:tcBorders>
            <w:shd w:val="clear" w:color="auto" w:fill="CFF0FC"/>
          </w:tcPr>
          <w:p>
            <w:pPr>
              <w:spacing w:after="0"/>
              <w:rPr>
                <w:sz w:val="15"/>
                <w:szCs w:val="15"/>
                <w:color w:val="auto"/>
              </w:rPr>
            </w:pPr>
          </w:p>
        </w:tc>
        <w:tc>
          <w:tcPr>
            <w:tcW w:w="110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29,125,711</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29,125,711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460" w:type="dxa"/>
            <w:vAlign w:val="bottom"/>
          </w:tcPr>
          <w:p>
            <w:pPr>
              <w:spacing w:after="0"/>
              <w:rPr>
                <w:sz w:val="14"/>
                <w:szCs w:val="14"/>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19,634,482</w:t>
            </w:r>
          </w:p>
        </w:tc>
        <w:tc>
          <w:tcPr>
            <w:tcW w:w="240" w:type="dxa"/>
            <w:vAlign w:val="bottom"/>
            <w:gridSpan w:val="2"/>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196,345</w:t>
            </w: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299,721,916</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(4,451,503 )</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295,466,758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740" w:type="dxa"/>
            <w:vAlign w:val="bottom"/>
          </w:tcPr>
          <w:p>
            <w:pPr>
              <w:spacing w:after="0"/>
              <w:rPr>
                <w:sz w:val="24"/>
                <w:szCs w:val="24"/>
                <w:color w:val="auto"/>
              </w:rPr>
            </w:pPr>
          </w:p>
        </w:tc>
        <w:tc>
          <w:tcPr>
            <w:tcW w:w="3520" w:type="dxa"/>
            <w:vAlign w:val="bottom"/>
            <w:gridSpan w:val="1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6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17,685,952</w:t>
            </w:r>
          </w:p>
        </w:tc>
        <w:tc>
          <w:tcPr>
            <w:tcW w:w="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176,859</w:t>
            </w:r>
          </w:p>
        </w:tc>
        <w:tc>
          <w:tcPr>
            <w:tcW w:w="80" w:type="dxa"/>
            <w:vAlign w:val="bottom"/>
            <w:shd w:val="clear" w:color="auto" w:fill="CFF0FC"/>
          </w:tcPr>
          <w:p>
            <w:pPr>
              <w:spacing w:after="0"/>
              <w:rPr>
                <w:sz w:val="15"/>
                <w:szCs w:val="15"/>
                <w:color w:val="auto"/>
              </w:rPr>
            </w:pPr>
          </w:p>
        </w:tc>
        <w:tc>
          <w:tcPr>
            <w:tcW w:w="260" w:type="dxa"/>
            <w:vAlign w:val="bottom"/>
            <w:tcBorders>
              <w:left w:val="single" w:sz="8" w:color="CFF0FC"/>
            </w:tcBorders>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268,995,848</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(5,139,684 )</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264,033,023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79,862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1,221,553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1,222,352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4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with initial public offering and</w:t>
            </w:r>
          </w:p>
        </w:tc>
        <w:tc>
          <w:tcPr>
            <w:tcW w:w="4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concurrent private placement, net of</w:t>
            </w:r>
          </w:p>
        </w:tc>
        <w:tc>
          <w:tcPr>
            <w:tcW w:w="4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offering costs, underwriting discounts</w:t>
            </w:r>
          </w:p>
        </w:tc>
        <w:tc>
          <w:tcPr>
            <w:tcW w:w="1640" w:type="dxa"/>
            <w:vAlign w:val="bottom"/>
            <w:tcBorders>
              <w:right w:val="single" w:sz="8" w:color="CFF0FC"/>
            </w:tcBorders>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395,779</w:t>
            </w:r>
          </w:p>
        </w:tc>
        <w:tc>
          <w:tcPr>
            <w:tcW w:w="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tcBorders>
              <w:right w:val="single" w:sz="8" w:color="CFF0FC"/>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3,958</w:t>
            </w:r>
          </w:p>
        </w:tc>
        <w:tc>
          <w:tcPr>
            <w:tcW w:w="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right w:val="single" w:sz="8" w:color="CFF0FC"/>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5,790,889</w:t>
            </w: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1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5,794,847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and commissions</w:t>
            </w:r>
          </w:p>
        </w:tc>
        <w:tc>
          <w:tcPr>
            <w:tcW w:w="1640" w:type="dxa"/>
            <w:vAlign w:val="bottom"/>
            <w:tcBorders>
              <w:right w:val="single" w:sz="8" w:color="CFF0FC"/>
            </w:tcBorders>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tcBorders>
              <w:right w:val="single" w:sz="8" w:color="CFF0FC"/>
            </w:tcBorders>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tcBorders>
              <w:right w:val="single" w:sz="8" w:color="CFF0FC"/>
            </w:tcBorders>
            <w:vMerge w:val="continue"/>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10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(52,967 )</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937,821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942,675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Dividends declared on common shares ($1.41 per share)</w:t>
            </w:r>
          </w:p>
        </w:tc>
        <w:tc>
          <w:tcPr>
            <w:tcW w:w="16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(25,520,229 )</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(25,520,229 )</w:t>
            </w:r>
          </w:p>
        </w:tc>
        <w:tc>
          <w:tcPr>
            <w:tcW w:w="0" w:type="dxa"/>
            <w:vAlign w:val="bottom"/>
          </w:tcPr>
          <w:p>
            <w:pPr>
              <w:spacing w:after="0"/>
              <w:rPr>
                <w:sz w:val="1"/>
                <w:szCs w:val="1"/>
                <w:color w:val="auto"/>
              </w:rPr>
            </w:pPr>
          </w:p>
        </w:tc>
      </w:tr>
      <w:tr>
        <w:trPr>
          <w:trHeight w:val="175"/>
        </w:trPr>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29,312,725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29,312,725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460" w:type="dxa"/>
            <w:vAlign w:val="bottom"/>
            <w:tcBorders>
              <w:right w:val="single" w:sz="8" w:color="CFF0FC"/>
            </w:tcBorders>
            <w:shd w:val="clear" w:color="auto" w:fill="CFF0FC"/>
          </w:tcPr>
          <w:p>
            <w:pPr>
              <w:spacing w:after="0"/>
              <w:rPr>
                <w:sz w:val="16"/>
                <w:szCs w:val="16"/>
                <w:color w:val="auto"/>
              </w:rPr>
            </w:pPr>
          </w:p>
        </w:tc>
        <w:tc>
          <w:tcPr>
            <w:tcW w:w="118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18,108,626</w:t>
            </w:r>
          </w:p>
        </w:tc>
        <w:tc>
          <w:tcPr>
            <w:tcW w:w="8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spacing w:after="0"/>
              <w:rPr>
                <w:sz w:val="16"/>
                <w:szCs w:val="16"/>
                <w:color w:val="auto"/>
              </w:rPr>
            </w:pPr>
          </w:p>
        </w:tc>
        <w:tc>
          <w:tcPr>
            <w:tcW w:w="9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181,823</w:t>
            </w:r>
          </w:p>
        </w:tc>
        <w:tc>
          <w:tcPr>
            <w:tcW w:w="80" w:type="dxa"/>
            <w:vAlign w:val="bottom"/>
            <w:shd w:val="clear" w:color="auto" w:fill="CFF0FC"/>
          </w:tcPr>
          <w:p>
            <w:pPr>
              <w:spacing w:after="0"/>
              <w:rPr>
                <w:sz w:val="16"/>
                <w:szCs w:val="16"/>
                <w:color w:val="auto"/>
              </w:rPr>
            </w:pPr>
          </w:p>
        </w:tc>
        <w:tc>
          <w:tcPr>
            <w:tcW w:w="260" w:type="dxa"/>
            <w:vAlign w:val="bottom"/>
            <w:tcBorders>
              <w:left w:val="single" w:sz="8" w:color="CFF0FC"/>
            </w:tcBorders>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276,946,111</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(1,342,541 )</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275,785,393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-5408295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-5408295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-5408295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-5408295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-3908425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-3908425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-3908425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-3908425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-2270760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-2270760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-2270760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-2270760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6"/>
          <w:szCs w:val="16"/>
          <w:b w:val="1"/>
          <w:bCs w:val="1"/>
          <w:color w:val="auto"/>
        </w:rPr>
        <w:t>For the nine months</w:t>
      </w:r>
    </w:p>
    <w:p>
      <w:pPr>
        <w:spacing w:after="0" w:line="2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ended September 30,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29,125,711</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29,312,725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deferred loan origination fees and other discounts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(1,311,760 )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(1,989,374 )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Paid-in-kind interest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(7,688,284 )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(6,343,749 )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(Decrease) increase in provision for current expected credit losses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(884,789 )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1,193,880</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unrealized gain on debt securities, at fair value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(112,767 )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Realized gain on debt securities, at fair value</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(72,428 )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262,361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405,778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2,213,150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942,605</w:t>
            </w:r>
          </w:p>
        </w:tc>
        <w:tc>
          <w:tcPr>
            <w:tcW w:w="100" w:type="dxa"/>
            <w:vAlign w:val="bottom"/>
            <w:shd w:val="clear" w:color="auto" w:fill="CFF0FC"/>
          </w:tcPr>
          <w:p>
            <w:pPr>
              <w:spacing w:after="0"/>
              <w:rPr>
                <w:sz w:val="20"/>
                <w:szCs w:val="20"/>
                <w:color w:val="auto"/>
              </w:rPr>
            </w:pPr>
          </w:p>
        </w:tc>
      </w:tr>
      <w:tr>
        <w:trPr>
          <w:trHeight w:val="44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receivable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519,779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(1,022,490 )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(58,034 )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(146,364 )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reserve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1,505,998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(1,369,929 )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Related party payables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(480,987 )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271,268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(1,364,396 )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(3,284,900 )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debt securities, at fair value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(3,356,573 )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the redemption of debt securities, at fair value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839,094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(1,574,659 )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(1,694,213 )</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225,454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21,331,814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12,912,736</w:t>
            </w:r>
          </w:p>
        </w:tc>
        <w:tc>
          <w:tcPr>
            <w:tcW w:w="100" w:type="dxa"/>
            <w:vAlign w:val="bottom"/>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and fundings of loans held for investment</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(75,230,855 )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(67,422,648 )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repayment of loans held for investment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64,198,999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62,837,108</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loans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13,000,000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13,399,712</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1,968,144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8,814,172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4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20,796,750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7,222,363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loan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64,000,000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borrowings on revolving loan</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(85,500,000 )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(59,000,000 )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(32,364,650 )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(30,566,088 )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(113,129 )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(112,279 )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(756,536 )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(284,574 )</w:t>
            </w:r>
          </w:p>
        </w:tc>
      </w:tr>
      <w:tr>
        <w:trPr>
          <w:trHeight w:val="23"/>
        </w:trPr>
        <w:tc>
          <w:tcPr>
            <w:tcW w:w="7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(24,437,565 )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(18,740,578 )</w:t>
            </w:r>
          </w:p>
        </w:tc>
      </w:tr>
      <w:tr>
        <w:trPr>
          <w:trHeight w:val="22"/>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44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(decrease)/increase in cash and cash equivalents</w:t>
            </w:r>
          </w:p>
        </w:tc>
        <w:tc>
          <w:tcPr>
            <w:tcW w:w="36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(1,137,607 )</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2,986,330</w:t>
            </w:r>
          </w:p>
        </w:tc>
        <w:tc>
          <w:tcPr>
            <w:tcW w:w="100" w:type="dxa"/>
            <w:vAlign w:val="bottom"/>
          </w:tcPr>
          <w:p>
            <w:pPr>
              <w:spacing w:after="0"/>
              <w:rPr>
                <w:sz w:val="24"/>
                <w:szCs w:val="24"/>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7,898,040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5,715,827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6,760,433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8,702,157</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reserve withheld from funding of loans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4,164,021</w:t>
            </w:r>
          </w:p>
        </w:tc>
        <w:tc>
          <w:tcPr>
            <w:tcW w:w="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1,007,910</w:t>
            </w: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OID withheld from funding of loans held for investment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820,335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1,676,017</w:t>
            </w:r>
          </w:p>
        </w:tc>
        <w:tc>
          <w:tcPr>
            <w:tcW w:w="100" w:type="dxa"/>
            <w:vAlign w:val="bottom"/>
            <w:shd w:val="clear" w:color="auto" w:fill="CFF0FC"/>
          </w:tcPr>
          <w:p>
            <w:pPr>
              <w:spacing w:after="0"/>
              <w:rPr>
                <w:sz w:val="20"/>
                <w:szCs w:val="20"/>
                <w:color w:val="auto"/>
              </w:rPr>
            </w:pPr>
          </w:p>
        </w:tc>
      </w:tr>
      <w:tr>
        <w:trPr>
          <w:trHeight w:val="221"/>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declared and not yet paid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9,267,714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8,568,252</w:t>
            </w: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Transfer of loans held for investment to loans held for sale</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19,000,000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13,399,712</w:t>
            </w:r>
          </w:p>
        </w:tc>
        <w:tc>
          <w:tcPr>
            <w:tcW w:w="100" w:type="dxa"/>
            <w:vAlign w:val="bottom"/>
            <w:shd w:val="clear" w:color="auto" w:fill="CFF0FC"/>
          </w:tcPr>
          <w:p>
            <w:pPr>
              <w:spacing w:after="0"/>
              <w:rPr>
                <w:sz w:val="20"/>
                <w:szCs w:val="20"/>
                <w:color w:val="auto"/>
              </w:rPr>
            </w:pPr>
          </w:p>
        </w:tc>
      </w:tr>
      <w:tr>
        <w:trPr>
          <w:trHeight w:val="44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5,338,916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3,530,521</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-4311015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-4311015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-3265170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05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4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We also lend to and invest in companies or properties that are not related to the cannabis industry if they provide return characteristics consistent with our investment objective.</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in October 2021, by and among the Company and the Manager (the "Management Agreement"). The Management Agreement had a three-year initial term that expired on April 30, 2024. After the initial term, the management agreement is automatically renewed for one-year periods unless the Company or the Manager elects not to renew in accordance with the terms of the Management Agreement. On April 30, 2024, the Management Agreement was automatically renewed. The Manager conducts substantially all of the Company’s operations and provides asset management services for its real estate investments. For its services, the Manager is entitled to earn management fees and incentive compensation, both defined in and in accordance with the terms of the Management Agreement (Note 8). All of the Company’s investment decisions are made by the investment committee of the Manager, subject to oversight by the Company’s board of directors (the “Board”). The Manager is wholly-owned by Chicago Atlantic Group, LP. (the “Sponsor”).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2023. In the opinion of the Company, all normal recurring adjustments have been made that are necessary to the fair statement of the results of operations and financial position as of and for the periods presented. Operating results for the three and nine months ended September 30, 2024 are not necessarily indicative of the results that may be expected for the year ending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Original issue discount (“OID”), market discounts or premiums, if any, are recorded as an adjustment to the amortized cost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40"/>
        <w:spacing w:after="0" w:line="261" w:lineRule="auto"/>
        <w:rPr>
          <w:sz w:val="20"/>
          <w:szCs w:val="20"/>
          <w:color w:val="auto"/>
        </w:rPr>
      </w:pPr>
      <w:r>
        <w:rPr>
          <w:rFonts w:ascii="Times New Roman" w:cs="Times New Roman" w:eastAsia="Times New Roman" w:hAnsi="Times New Roman"/>
          <w:sz w:val="18"/>
          <w:szCs w:val="18"/>
          <w:color w:val="auto"/>
        </w:rPr>
        <w:t>accreted or amortized as an adjustment to interest income using a method that approximates the effective interest method.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This guidance requires public entities to disclose significant expense categories and amounts for each reportable segment, along with information regarding the composition of "other segment items." Additionally, the guidance requires the disclosure of the title and position of the entity's Chief Operating Decision Maker (“CODM”), an explanation of how the CODM utilizes reported profit or loss measures to assess segment performance, and certain segment-related disclosures on an interim basis, which were previously required only annually. ASU 2023-07 is effective for fiscal years beginning after December 15, 2023 and interim periods within fiscal years beginning after December 15, 2024, and early adoption is permitted. The adoption of this guidance is not expected to have a significant impact on the Company's consolidated financial statements and any incremental required disclosures will be included in the Company's Annual Report on Form 10-K as of and for the year ending December 31, 2024.</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is currently evaluating the impact of the update on the Company’s future consolidated financial statements.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Company's portfolio included loans to 29 and 27 borrowers, respectively, that the Company has the ability and intent to hold until maturity or payoff. Loans held for investment are reported on the consolidated balance sheets at amortized cost. During the nine months ended September 30, 2024, the Company advanced approximately $76.1 million in gross loan principal.</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approximately 62.2% and 80.5%, respectively, of the Company’s portfolio of loans held for investment was comprised of floating rate loans that pay interest at the Prime Rate plus an applicable margin, and were subject to Prime Rate ceilings and floors as disclosed in the tables below. The carrying value of floating rate loans held for investment was approximately $220.2 million and $284.5 million as of September 30, 2024 and December 31, 2023, respectively.</w:t>
      </w:r>
    </w:p>
    <w:p>
      <w:pPr>
        <w:spacing w:after="0" w:line="139"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The remaining 37.8% and 19.5% of the portfolio of loans held for investment is comprised of loans that pay interest at a fixed rate. The carrying value of fixed rate loans held for investment was approximately $134.5 million and $69.1 million as of September 30, 2024 and December 31,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loans held for investment as of September 30,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356,285,780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(1,613,270 )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354,672,510</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(4,090,950 )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356,285,780</w:t>
            </w:r>
          </w:p>
        </w:tc>
        <w:tc>
          <w:tcPr>
            <w:tcW w:w="3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(1,613,270 )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350,581,560</w:t>
            </w:r>
          </w:p>
        </w:tc>
        <w:tc>
          <w:tcPr>
            <w:tcW w:w="20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631"/>
        </w:trPr>
        <w:tc>
          <w:tcPr>
            <w:tcW w:w="43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-933450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-916305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-933450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-916305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-933450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45"/>
        </w:trPr>
        <w:tc>
          <w:tcPr>
            <w:tcW w:w="4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(2)</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Term Loans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(4,972,647 )</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paid-in-kind ("PIK") interest, if applicable.</w:t>
      </w:r>
    </w:p>
    <w:p>
      <w:pPr>
        <w:spacing w:after="0" w:line="121" w:lineRule="exact"/>
        <w:rPr>
          <w:rFonts w:ascii="Times New Roman" w:cs="Times New Roman" w:eastAsia="Times New Roman" w:hAnsi="Times New Roman"/>
          <w:sz w:val="18"/>
          <w:szCs w:val="18"/>
          <w:color w:val="auto"/>
        </w:rPr>
      </w:pPr>
    </w:p>
    <w:p>
      <w:pPr>
        <w:ind w:right="20" w:firstLine="8"/>
        <w:spacing w:after="0" w:line="506" w:lineRule="auto"/>
        <w:tabs>
          <w:tab w:leader="none" w:pos="3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September 30, 2024 and December 31, 2023, respectively. The following tables present changes in loans held at carrying value as of and for the nine months ended September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76,051,190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(820,335 )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75,230,855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(64,198,999 )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(64,198,999 )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 (2)(3)</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(19,000,000 )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(18,786,087 )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provision for current expected credit losses</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356,285,780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(1,613,270 )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(4,090,950 )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350,581,560</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61" w:lineRule="exact"/>
        <w:rPr>
          <w:rFonts w:ascii="Times New Roman" w:cs="Times New Roman" w:eastAsia="Times New Roman" w:hAnsi="Times New Roman"/>
          <w:sz w:val="18"/>
          <w:szCs w:val="18"/>
          <w:color w:val="auto"/>
        </w:rPr>
      </w:pPr>
    </w:p>
    <w:p>
      <w:pPr>
        <w:ind w:left="380" w:right="160" w:hanging="372"/>
        <w:spacing w:after="0" w:line="25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the Company entered into a conditional assignment agreement with an affiliate under common control to sell $6.0 million of principal of Loan #11. Upon the change in management's intent to hold this portion of Loan #11 to maturity or payoff, the loan was transferred from loans held for investment to loans held for sale on the consolidated balance sheets, and was recorded at fair value of approximately $6.0 million (Note 4) (Note 8). As a result of the expected repayment of this loan at the contractual maturity date of October 4, 2024, there was no decrease to the current expected credit loss ("CECL") reserve as a result of this transfer.</w:t>
      </w:r>
    </w:p>
    <w:p>
      <w:pPr>
        <w:spacing w:after="0" w:line="183" w:lineRule="exact"/>
        <w:rPr>
          <w:rFonts w:ascii="Times New Roman" w:cs="Times New Roman" w:eastAsia="Times New Roman" w:hAnsi="Times New Roman"/>
          <w:sz w:val="18"/>
          <w:szCs w:val="18"/>
          <w:color w:val="auto"/>
        </w:rPr>
      </w:pPr>
    </w:p>
    <w:p>
      <w:pPr>
        <w:ind w:left="380" w:right="26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the Company transferred $13.0 million of principal of Loan #2 from loans held for investment to loans held for sale upon receipt of an offer from a third party to purchase such loan (Note 4). On September 30, 2024, the Company sold $13.0 million of Loan #2 to a third party for a selling price of $13.0 million. In connection with the transfer to held for sale classification, the Company reversed approximately $0.2 million of the CECL reserve.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68,677,238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(1,254,590 )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67,422,648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(62,837,108 )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(62,837,108 )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1,989,374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1,989,374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6,343,749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6,343,749</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(1,171,256 )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(1,171,256 )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341,813,501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(3,021,012 )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(5,112,195 )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333,680,294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61" w:lineRule="exact"/>
        <w:rPr>
          <w:rFonts w:ascii="Times New Roman" w:cs="Times New Roman" w:eastAsia="Times New Roman" w:hAnsi="Times New Roman"/>
          <w:sz w:val="18"/>
          <w:szCs w:val="18"/>
          <w:color w:val="auto"/>
        </w:rPr>
      </w:pPr>
    </w:p>
    <w:p>
      <w:pPr>
        <w:ind w:left="380" w:right="40" w:hanging="372"/>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nine months ended September 30, 2023 to a syndicate of co-lenders which includes a third party and two affiliates under common control with the Manager. The sale was executed on March 31, 2023 (Note 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September 30, 2024,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2"/>
        </w:trPr>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Initial</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of Our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Funding</w:t>
            </w:r>
          </w:p>
        </w:tc>
        <w:tc>
          <w:tcPr>
            <w:tcW w:w="120" w:type="dxa"/>
            <w:vAlign w:val="bottom"/>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Original Issue</w:t>
            </w:r>
          </w:p>
        </w:tc>
        <w:tc>
          <w:tcPr>
            <w:tcW w:w="120" w:type="dxa"/>
            <w:vAlign w:val="bottom"/>
          </w:tcPr>
          <w:p>
            <w:pPr>
              <w:spacing w:after="0"/>
              <w:rPr>
                <w:sz w:val="10"/>
                <w:szCs w:val="10"/>
                <w:color w:val="auto"/>
              </w:rPr>
            </w:pPr>
          </w:p>
        </w:tc>
        <w:tc>
          <w:tcPr>
            <w:tcW w:w="6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Loan</w:t>
            </w:r>
          </w:p>
        </w:tc>
        <w:tc>
          <w:tcPr>
            <w:tcW w:w="100" w:type="dxa"/>
            <w:vAlign w:val="bottom"/>
          </w:tcPr>
          <w:p>
            <w:pPr>
              <w:spacing w:after="0"/>
              <w:rPr>
                <w:sz w:val="10"/>
                <w:szCs w:val="10"/>
                <w:color w:val="auto"/>
              </w:rPr>
            </w:pPr>
          </w:p>
        </w:tc>
        <w:tc>
          <w:tcPr>
            <w:tcW w:w="58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YTM</w:t>
            </w:r>
          </w:p>
        </w:tc>
      </w:tr>
      <w:tr>
        <w:trPr>
          <w:trHeight w:val="146"/>
        </w:trPr>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 (1)</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 (2)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22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Portfolio</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9"/>
              </w:rPr>
              <w:t>Fundings</w:t>
            </w: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Interest Rate (3)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Payment (4)</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r>
      <w:tr>
        <w:trPr>
          <w:trHeight w:val="146"/>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10/27/2022</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9"/>
              </w:rPr>
              <w:t>10/30/2026</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25,354,286</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(467,213 )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24,887,073</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P+6.5% Cash(8)</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17.2%</w:t>
            </w:r>
          </w:p>
        </w:tc>
      </w:tr>
      <w:tr>
        <w:trPr>
          <w:trHeight w:val="121"/>
        </w:trPr>
        <w:tc>
          <w:tcPr>
            <w:tcW w:w="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Michigan</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P+6.65% Cash, 4.25% PIK(6)</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4"/>
        </w:trPr>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1/13/2022</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27,030,728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(13,737 )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27,016,991</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8"/>
              </w:rPr>
              <w:t>(14)(21)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18.0%</w:t>
            </w:r>
          </w:p>
        </w:tc>
      </w:tr>
      <w:tr>
        <w:trPr>
          <w:trHeight w:val="126"/>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P+9.69% Cash, 2.6% PIK(11)</w:t>
            </w: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r>
      <w:tr>
        <w:trPr>
          <w:trHeight w:val="149"/>
        </w:trPr>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3/25/2021</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1/29/2027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21,066,738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(593,996 )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20,472,742</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7"/>
              </w:rPr>
              <w:t>(15)</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23.2%</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Arizona</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4/19/2021</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6/17/2026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11.91%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17.0%</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Massachusetts</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4/19/2021</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4/30/2025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2,721,680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2,721,680</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P+12.25% Cash(6)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22.7%</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Michigan</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8/20/2021</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1/30/2026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17.7%</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Illinois, Arizona</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8/24/2021</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6/30/2025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20,579,082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(64,158 )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20,514,924</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P+6% Cash, 2% PIK(9)</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19.4%</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West Virginia</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9/1/2021</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8,491,943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8,491,943</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15.0%</w:t>
            </w:r>
          </w:p>
        </w:tc>
      </w:tr>
      <w:tr>
        <w:trPr>
          <w:trHeight w:val="124"/>
        </w:trPr>
        <w:tc>
          <w:tcPr>
            <w:tcW w:w="3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9</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Pennsylvania</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P+10.75% Cash, 3% PIK(6)</w:t>
            </w: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r>
      <w:tr>
        <w:trPr>
          <w:trHeight w:val="149"/>
        </w:trPr>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9/3/2021</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6/30/2024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7"/>
              </w:rPr>
              <w:t>(16)</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16.3%</w:t>
            </w:r>
          </w:p>
        </w:tc>
      </w:tr>
      <w:tr>
        <w:trPr>
          <w:trHeight w:val="121"/>
        </w:trPr>
        <w:tc>
          <w:tcPr>
            <w:tcW w:w="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11</w:t>
            </w: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Maryland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P+8.75% Cash, 2% PIK(6)</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4"/>
        </w:trPr>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9/30/2021</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10/4/2024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27,824,509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27,824,509</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color w:val="auto"/>
                <w:w w:val="97"/>
              </w:rPr>
              <w:t>(17)</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22.0%</w:t>
            </w:r>
          </w:p>
        </w:tc>
      </w:tr>
      <w:tr>
        <w:trPr>
          <w:trHeight w:val="153"/>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11/8/2021</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4/30/2025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8,676,876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(16,447 )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8,660,429</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P+7% Cash(10)</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19.6%</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Florida</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12/30/2021</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8/31/2025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6,557,500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(34,791 )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6,522,709</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16.75%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33.1%</w:t>
            </w:r>
          </w:p>
        </w:tc>
      </w:tr>
      <w:tr>
        <w:trPr>
          <w:trHeight w:val="124"/>
        </w:trPr>
        <w:tc>
          <w:tcPr>
            <w:tcW w:w="3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18</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9"/>
              </w:rPr>
              <w:t>Ohio</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jc w:val="center"/>
              <w:spacing w:after="0" w:line="125" w:lineRule="exact"/>
              <w:rPr>
                <w:sz w:val="20"/>
                <w:szCs w:val="20"/>
                <w:color w:val="auto"/>
              </w:rPr>
            </w:pPr>
            <w:r>
              <w:rPr>
                <w:rFonts w:ascii="Times New Roman" w:cs="Times New Roman" w:eastAsia="Times New Roman" w:hAnsi="Times New Roman"/>
                <w:sz w:val="11"/>
                <w:szCs w:val="11"/>
                <w:color w:val="auto"/>
                <w:w w:val="99"/>
              </w:rPr>
              <w:t>P+1.75% Cash, 5% PIK(9)</w:t>
            </w: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r>
      <w:tr>
        <w:trPr>
          <w:trHeight w:val="149"/>
        </w:trPr>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2/3/2022</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23,639,667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(51,891 )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23,587,776</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2"/>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7"/>
              </w:rPr>
              <w:t>(18)</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16.6%</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Florida</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3/11/2022</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19,029,907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(29,862 )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19,000,045</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 Cash, 5% PIK</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16.5%</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Missouri</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5/9/2022</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5/30/2025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17,111,787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(36,831 )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17,074,956</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 Cash, 2% PIK</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14.7%</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Illinois</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7/1/2022</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7/29/2026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6,718,164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(40,316 )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6,677,848</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P+7% Cash, 2% PIK(9)</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23.4%</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Arizona</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3/27/2023</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3/31/2026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1,680,000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(24,864 )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1,655,136</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P+7.5% Cash(12)</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18.7%</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Oregon</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3/31/2023</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9/27/2026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660,000</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P+10.5% Cash(7)</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21.5%</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New York</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8/1/2023</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6/29/2036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25,849,894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25,849,894</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16.6%</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Connecticut</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8/31/2023</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4/30/2026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(77,024 )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6,372,976</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14%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19.0%</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Nebraska</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8/15/2023</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6/30/2027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13,000,000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13,000,000</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P+6.5% Cash(19)</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16.1%</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28</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Ohio</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9/13/2023</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3/13/2025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17.4%</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Illinois</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9"/>
              </w:rPr>
              <w:t>10/11/2023</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10/9/2026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2,025,634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2,025,634</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11.4% Cash, 1.5% PIK</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14.7%</w:t>
            </w:r>
          </w:p>
        </w:tc>
      </w:tr>
      <w:tr>
        <w:trPr>
          <w:trHeight w:val="121"/>
        </w:trPr>
        <w:tc>
          <w:tcPr>
            <w:tcW w:w="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Missouri,</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P+7.75% Cash(13)</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4"/>
        </w:trPr>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Arizona</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(156,863 )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19,443,137</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18.7%</w:t>
            </w:r>
          </w:p>
        </w:tc>
      </w:tr>
      <w:tr>
        <w:trPr>
          <w:trHeight w:val="126"/>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California,</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P+8.75% Cash(10)</w:t>
            </w: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r>
      <w:tr>
        <w:trPr>
          <w:trHeight w:val="149"/>
        </w:trPr>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Arizona</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7"/>
              </w:rPr>
              <w:t>1/3/2024</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7"/>
              </w:rPr>
              <w:t>5/3/2026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18.6%</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32</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Nevada</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4/15/2024</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8/15/2027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P+6.5% Cash(12)(20)</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17.7%</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Minnesota</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5/20/2024</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5/28/2027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1,152,000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(5,277 )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1,146,723</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12% Cash</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12.9%</w:t>
            </w:r>
          </w:p>
        </w:tc>
      </w:tr>
      <w:tr>
        <w:trPr>
          <w:trHeight w:val="145"/>
        </w:trPr>
        <w:tc>
          <w:tcPr>
            <w:tcW w:w="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Arizona</w:t>
            </w:r>
          </w:p>
        </w:tc>
        <w:tc>
          <w:tcPr>
            <w:tcW w:w="8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6/17/2024</w:t>
            </w:r>
          </w:p>
        </w:tc>
        <w:tc>
          <w:tcPr>
            <w:tcW w:w="112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4"/>
              </w:rPr>
              <w:t>5/29/2026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11.91% Cash</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1"/>
              </w:rPr>
              <w:t>12.8%</w:t>
            </w:r>
          </w:p>
        </w:tc>
      </w:tr>
      <w:tr>
        <w:trPr>
          <w:trHeight w:val="152"/>
        </w:trPr>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California</w:t>
            </w:r>
          </w:p>
        </w:tc>
        <w:tc>
          <w:tcPr>
            <w:tcW w:w="86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4"/>
              </w:rPr>
              <w:t>8/23/2024</w:t>
            </w:r>
          </w:p>
        </w:tc>
        <w:tc>
          <w:tcPr>
            <w:tcW w:w="1120" w:type="dxa"/>
            <w:vAlign w:val="bottom"/>
            <w:gridSpan w:val="2"/>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w w:val="94"/>
              </w:rPr>
              <w:t>8/23/2027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24,071,029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24,071,029</w:t>
            </w:r>
          </w:p>
        </w:tc>
        <w:tc>
          <w:tcPr>
            <w:tcW w:w="10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 Cash, 3% PIK</w:t>
            </w: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7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1"/>
              </w:rPr>
              <w:t>16.3%</w:t>
            </w:r>
          </w:p>
        </w:tc>
      </w:tr>
      <w:tr>
        <w:trPr>
          <w:trHeight w:val="142"/>
        </w:trPr>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356,285,780</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(1,613,270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354,672,510</w:t>
            </w:r>
          </w:p>
        </w:tc>
        <w:tc>
          <w:tcPr>
            <w:tcW w:w="1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Wtd Average</w:t>
            </w:r>
          </w:p>
        </w:tc>
        <w:tc>
          <w:tcPr>
            <w:tcW w:w="1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1"/>
              </w:rPr>
              <w:t>18.2%</w:t>
            </w: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020" w:right="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outstanding of Loan #3 is comprised of two tranches. The first tranche has a principal balance $16.8 million, a floating interest rate of prime plus 7.75% cash and 2.75% PIK and a maturity date of January 29, 2027. The second tranche has a principal balance of $4.3 million, and bears an interest rate of 15.00% and 2.00% PIK, and a maturity date of November 29, 2024. The statistics presented reflect the weighted average of the rate terms under both tranches for the total aggregate loan commitment.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remains on non-accrual as of September 30, 2024. Loan #9 is included on the consolidated balance sheet as a loan held for investment – related party (Note 8). This loan had an original maturity date of June 30, 2024 and is included in amounts past due in the tables below.</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was repaid in full in October 2024 and carried a zero CECL reserve as of September 30, 2024. The maturity date presented reflects the date of repayment. During the quarter ended September 30, 2024, $6.0 million of principal of Loan #11 was reclassified as held for sale, at fair value (Note 4).</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8).</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September 30, 2024, the applied interest rate is Prime Rate + 6.50%.</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earns an unused fee on the unfunded commitment at an annual rate of 1.2%. The unfunded commitment of $6.0 million was advanced in October 2024 (Note 15).</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$13.0 million of principal of Loan #2 was reclassified to held for sale, and was subsequently sold to a third party at a price of $13.0 million on September 30, 2024. The remaining balance presented is held for investment as of September 30, 2024.</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aging analyses of past due loans by amortized cost, excluding the CECL reserve, as of September 30, 2024 and December 31, 2023. As of September 30, 2024 and December 31, 2023, there was one loan with principal greater than 90 days past due.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4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Past Due (2)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9"/>
                <w:szCs w:val="19"/>
                <w:color w:val="auto"/>
              </w:rPr>
            </w:pPr>
          </w:p>
        </w:tc>
      </w:tr>
      <w:tr>
        <w:trPr>
          <w:trHeight w:val="22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338,270,022</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354,672,510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16,402,488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338,270,022</w:t>
            </w:r>
          </w:p>
        </w:tc>
        <w:tc>
          <w:tcPr>
            <w:tcW w:w="12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354,672,510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16,402,488</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-179070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-179070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w:t>
      </w:r>
    </w:p>
    <w:p>
      <w:pPr>
        <w:spacing w:after="0" w:line="198" w:lineRule="exact"/>
        <w:rPr>
          <w:rFonts w:ascii="Times New Roman" w:cs="Times New Roman" w:eastAsia="Times New Roman" w:hAnsi="Times New Roman"/>
          <w:sz w:val="18"/>
          <w:szCs w:val="18"/>
          <w:color w:val="auto"/>
        </w:rPr>
      </w:pPr>
    </w:p>
    <w:p>
      <w:pPr>
        <w:ind w:left="380" w:right="140" w:hanging="372"/>
        <w:spacing w:after="0" w:line="258"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greater than 90 days past due as of September 30, 2024. . On December 1, 2023 Loan #6 was placed on non-accrual status. In March 2024, the Company entered into an amendment to Loan #6, which extended the maturity date to April 15, 2024. In the second quarter, the Company entered into an additional amendment to Loan #6, which extended the maturity date from April 15, 2024 to January 30, 2026 and restored Loan #6 to accrual status.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7"/>
                <w:szCs w:val="17"/>
                <w:color w:val="auto"/>
              </w:rPr>
            </w:pPr>
          </w:p>
        </w:tc>
        <w:tc>
          <w:tcPr>
            <w:tcW w:w="114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7"/>
                <w:szCs w:val="17"/>
                <w:color w:val="auto"/>
              </w:rPr>
            </w:pP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Past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25"/>
        </w:trPr>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9"/>
                <w:szCs w:val="19"/>
                <w:color w:val="auto"/>
              </w:rPr>
            </w:pPr>
          </w:p>
        </w:tc>
      </w:tr>
      <w:tr>
        <w:trPr>
          <w:trHeight w:val="223"/>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337,238,122</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337,238,122</w:t>
            </w:r>
          </w:p>
        </w:tc>
        <w:tc>
          <w:tcPr>
            <w:tcW w:w="120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16,402,488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20,666,374</w:t>
            </w:r>
          </w:p>
        </w:tc>
        <w:tc>
          <w:tcPr>
            <w:tcW w:w="100" w:type="dxa"/>
            <w:vAlign w:val="bottom"/>
          </w:tcPr>
          <w:p>
            <w:pPr>
              <w:spacing w:after="0"/>
              <w:rPr>
                <w:sz w:val="19"/>
                <w:szCs w:val="19"/>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-179070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-179070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-179070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On June 20, 2023, the Administrative Agent to Loan #9 issued an acceleration notice requesting immediate payment of all amounts outstanding and therefore is 90 days past due as of December 31, 2023.. On December 1, 2023 Loan #6 was placed on non-accrual status.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there were one and two loans placed on non-accrual status, respectively.</w:t>
      </w:r>
    </w:p>
    <w:p>
      <w:pPr>
        <w:spacing w:after="0" w:line="18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Loan #9 was placed on non-accrual status as of May 1, 2023 and has both an outstanding principal balance and carrying value of approximately $16.4 million as of September 30, 2024 and December 31, 2023, respectively, and carries a reserve for current expected credit losses of approximately $1.4 million as of September 30, 2024.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Loan #6 was placed on non-accrual status as of December 1, 2023 and had an outstanding principal balance and carrying value of approximately $4.3 million as of December 31, 2023. In March 2024, the Company entered into an amendment to Loan #6, which extended the maturity date to April 15, 2024. In connection with this amendment, Loan #6 was restored to accrual status. In the second quarter, the Company entered into an additional amendment to Loan #6, which extended the maturity date from April 15, 2024 to January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89"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1160" w:hanging="1139"/>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160" w:hanging="1139"/>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36" w:lineRule="exact"/>
        <w:rPr>
          <w:sz w:val="20"/>
          <w:szCs w:val="20"/>
          <w:color w:val="auto"/>
        </w:rPr>
      </w:pPr>
    </w:p>
    <w:p>
      <w:pPr>
        <w:ind w:left="1160" w:hanging="1139"/>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5540" w:right="4580" w:hanging="5519"/>
        <w:spacing w:after="0" w:line="548" w:lineRule="auto"/>
        <w:tabs>
          <w:tab w:leader="none" w:pos="11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2" w:name="page13"/>
    <w:bookmarkEnd w:id="12"/>
    <w:p>
      <w:pPr>
        <w:ind w:left="1160" w:hanging="1139"/>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September 30, 2024 and December 31, 2023 consider borrower specific credit history and performance and reflect a quarterly re-evaluation of overall current macroeconomic conditions affecting the Company’s borrowers. As interest rates have decreased due to declining rates from the Federal Reserve Board, it has positively impacted borrowers’ ability to service their debt obligations on a global scale. The changes in risk ratings had an effect on the level of the CECL reserve though, other than the one loan placed on non-accrual status, the loans continued to perform as expected. For approximately 60.9% of the portfolio, the fair value of the underlying real estate collateral exceeded the amounts outstanding under the loans as of September 30, 2024. The remaining approximately 39.1% of the portfolio, while not fully collateralized by real estate, is generally secured by some real estate and is secured by other forms of collateral including equipment, receivables, licenses and/or other assets of the borrowers to the extent permitted by applicable laws and regulations governing such borrowers. The amounts below exclude the apportionment of real estate collateral permissible under the applicable income and asset tests for REIT eligibility.</w:t>
      </w:r>
    </w:p>
    <w:p>
      <w:pPr>
        <w:spacing w:after="0" w:line="1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carrying value, excluding the CECL reserve, of the Company’s loans held for investment within each risk rating category by year of origination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Risk</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As of September 30, 2024(1)(2)</w:t>
            </w: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As of December 31, 2023(1)(2)</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r>
      <w:tr>
        <w:trPr>
          <w:trHeight w:val="159"/>
        </w:trPr>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660,000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36,075,001</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27,824,512</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64,559,513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37,644,911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38,464,911</w:t>
            </w:r>
          </w:p>
        </w:tc>
        <w:tc>
          <w:tcPr>
            <w:tcW w:w="100" w:type="dxa"/>
            <w:vAlign w:val="bottom"/>
            <w:shd w:val="clear" w:color="auto" w:fill="CFF0FC"/>
          </w:tcPr>
          <w:p>
            <w:pPr>
              <w:spacing w:after="0"/>
              <w:rPr>
                <w:sz w:val="13"/>
                <w:szCs w:val="13"/>
                <w:color w:val="auto"/>
              </w:rPr>
            </w:pPr>
          </w:p>
        </w:tc>
      </w:tr>
      <w:tr>
        <w:trPr>
          <w:trHeight w:val="159"/>
        </w:trPr>
        <w:tc>
          <w:tcPr>
            <w:tcW w:w="60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41,394,426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68,346,777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59,448,763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20,514,924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189,704,890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51,320,161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107,007,422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46,792,941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205,120,524</w:t>
            </w:r>
          </w:p>
        </w:tc>
        <w:tc>
          <w:tcPr>
            <w:tcW w:w="100" w:type="dxa"/>
            <w:vAlign w:val="bottom"/>
          </w:tcPr>
          <w:p>
            <w:pPr>
              <w:spacing w:after="0"/>
              <w:rPr>
                <w:sz w:val="13"/>
                <w:szCs w:val="13"/>
                <w:color w:val="auto"/>
              </w:rPr>
            </w:pPr>
          </w:p>
        </w:tc>
      </w:tr>
      <w:tr>
        <w:trPr>
          <w:trHeight w:val="165"/>
        </w:trPr>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21,694,652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27,016,991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11,382,108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62,560,456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58,829,717</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66,592,730</w:t>
            </w:r>
          </w:p>
        </w:tc>
        <w:tc>
          <w:tcPr>
            <w:tcW w:w="100" w:type="dxa"/>
            <w:vAlign w:val="bottom"/>
            <w:shd w:val="clear" w:color="auto" w:fill="CFF0FC"/>
          </w:tcPr>
          <w:p>
            <w:pPr>
              <w:spacing w:after="0"/>
              <w:rPr>
                <w:sz w:val="14"/>
                <w:szCs w:val="14"/>
                <w:color w:val="auto"/>
              </w:rPr>
            </w:pPr>
          </w:p>
        </w:tc>
      </w:tr>
      <w:tr>
        <w:trPr>
          <w:trHeight w:val="159"/>
        </w:trPr>
        <w:tc>
          <w:tcPr>
            <w:tcW w:w="60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27,847,651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37,847,651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100" w:type="dxa"/>
            <w:vAlign w:val="bottom"/>
          </w:tcPr>
          <w:p>
            <w:pPr>
              <w:spacing w:after="0"/>
              <w:rPr>
                <w:sz w:val="13"/>
                <w:szCs w:val="13"/>
                <w:color w:val="auto"/>
              </w:rPr>
            </w:pPr>
          </w:p>
        </w:tc>
      </w:tr>
      <w:tr>
        <w:trPr>
          <w:trHeight w:val="162"/>
        </w:trPr>
        <w:tc>
          <w:tcPr>
            <w:tcW w:w="600" w:type="dxa"/>
            <w:vAlign w:val="bottom"/>
            <w:tcBorders>
              <w:bottom w:val="single" w:sz="8" w:color="CFF0FC"/>
            </w:tcBorders>
            <w:shd w:val="clear" w:color="auto" w:fill="CFF0FC"/>
          </w:tcPr>
          <w:p>
            <w:pPr>
              <w:jc w:val="right"/>
              <w:ind w:right="442"/>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73,089,078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71,473,482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122,540,755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87,569,195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354,672,510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54,606,866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149,948,641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149,085,103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353,640,610</w:t>
            </w:r>
          </w:p>
        </w:tc>
        <w:tc>
          <w:tcPr>
            <w:tcW w:w="10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-136525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-136525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-136525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-136525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-136525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-136525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-136525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-136525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w:t>
      </w:r>
    </w:p>
    <w:p>
      <w:pPr>
        <w:spacing w:after="0" w:line="198"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placed on non-accrual status is included in risk rating category “4” and has a reserve for current expected credit losses of approximately $1.4 million as of September 30, 2024 and $1.5 million as of December 31, 2023.</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September 30, 2024 and December 31, 2023:</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September 30, 2024(1)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&lt; 1.0x</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1.0x – 1.25x</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1.25x – 1.5x</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1.50x – 1.75x</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1.75x – 2.0x</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&gt; 2.0x</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Fixed-rate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25,522,754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69,462,584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17,773,533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8,398,610</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121,157,481</w:t>
            </w:r>
          </w:p>
        </w:tc>
        <w:tc>
          <w:tcPr>
            <w:tcW w:w="100" w:type="dxa"/>
            <w:vAlign w:val="bottom"/>
            <w:shd w:val="clear" w:color="auto" w:fill="CFF0FC"/>
          </w:tcPr>
          <w:p>
            <w:pPr>
              <w:spacing w:after="0"/>
              <w:rPr>
                <w:sz w:val="14"/>
                <w:szCs w:val="14"/>
                <w:color w:val="auto"/>
              </w:rPr>
            </w:pPr>
          </w:p>
        </w:tc>
      </w:tr>
      <w:tr>
        <w:trPr>
          <w:trHeight w:val="17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Floating-rate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112,344,705</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36,917,412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6,677,848</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32,079,719</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27,016,991</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18,478,354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233,515,029</w:t>
            </w:r>
          </w:p>
        </w:tc>
        <w:tc>
          <w:tcPr>
            <w:tcW w:w="100" w:type="dxa"/>
            <w:vAlign w:val="bottom"/>
          </w:tcPr>
          <w:p>
            <w:pPr>
              <w:spacing w:after="0"/>
              <w:rPr>
                <w:sz w:val="15"/>
                <w:szCs w:val="15"/>
                <w:color w:val="auto"/>
              </w:rPr>
            </w:pPr>
          </w:p>
        </w:tc>
      </w:tr>
      <w:tr>
        <w:trPr>
          <w:trHeight w:val="209"/>
        </w:trPr>
        <w:tc>
          <w:tcPr>
            <w:tcW w:w="2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137,867,459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106,379,996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24,451,381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32,079,719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27,016,991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26,876,964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354,672,510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&lt; 1.0x</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1.0x – 1.25x</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1.25x – 1.5x</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1.50x – 1.75x</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1.75x – 2.0x</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&gt; 2.0x</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Fixed-rate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2,466,706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49,041,867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17,613,043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69,121,616</w:t>
            </w:r>
          </w:p>
        </w:tc>
        <w:tc>
          <w:tcPr>
            <w:tcW w:w="100" w:type="dxa"/>
            <w:vAlign w:val="bottom"/>
            <w:shd w:val="clear" w:color="auto" w:fill="CFF0FC"/>
          </w:tcPr>
          <w:p>
            <w:pPr>
              <w:spacing w:after="0"/>
              <w:rPr>
                <w:sz w:val="14"/>
                <w:szCs w:val="14"/>
                <w:color w:val="auto"/>
              </w:rPr>
            </w:pPr>
          </w:p>
        </w:tc>
      </w:tr>
      <w:tr>
        <w:trPr>
          <w:trHeight w:val="17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Floating-rate</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104,322,083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35,491,887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38,729,046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15,396,370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85,283,300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284,518,994</w:t>
            </w:r>
          </w:p>
        </w:tc>
        <w:tc>
          <w:tcPr>
            <w:tcW w:w="100" w:type="dxa"/>
            <w:vAlign w:val="bottom"/>
          </w:tcPr>
          <w:p>
            <w:pPr>
              <w:spacing w:after="0"/>
              <w:rPr>
                <w:sz w:val="15"/>
                <w:szCs w:val="15"/>
                <w:color w:val="auto"/>
              </w:rPr>
            </w:pPr>
          </w:p>
        </w:tc>
      </w:tr>
      <w:tr>
        <w:trPr>
          <w:trHeight w:val="209"/>
        </w:trPr>
        <w:tc>
          <w:tcPr>
            <w:tcW w:w="2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106,788,789</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35,491,887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87,770,913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33,009,413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5,296,308</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85,283,300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353,640,610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-25400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-8255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-25400</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20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is calculated based upon most recent third party appraised values. The Company generally obtains a new appraisal of all material real estate collateral at least once annually.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Geography concentration of our loans held for investment is also a significant credit quality indicator. As of September 30, 2024 and December 31, 2023, our borrowers have operations in the jurisdictions in the table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15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18"/>
                <w:szCs w:val="18"/>
                <w:color w:val="auto"/>
              </w:rPr>
            </w:pPr>
          </w:p>
        </w:tc>
      </w:tr>
      <w:tr>
        <w:trPr>
          <w:trHeight w:val="196"/>
        </w:trPr>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Pr>
          <w:p>
            <w:pPr>
              <w:spacing w:after="0"/>
              <w:rPr>
                <w:sz w:val="17"/>
                <w:szCs w:val="17"/>
                <w:color w:val="auto"/>
              </w:rPr>
            </w:pPr>
          </w:p>
        </w:tc>
        <w:tc>
          <w:tcPr>
            <w:tcW w:w="1640" w:type="dxa"/>
            <w:vAlign w:val="bottom"/>
            <w:gridSpan w:val="2"/>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Pr>
          <w:p>
            <w:pPr>
              <w:spacing w:after="0"/>
              <w:rPr>
                <w:sz w:val="17"/>
                <w:szCs w:val="17"/>
                <w:color w:val="auto"/>
              </w:rPr>
            </w:pPr>
          </w:p>
        </w:tc>
        <w:tc>
          <w:tcPr>
            <w:tcW w:w="150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r>
      <w:tr>
        <w:trPr>
          <w:trHeight w:val="272"/>
        </w:trPr>
        <w:tc>
          <w:tcPr>
            <w:tcW w:w="1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7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8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80" w:type="dxa"/>
            <w:vAlign w:val="bottom"/>
          </w:tcPr>
          <w:p>
            <w:pPr>
              <w:spacing w:after="0"/>
              <w:rPr>
                <w:sz w:val="23"/>
                <w:szCs w:val="23"/>
                <w:color w:val="auto"/>
              </w:rPr>
            </w:pP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28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7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60" w:type="dxa"/>
            <w:vAlign w:val="bottom"/>
          </w:tcPr>
          <w:p>
            <w:pPr>
              <w:spacing w:after="0"/>
              <w:rPr>
                <w:sz w:val="23"/>
                <w:szCs w:val="23"/>
                <w:color w:val="auto"/>
              </w:rPr>
            </w:pPr>
          </w:p>
        </w:tc>
      </w:tr>
      <w:tr>
        <w:trPr>
          <w:trHeight w:val="22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48,829,536</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41,756,774</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34,783,248</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34,327,575</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31,849,084</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28,625,165</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26,739,191</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25,849,894</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25,587,407</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25,400,574</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6,450,000</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2,783,391</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1,152,000</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356,285,780</w:t>
            </w:r>
          </w:p>
        </w:tc>
        <w:tc>
          <w:tcPr>
            <w:tcW w:w="28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-2828290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right="460"/>
        <w:spacing w:after="0" w:line="461" w:lineRule="auto"/>
        <w:rPr>
          <w:sz w:val="20"/>
          <w:szCs w:val="20"/>
          <w:color w:val="auto"/>
        </w:rPr>
      </w:pPr>
      <w:r>
        <w:rPr>
          <w:rFonts w:ascii="Times New Roman" w:cs="Times New Roman" w:eastAsia="Times New Roman" w:hAnsi="Times New Roman"/>
          <w:sz w:val="18"/>
          <w:szCs w:val="18"/>
          <w:color w:val="auto"/>
        </w:rPr>
        <w:t xml:space="preserve">(1) The principal balance of the loans not secured by real estate collateral are included in the jurisdiction representing the principal place of business. </w:t>
      </w:r>
      <w:r>
        <w:rPr>
          <w:rFonts w:ascii="Times New Roman" w:cs="Times New Roman" w:eastAsia="Times New Roman" w:hAnsi="Times New Roman"/>
          <w:sz w:val="18"/>
          <w:szCs w:val="18"/>
          <w:b w:val="1"/>
          <w:bCs w:val="1"/>
          <w:color w:val="auto"/>
        </w:rPr>
        <w:t>CECL Reserve</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 party valuations, and a third 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4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5" w:right="27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noting it has limited “true” operating history, since the incorporation date of March 30, 2021. However, the Company’s Sponsor and its affiliates have had operations for the past four fiscal years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 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September 30, 2024, to which the Manager may apply a private company discount based on the Company’s current borrower profile. During the nine-month period ended September 30, 2024, the Company observed that valuation multiples of publicly traded companies in the industry generally improved as a result of macro-economic factors. Such factors include, but are not limited to, expectations surrounding future interest rate changes by the Federal Reserve and public announcements about proposed regulatory reform relating to a potential rescheduling of cannabis at the federal level. Management contemplates the impacts of these macro-economic factors during the forecast period when determining enterprise value and ultimately, the CECL reserve. Estimates may change in future periods based on available future macro-economic data and might result in a material change in the Company’s future estimates of expected credit losses for its loan portfolio.</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we received full repayments of three loans which had an aggregate principal balance of $32.3 million at the date of repayment. These loans carried an aggregate CECL reserve of $0.6 million as of June 30, 2024, thereby contributing to $0.6 million of the $1.0 million reversal of the CECL provision during the third quarter. Furthermore, during the quarter ended September 30, 2024, the Company transferred $13.0 million of principal of Loan #2 from loans held for investment to loans held for sale, and reversed approximately $0.2 million of the CECL reserve in connection with the transfer. Additionally, loans risk rated "3" and "4" decreased to approximately 28.3% of the portfolio at September 30, 2024 from</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38.7% of the portfolio at June 30, 2024, as a result of improved valuations and borrower specific performance. Meanwhile, loans risk rated "1" and "2" increased to approximately 71.7% from 61.3% during the same period. Loans risk rated "1" and "2" both generally are expected to result in a full repayment of principal and generally do not carry materially different CECL reserves based on risk ratings alone. The improvement in portfolio risk ratings during the three months ended September 30, 2024 correspond to the remaining reversal of the CECL reserve during the third quarter of 2024.</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53"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 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4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nine months ended September 30, 2024 and 2023 is presented in the table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Pr>
          <w:p>
            <w:pPr>
              <w:spacing w:after="0"/>
              <w:rPr>
                <w:sz w:val="21"/>
                <w:szCs w:val="21"/>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3,092</w:t>
            </w: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4,975,739</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provision for current expected credit losses</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(881,697 )</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(3,092 )</w:t>
            </w:r>
          </w:p>
        </w:tc>
        <w:tc>
          <w:tcPr>
            <w:tcW w:w="2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(884,789 )</w:t>
            </w:r>
          </w:p>
        </w:tc>
      </w:tr>
      <w:tr>
        <w:trPr>
          <w:trHeight w:val="274"/>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4,090,950</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4,090,950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35"/>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3,940,939</w:t>
            </w: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94,415</w:t>
            </w: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4,035,354</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1,171,256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22,623</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1,193,880</w:t>
            </w:r>
          </w:p>
        </w:tc>
        <w:tc>
          <w:tcPr>
            <w:tcW w:w="100" w:type="dxa"/>
            <w:vAlign w:val="bottom"/>
          </w:tcPr>
          <w:p>
            <w:pPr>
              <w:spacing w:after="0"/>
              <w:rPr>
                <w:sz w:val="21"/>
                <w:szCs w:val="21"/>
                <w:color w:val="auto"/>
              </w:rPr>
            </w:pPr>
          </w:p>
        </w:tc>
      </w:tr>
      <w:tr>
        <w:trPr>
          <w:trHeight w:val="274"/>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5,112,195</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117,038</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5,229,234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-822325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-805180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-822325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-805180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the two loans on non-accrual as of December 31, 2023, one of which remained on non-accrual as of September 30, 2024, the Company ceased accruing interest on the first date of delinquency, based on expectation of its ability to collect all amounts then due from the borrower. As a result, there was no accrued interest to write-off when the loan was placed on non-accrual status.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SALE, AT FAIR VALUE</w:t>
      </w:r>
    </w:p>
    <w:p>
      <w:pPr>
        <w:spacing w:after="0" w:line="20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Company's loans are generally classified as held for investment; however, once the Company decides to sell all or a portion of a loan, it is transferred from held for investment to held for sale and carried at fair value. As of September 30, 2024, the Company's portfolio included one loan that the Company has designated as held for sale. There were no loans classified as held for sale as of December 31, 2023. The Company's loans held for sale is reported on the consolidated balance sheets, at fair value, as of September 30, 2024.</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loans held for sale as of and for the nine months ended September 30, 2024. There were no loans held for sale as of and for the nine months ended September 30,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Fair Value (1)</w:t>
            </w: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loans held for investment to loans held for sale (2)(3)</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19,000,000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19,000,000</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(3)</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(13,000,000 )</w:t>
            </w: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(13,000,000 )</w:t>
            </w:r>
          </w:p>
        </w:tc>
      </w:tr>
      <w:tr>
        <w:trPr>
          <w:trHeight w:val="239"/>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6,000,000</w:t>
            </w:r>
          </w:p>
        </w:tc>
        <w:tc>
          <w:tcPr>
            <w:tcW w:w="260" w:type="dxa"/>
            <w:vAlign w:val="bottom"/>
            <w:tcBorders>
              <w:top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6,000,000</w:t>
            </w:r>
          </w:p>
        </w:tc>
        <w:tc>
          <w:tcPr>
            <w:tcW w:w="100" w:type="dxa"/>
            <w:vAlign w:val="bottom"/>
            <w:tcBorders>
              <w:top w:val="single" w:sz="8" w:color="CFF0FC"/>
            </w:tcBorders>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13.</w:t>
      </w:r>
    </w:p>
    <w:p>
      <w:pPr>
        <w:spacing w:after="0" w:line="225" w:lineRule="exact"/>
        <w:rPr>
          <w:rFonts w:ascii="Times New Roman" w:cs="Times New Roman" w:eastAsia="Times New Roman" w:hAnsi="Times New Roman"/>
          <w:sz w:val="18"/>
          <w:szCs w:val="18"/>
          <w:color w:val="auto"/>
        </w:rPr>
      </w:pPr>
    </w:p>
    <w:p>
      <w:pPr>
        <w:ind w:left="380" w:right="60" w:hanging="372"/>
        <w:spacing w:after="0" w:line="258"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the Company entered into a conditional assignment agreement with an affiliate under common control to sell $6.0 million of principal of Loan #11 (Note 3). Upon the change in management's intent to hold this portion of Loan #11 to maturity or payoff, this portion of the loan was transferred from loans held for investment to loans held for sale on the consolidated balance sheets, and was recorded at fair value of $6.0 million (Note 8). The terms of this portion of Loan #11 held for sale are consistent with those presented for this loan in Note 3. The remaining $27.8 million principal balance of Loan #11 is included in loans held for investment as of September 30, 2024.</w:t>
      </w:r>
    </w:p>
    <w:p>
      <w:pPr>
        <w:spacing w:after="0" w:line="183" w:lineRule="exact"/>
        <w:rPr>
          <w:rFonts w:ascii="Times New Roman" w:cs="Times New Roman" w:eastAsia="Times New Roman" w:hAnsi="Times New Roman"/>
          <w:sz w:val="18"/>
          <w:szCs w:val="18"/>
          <w:color w:val="auto"/>
        </w:rPr>
      </w:pPr>
    </w:p>
    <w:p>
      <w:pPr>
        <w:ind w:left="380" w:right="40" w:hanging="372"/>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the Company transferred $13.0 million of principal of Loan #2 from held for investment to held for sale upon receipt of an offer from a third party to purchase such loan. On September 30, 2024, the Company sold $13.0 million of Loan #2 to a third party for a selling price of $13.0 million, and therefore this loan is not included in loans held for sale as of September 30, 2024. In connection with the transfer to held for sale classification, the Company reversed approximately $0.2 million of the CECL reserve (Note 3).</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2024, the balance of $6.0 million of loans held for sale constitutes a portion of Loan #11. This loan was sold on October 1, 2024, at a selling price of $6.0 million (Note 15).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INTEREST RECEIVABLE</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interest receivable as of September 30, 2024, and December 31, 2023:</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772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As of September 30,</w:t>
            </w:r>
          </w:p>
        </w:tc>
        <w:tc>
          <w:tcPr>
            <w:tcW w:w="28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772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477,961</w:t>
            </w:r>
          </w:p>
        </w:tc>
        <w:tc>
          <w:tcPr>
            <w:tcW w:w="6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973,140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fees receivable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484,361</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1,004,140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by class as of September 30, 2024, and December 31,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As of September 30, 2024</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6"/>
                <w:szCs w:val="16"/>
                <w:color w:val="auto"/>
              </w:rPr>
            </w:pPr>
          </w:p>
        </w:tc>
        <w:tc>
          <w:tcPr>
            <w:tcW w:w="8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83"/>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Accrual</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4"/>
                <w:szCs w:val="24"/>
                <w:color w:val="auto"/>
              </w:rPr>
            </w:pPr>
          </w:p>
        </w:tc>
      </w:tr>
      <w:tr>
        <w:trPr>
          <w:trHeight w:val="232"/>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484,361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484,361</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484,361</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484,361</w:t>
            </w: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90+ Days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40" w:type="dxa"/>
            <w:vAlign w:val="bottom"/>
          </w:tcPr>
          <w:p>
            <w:pPr>
              <w:spacing w:after="0"/>
              <w:rPr>
                <w:sz w:val="16"/>
                <w:szCs w:val="16"/>
                <w:color w:val="auto"/>
              </w:rPr>
            </w:pPr>
          </w:p>
        </w:tc>
        <w:tc>
          <w:tcPr>
            <w:tcW w:w="8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83"/>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Accrual</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4"/>
                <w:szCs w:val="24"/>
                <w:color w:val="auto"/>
              </w:rPr>
            </w:pPr>
          </w:p>
        </w:tc>
      </w:tr>
      <w:tr>
        <w:trPr>
          <w:trHeight w:val="232"/>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838,537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838,537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62,189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66,335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37,079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1,004,140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165,603</w:t>
            </w:r>
          </w:p>
        </w:tc>
        <w:tc>
          <w:tcPr>
            <w:tcW w:w="100" w:type="dxa"/>
            <w:vAlign w:val="bottom"/>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-1268095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-1268095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-1268095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-1268095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-1268095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-1268095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-187960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-187960</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-187960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54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1-30 days past due are included in the current loans. Amounts are presented on a gross and net basis, including the effects of any interest reserves for non-accrual loans.</w:t>
      </w:r>
    </w:p>
    <w:p>
      <w:pPr>
        <w:spacing w:after="0" w:line="121" w:lineRule="exact"/>
        <w:rPr>
          <w:rFonts w:ascii="Times New Roman" w:cs="Times New Roman" w:eastAsia="Times New Roman" w:hAnsi="Times New Roman"/>
          <w:sz w:val="18"/>
          <w:szCs w:val="18"/>
          <w:color w:val="auto"/>
        </w:rPr>
      </w:pPr>
    </w:p>
    <w:p>
      <w:pPr>
        <w:ind w:left="380" w:right="80" w:hanging="372"/>
        <w:spacing w:after="0" w:line="25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with an outstanding principal amount of approximately $16.3 million. As of September 30, 2024, Loan #9 has principal greater than 90 days past due, however there is $0 of accrued interest receivable relating to Loan #9. On December 1, 2023 Loan #6 was placed on non-accrual status. In March 2024, the Company entered into an amendment to Loan #6, which extended the maturity date to April 15, 2024. In the second quarter, the Company entered into an additional amendment to Loan #6, which extended the maturity date from April 15, 2024 to January 30, 2026 and restored Loan #6 to accrual status.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INTEREST RESERVE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had five loans and one loan, respectively, that included a prepaid interest reserve.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September 30, 2024 and December 31, 2023, respectively:</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reserves</w:t>
            </w:r>
          </w:p>
        </w:tc>
        <w:tc>
          <w:tcPr>
            <w:tcW w:w="3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reserves</w:t>
            </w: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4,164,021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disbursed</w:t>
            </w:r>
          </w:p>
        </w:tc>
        <w:tc>
          <w:tcPr>
            <w:tcW w:w="3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(2,658,023 )</w:t>
            </w:r>
          </w:p>
        </w:tc>
        <w:tc>
          <w:tcPr>
            <w:tcW w:w="1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(3,031,652 )</w:t>
            </w:r>
          </w:p>
        </w:tc>
        <w:tc>
          <w:tcPr>
            <w:tcW w:w="0" w:type="dxa"/>
            <w:vAlign w:val="bottom"/>
          </w:tcPr>
          <w:p>
            <w:pPr>
              <w:spacing w:after="0"/>
              <w:rPr>
                <w:sz w:val="1"/>
                <w:szCs w:val="1"/>
                <w:color w:val="auto"/>
              </w:rPr>
            </w:pPr>
          </w:p>
        </w:tc>
      </w:tr>
      <w:tr>
        <w:trPr>
          <w:trHeight w:val="236"/>
        </w:trPr>
        <w:tc>
          <w:tcPr>
            <w:tcW w:w="3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Ending reserve</w:t>
            </w:r>
          </w:p>
        </w:tc>
        <w:tc>
          <w:tcPr>
            <w:tcW w:w="37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2,580,887</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1,074,889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74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4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-1096645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facility (the “Revolving Loan”) had an original aggregate borrowing base of up to $10,000,000 and bore interest, payable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in arrears, at a per annum rate equal to the greater of (x) Prime Rate plus 1.00% and (y) 4.75%. The Company incurred debt issuance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related to the origination of the Revolving Loan, which were capitalized and are subsequently being amortized through maturity. The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the Revolving Loan was the earlier of (i) February 12, 2023 and (ii) the date on which the Revolving Loan is terminated pursuant to terms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Loan Agreement.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27, 2023, Chicago Atlantic Lincoln, LLC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 the execution of the Amendment. The Company incurred debt issuance costs of $2,988 related to the Amendment, which were capitalized and are subsequently amortized through maturity.</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The Company incurred debt issuance costs of $109,291 related to the Amendment, which were capitalized and are subsequently amortized through maturity.</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5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On June 26, 2024, CAL entered into the First Amendment to the Fifth Amendment and Restatement. The amendment increased the current loan commitment from $100.0 million to $105.0 million. No other material terms were modified as a result of the execution of this amendment.</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On September 30, 2024, CAL entered into the Sixth Amended and Restated Loan and Security Agreement (the "Sixth Amendment"). The Sixth Amendment increased the current loan commitment from $105.0 million to $110.0 million. No other material terms were modified as a result of the execution of this amendment.</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September 30, 2024, the Company is in compliance with all financial covenants with respect to the Revolving Loan.</w:t>
      </w:r>
    </w:p>
    <w:p>
      <w:pPr>
        <w:spacing w:after="0" w:line="15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unamortized debt issuance costs related to the Revolving Loan, including all amendments and amendments and restatements thereto, as applicable, of $261,217 and $366,592, respectively, are recorded in other receivables and assets, net on the consolidated balance sheets.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had net borrowings and repayments of $(12.0) million against the Revolving Loan. As of September 30, 2024, the Company had $56.0 million available under the Revolving Loan. Additionally, as of September 30, 2024, $155.3 million of the Company's loan portfolio, at principal, are pledged as collateral in the borrowing base of the Revolving Loan.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three and nine months ended September 30, 2024 and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40" w:type="dxa"/>
            <w:vAlign w:val="bottom"/>
          </w:tcPr>
          <w:p>
            <w:pPr>
              <w:spacing w:after="0"/>
              <w:rPr>
                <w:sz w:val="18"/>
                <w:szCs w:val="18"/>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1,701,480</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1,276,292</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5,454,281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3,588,712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146,677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1,799,351</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1,449,143</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5,742,333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4,062,365</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-187960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debt maturities as of September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19"/>
                <w:szCs w:val="19"/>
                <w:color w:val="auto"/>
              </w:rPr>
            </w:pPr>
          </w:p>
        </w:tc>
      </w:tr>
      <w:tr>
        <w:trPr>
          <w:trHeight w:val="223"/>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loan</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54,000,000</w:t>
            </w: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54,000,000</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54,000,000</w:t>
            </w:r>
          </w:p>
        </w:tc>
        <w:tc>
          <w:tcPr>
            <w:tcW w:w="106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54,000,000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-179070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-179070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-179070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-179070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-179070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initial term of our Management Agreement is for three years and continued until May 1, 2024. After the initial term, our Management Agreement shall automatically renew every year for an additional one-year period, unless we or our Manager elect not to renew. Our Management Agreement may be terminated by us or our Manager under certain specified circumstances. On April 30, 2024, the Management Agreement was automatically renewed through April 30, 2025.</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nine months ended September 30, 2024, the Base Management Fee payable was reduced by Outside Fees in the amount of $60,000 and $91,571, respectively. For the three and nine months ended September 30, 2023, the Base Management Fee payable was reduced by Outside Fees in the amount of $0 and $130,000, respectively.</w:t>
      </w:r>
    </w:p>
    <w:p>
      <w:pPr>
        <w:spacing w:after="0" w:line="14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months ended September 30, 2024 and 2023 was $606,737 and $545,966, respectively. Incentive compensation for the nine months ended September 30, 2024 and 2023 was $1,986,008 and $2,532,026, respectively.</w:t>
      </w:r>
    </w:p>
    <w:p>
      <w:pPr>
        <w:spacing w:after="0" w:line="1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related party fees and expenses incurred by the Company for the three and nine months ended September 30,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36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9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earned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1,122,379</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1,055,421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3,304,301</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3,137,033</w:t>
            </w:r>
          </w:p>
        </w:tc>
        <w:tc>
          <w:tcPr>
            <w:tcW w:w="100" w:type="dxa"/>
            <w:vAlign w:val="bottom"/>
          </w:tcPr>
          <w:p>
            <w:pPr>
              <w:spacing w:after="0"/>
              <w:rPr>
                <w:sz w:val="20"/>
                <w:szCs w:val="20"/>
                <w:color w:val="auto"/>
              </w:rPr>
            </w:pPr>
          </w:p>
        </w:tc>
      </w:tr>
      <w:tr>
        <w:trPr>
          <w:trHeight w:val="24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Outside Fees earned</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(60,000 )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(91,571 )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(130,000 )</w:t>
            </w:r>
          </w:p>
        </w:tc>
      </w:tr>
      <w:tr>
        <w:trPr>
          <w:trHeight w:val="237"/>
        </w:trPr>
        <w:tc>
          <w:tcPr>
            <w:tcW w:w="5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Base management fees, net</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1,062,379</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1,055,421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3,212,730</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3,007,033</w:t>
            </w:r>
          </w:p>
        </w:tc>
        <w:tc>
          <w:tcPr>
            <w:tcW w:w="100" w:type="dxa"/>
            <w:vAlign w:val="bottom"/>
            <w:tcBorders>
              <w:top w:val="single" w:sz="8" w:color="CFF0FC"/>
            </w:tcBorders>
          </w:tcPr>
          <w:p>
            <w:pPr>
              <w:spacing w:after="0"/>
              <w:rPr>
                <w:sz w:val="20"/>
                <w:szCs w:val="20"/>
                <w:color w:val="auto"/>
              </w:rPr>
            </w:pPr>
          </w:p>
        </w:tc>
      </w:tr>
      <w:tr>
        <w:trPr>
          <w:trHeight w:val="243"/>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606,737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545,966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1,986,008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2,532,026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5,198,738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5,539,059</w:t>
            </w:r>
          </w:p>
        </w:tc>
        <w:tc>
          <w:tcPr>
            <w:tcW w:w="100" w:type="dxa"/>
            <w:vAlign w:val="bottom"/>
          </w:tcPr>
          <w:p>
            <w:pPr>
              <w:spacing w:after="0"/>
              <w:rPr>
                <w:sz w:val="20"/>
                <w:szCs w:val="20"/>
                <w:color w:val="auto"/>
              </w:rPr>
            </w:pPr>
          </w:p>
        </w:tc>
      </w:tr>
      <w:tr>
        <w:trPr>
          <w:trHeight w:val="243"/>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1,110,611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1,144,907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3,455,367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3,533,493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2,779,727</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2,746,294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8,654,105</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9,072,552</w:t>
            </w:r>
          </w:p>
        </w:tc>
        <w:tc>
          <w:tcPr>
            <w:tcW w:w="10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-822325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-822325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-822325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-505460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-505460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-505460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 line item of the consolidated balance sheets as of September 30, 2024 and December 31, 2023. Total amounts payable to the Manager as of September 30, 2024 and December 31, 2023 were approximately $2.8 million and $5.3 million, respectively, which included bonuses accrued of $0.7 million and $1.2 million which are not reimbursed until paid in cash by the Manager.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under common control with the Manager. Such co-investments are made in accordance with the Manager and its affiliates' investment allocation policies. In certain cases, these affiliated investment vehicles hold an equity interest, which may be in the form of warrants or other convertible instruments, in the same portfolio company and/or borrower to which the Company is a lender, and such equity interests may represent a controlling interest. As of September 30, 2024, the Company has made a loan to one borrower (Loan #18), in which investment vehicles under common control hold a control equity investment (Note 3).</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not obligated to provide, nor has it provided, any financial support to the other managed investment vehicles. As such, the Company’s risk is limited to the carrying value of its investment in any such loan. As of September 30, 2024 and December 31, 2023, 21 and 20 of the Company’s portfolio companies were co-invested by affiliates of the Company, respectively.</w:t>
      </w:r>
    </w:p>
    <w:p>
      <w:pPr>
        <w:spacing w:after="0" w:line="13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During the nine months ended September 30, 2024 and 2023, the Company sold Assigned Rights amounting to $0.6 million and $0.2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transactions with related parties</w:t>
      </w:r>
    </w:p>
    <w:p>
      <w:pPr>
        <w:spacing w:after="0" w:line="18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On January 24, 2023, the Company purchased a senior secured loan from an affiliate under common control with the Manager. The purchase price of approximately $19.3 million was approved by the audit committee of the Board. The fair value approximated the carrying value of the loan of $19.0 million, plus accrued and unpaid interest through the purchase date of $0.3 million.</w:t>
      </w:r>
    </w:p>
    <w:p>
      <w:pPr>
        <w:spacing w:after="0" w:line="13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March 31, 2023, the Company sold a senior secured loan to a syndicate of co-lenders, including a third party and two affiliates under common control with the Manager. The total selling price of approximately $14.2 million was approved by the audit committee of the Board. The fair value approximated the carrying value of the loan of $13.4 million plus accrued unpaid interest of $0.8 million through the sale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 – related party</w:t>
      </w:r>
    </w:p>
    <w:p>
      <w:pPr>
        <w:spacing w:after="0" w:line="18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September 2024, the Company entered into a conditional assignment agreement with an affiliate under common control to sell $6.0 million of principal of Loan #11. Upon the change in management's intent to hold this portion of Loan #11 to maturity or payoff, the loan was transferred from loans held for investment to loans held for sale on the consolidated balance sheets, and was recorded at fair value of $6.0 million (Note 4). Because the amortized cost of the loan equaled the fair value as of September 30, 2024, no valuation allowance has been recorded against the loan held for sale.</w:t>
      </w:r>
    </w:p>
    <w:p>
      <w:pPr>
        <w:spacing w:after="0" w:line="13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October 1, 2024, upon satisfaction of the conditions precedent to the assignment, the Company completed the sale at a price of approximately $6.0 million or 100% of par. The selling price was approved by the audit committee of the Board, and equaled the carrying value as of the sale date. The remaining balance of Loan #11 was repaid in full on the contractual maturity date on October 4, 2024 (Note 15).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 – related party</w:t>
      </w:r>
    </w:p>
    <w:p>
      <w:pPr>
        <w:spacing w:after="0" w:line="20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w:t>
      </w:r>
    </w:p>
    <w:p>
      <w:pPr>
        <w:spacing w:after="0" w:line="14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Agent subsequently pursued a Uniform Commercial Code (“UCC”)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described in Note 3, Loan #9 remains on non-accrual status and the Company will continue to cease further recognition of income until such events of default are cured or obligations are repaid. As of September 30, 2024, Loan #9 is held on the consolidated balance sheet as a loan held for investment – related party with a carrying value of approximately $16.4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September 30, 2024 and December 31, 2023, the Company had the following unfunded commitments on existing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5"/>
        </w:trPr>
        <w:tc>
          <w:tcPr>
            <w:tcW w:w="7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original loan commitments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399,706,770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378,849,998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drawn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(393,706,770 )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(371,349,998 )</w:t>
            </w: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6,000,000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7,500,000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as of September 30,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2027</w:t>
            </w:r>
          </w:p>
        </w:tc>
        <w:tc>
          <w:tcPr>
            <w:tcW w:w="2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22"/>
                <w:szCs w:val="22"/>
                <w:color w:val="auto"/>
              </w:rPr>
            </w:pPr>
          </w:p>
        </w:tc>
      </w:tr>
      <w:tr>
        <w:trPr>
          <w:trHeight w:val="216"/>
        </w:trPr>
        <w:tc>
          <w:tcPr>
            <w:tcW w:w="2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Undrawn commitments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6,000,000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6,000,000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6,000,000</w:t>
            </w:r>
          </w:p>
        </w:tc>
        <w:tc>
          <w:tcPr>
            <w:tcW w:w="104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-179070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-179070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-179070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-179070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-179070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8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undrawn commitment presented relates to Loan #32, which has an outstanding principal balance of $0 as of September 30, 2024. This unfunded commitment was advanced to the borrower in October 2024 upon conditions precedent to the funding having been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September 30, 2024, the Company is not aware of any legal claims that could materially impact its business, financial condition, or results of operations.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1" w:name="page22"/>
    <w:bookmarkEnd w:id="21"/>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maximum number of shares of the Company’s common stock that may be delivered pursuant to awards under the 2021 Plan (the “Share Limit”) equals 8.50% of the issued and outstanding shares of the Company’s common stock on a fully-diluted basis following the completion of the initial public offering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were 0 and 1,147 shares forfeited during the nine months ended September 30, 2024 and 2023, respectively. As individual awards and options become fully vested, stock-based compensation expense is adjusted to recognize actual forfeitures.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September 30, 2024 of $15.51 and December 31, 2023 of $16.18, the aggregate intrinsic value of our restricted stock awards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41"/>
        </w:trPr>
        <w:tc>
          <w:tcPr>
            <w:tcW w:w="5820" w:type="dxa"/>
            <w:vAlign w:val="bottom"/>
          </w:tcPr>
          <w:p>
            <w:pPr>
              <w:spacing w:after="0"/>
              <w:rPr>
                <w:sz w:val="20"/>
                <w:szCs w:val="20"/>
                <w:color w:val="auto"/>
              </w:rPr>
            </w:pPr>
          </w:p>
        </w:tc>
        <w:tc>
          <w:tcPr>
            <w:tcW w:w="11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40" w:type="dxa"/>
            <w:vAlign w:val="bottom"/>
          </w:tcPr>
          <w:p>
            <w:pPr>
              <w:spacing w:after="0"/>
              <w:rPr>
                <w:sz w:val="20"/>
                <w:szCs w:val="20"/>
                <w:color w:val="auto"/>
              </w:rPr>
            </w:pP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00" w:type="dxa"/>
            <w:vAlign w:val="bottom"/>
          </w:tcPr>
          <w:p>
            <w:pPr>
              <w:spacing w:after="0"/>
              <w:rPr>
                <w:sz w:val="20"/>
                <w:szCs w:val="20"/>
                <w:color w:val="auto"/>
              </w:rPr>
            </w:pPr>
          </w:p>
        </w:tc>
      </w:tr>
      <w:tr>
        <w:trPr>
          <w:trHeight w:val="274"/>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6,611,324</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2,935,112</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5,525,370</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937,068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during the nine months ended September 30, 2024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76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5"/>
        </w:trPr>
        <w:tc>
          <w:tcPr>
            <w:tcW w:w="76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366,647</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187,335</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(127,720 )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FF0FC"/>
          </w:tcPr>
          <w:p>
            <w:pPr>
              <w:spacing w:after="0"/>
              <w:rPr>
                <w:sz w:val="21"/>
                <w:szCs w:val="21"/>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September 30, 2024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426,262</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5" w:right="339" w:bottom="1440" w:gutter="0" w:footer="0" w:header="0"/>
        </w:sectPr>
      </w:pPr>
    </w:p>
    <w:p>
      <w:pPr>
        <w:spacing w:after="0" w:line="223"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43"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Weighted Average</w:t>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 Share</w:t>
      </w:r>
    </w:p>
    <w:p>
      <w:pPr>
        <w:spacing w:after="0" w:line="9" w:lineRule="exact"/>
        <w:rPr>
          <w:sz w:val="20"/>
          <w:szCs w:val="20"/>
          <w:color w:val="auto"/>
        </w:rPr>
      </w:pPr>
    </w:p>
    <w:p>
      <w:pPr>
        <w:sectPr>
          <w:pgSz w:w="11900" w:h="16838" w:orient="portrait"/>
          <w:cols w:equalWidth="0" w:num="2">
            <w:col w:w="9220" w:space="420"/>
            <w:col w:w="1600"/>
          </w:cols>
          <w:pgMar w:left="320" w:top="995" w:right="3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80,984</w:t>
            </w:r>
          </w:p>
        </w:tc>
        <w:tc>
          <w:tcPr>
            <w:tcW w:w="280" w:type="dxa"/>
            <w:vAlign w:val="bottom"/>
          </w:tcPr>
          <w:p>
            <w:pPr>
              <w:spacing w:after="0"/>
              <w:rPr>
                <w:sz w:val="21"/>
                <w:szCs w:val="21"/>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1"/>
                <w:szCs w:val="21"/>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323,452</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(20,648 )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(1,147 )</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Balance at September 30, 2023</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382,641</w:t>
            </w:r>
          </w:p>
        </w:tc>
        <w:tc>
          <w:tcPr>
            <w:tcW w:w="28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Forfeitures are recognized as they occur. The share-based compensation expense for the Company was $2.2 million and $0.9 million for the nine months ended September 30, 2024 and 2023, respectively. The unamortized share-based compensation expense for the Company was approximately $5.2 million and $5.1 million as of September 30, 2024 and 2023, respectively, which the Company expects to recognize over the remaining weighted-average term of 2.0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4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an aggregate of 2,700 and 1,309,503 shares, respectively, of the Company’s common stock under the Sales Agreement. The weighted average sales price during the three and nine months ended September 30, 2024 was $16.12 and $15.88 per share, generating net proceeds of approximately $42.6 thousand and $20.8 million, respectively.</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sold an aggregate of 0 and 79,862 shares of the Company’s common stock under the Sales Agreement at an average price of $15.78 per share, generating net proceeds of approximately $1.2 million.</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2024, the shares of common stock sold pursuant to the registered direct offering in February 2023 and under the ATM Program are the only offerings that have been initiated under the Shelf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three and nine months ended September 30,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5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1"/>
        </w:trPr>
        <w:tc>
          <w:tcPr>
            <w:tcW w:w="5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11,211,636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9,976,998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29,125,711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29,312,725</w:t>
            </w:r>
          </w:p>
        </w:tc>
        <w:tc>
          <w:tcPr>
            <w:tcW w:w="100" w:type="dxa"/>
            <w:vAlign w:val="bottom"/>
            <w:shd w:val="clear" w:color="auto" w:fill="CFF0FC"/>
          </w:tcPr>
          <w:p>
            <w:pPr>
              <w:spacing w:after="0"/>
              <w:rPr>
                <w:sz w:val="20"/>
                <w:szCs w:val="20"/>
                <w:color w:val="auto"/>
              </w:rPr>
            </w:pPr>
          </w:p>
        </w:tc>
      </w:tr>
      <w:tr>
        <w:trPr>
          <w:trHeight w:val="239"/>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Divided by: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19,625,190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18,175,467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19,094,462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18,052,293</w:t>
            </w:r>
          </w:p>
        </w:tc>
        <w:tc>
          <w:tcPr>
            <w:tcW w:w="100" w:type="dxa"/>
            <w:vAlign w:val="bottom"/>
            <w:shd w:val="clear" w:color="auto" w:fill="CFF0FC"/>
          </w:tcPr>
          <w:p>
            <w:pPr>
              <w:spacing w:after="0"/>
              <w:rPr>
                <w:sz w:val="21"/>
                <w:szCs w:val="21"/>
                <w:color w:val="auto"/>
              </w:rPr>
            </w:pPr>
          </w:p>
        </w:tc>
      </w:tr>
      <w:tr>
        <w:trPr>
          <w:trHeight w:val="239"/>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20,058,417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18,562,930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19,531,691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18,269,171</w:t>
            </w:r>
          </w:p>
        </w:tc>
        <w:tc>
          <w:tcPr>
            <w:tcW w:w="100" w:type="dxa"/>
            <w:vAlign w:val="bottom"/>
          </w:tcPr>
          <w:p>
            <w:pPr>
              <w:spacing w:after="0"/>
              <w:rPr>
                <w:sz w:val="20"/>
                <w:szCs w:val="20"/>
                <w:color w:val="auto"/>
              </w:rPr>
            </w:pPr>
          </w:p>
        </w:tc>
      </w:tr>
      <w:tr>
        <w:trPr>
          <w:trHeight w:val="247"/>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anti-dilutive shares excluded from the computations of earnings per common share for the three and nine months ended September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nine months ended September 30, 2024 and 2023, we did not incur excise tax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does not have any material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held for sale, at fair value(1)</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40" w:firstLine="8"/>
        <w:spacing w:after="0" w:line="28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loan held for sale as of September 30, 2024 was sold on October 1, 2024 (Note 15). The sale price of $6.0 million was determined prior to the balance sheet date and accordingly this financial asset is included in Level 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at fair value</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842,269</w:t>
            </w:r>
          </w:p>
        </w:tc>
        <w:tc>
          <w:tcPr>
            <w:tcW w:w="100" w:type="dxa"/>
            <w:vAlign w:val="bottom"/>
          </w:tcPr>
          <w:p>
            <w:pPr>
              <w:spacing w:after="0"/>
              <w:rPr>
                <w:sz w:val="20"/>
                <w:szCs w:val="20"/>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0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carrying values and fair values of the Company’s financial assets and liabilities recorded at amortized cost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Level in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300" w:type="dxa"/>
            <w:vAlign w:val="bottom"/>
          </w:tcPr>
          <w:p>
            <w:pPr>
              <w:spacing w:after="0"/>
              <w:rPr>
                <w:sz w:val="21"/>
                <w:szCs w:val="2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6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354,672,510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353,727,754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353,640,610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351,952,876</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6,760,433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6,760,433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7,898,040</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484,361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1,004,140</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614,762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614,762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705,960</w:t>
            </w:r>
          </w:p>
        </w:tc>
        <w:tc>
          <w:tcPr>
            <w:tcW w:w="100" w:type="dxa"/>
            <w:vAlign w:val="bottom"/>
            <w:shd w:val="clear" w:color="auto" w:fill="CFF0FC"/>
          </w:tcPr>
          <w:p>
            <w:pPr>
              <w:spacing w:after="0"/>
              <w:rPr>
                <w:sz w:val="21"/>
                <w:szCs w:val="21"/>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00" w:type="dxa"/>
            <w:vAlign w:val="bottom"/>
          </w:tcPr>
          <w:p>
            <w:pPr>
              <w:spacing w:after="0"/>
              <w:rPr>
                <w:sz w:val="20"/>
                <w:szCs w:val="20"/>
                <w:color w:val="auto"/>
              </w:rPr>
            </w:pPr>
          </w:p>
        </w:tc>
      </w:tr>
      <w:tr>
        <w:trPr>
          <w:trHeight w:val="252"/>
        </w:trPr>
        <w:tc>
          <w:tcPr>
            <w:tcW w:w="4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53,738,783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65,633,408</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1,357,718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1,357,718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reserve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2,580,887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2,580,887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1,074,889</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3,243,775</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2,051,531</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9,267,714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9,267,714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13,866,656</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loans are held for investment and are substantially secured by real estate, equipment, licenses and other assets of the borrowers to the extent permitted by the applicable laws and the regulations governing such borrowers. The aggregate fair value of the Company’s portfolio of loans held for investment was $353,727,754 and $351,952,876, with gross unrecognized holding losses of $944,756 and $1,687,734 as of September 30, 2024 and December 31, 2023,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199A</w:t>
            </w:r>
          </w:p>
        </w:tc>
        <w:tc>
          <w:tcPr>
            <w:tcW w:w="0" w:type="dxa"/>
            <w:vAlign w:val="bottom"/>
          </w:tcPr>
          <w:p>
            <w:pPr>
              <w:spacing w:after="0"/>
              <w:rPr>
                <w:sz w:val="1"/>
                <w:szCs w:val="1"/>
                <w:color w:val="auto"/>
              </w:rPr>
            </w:pP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7/15/2024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3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10/15/2024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6/30/2023</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7/14/2023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9/29/2023</w:t>
            </w:r>
          </w:p>
        </w:tc>
        <w:tc>
          <w:tcPr>
            <w:tcW w:w="13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10/13/2023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Activity</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period from October 1, 2024 to November 7, 2024, the Company advanced approximately $5.5 million to existing borrowers under fully discretionary delayed draw facilities, and the Company advanced the $6.0 million unfunded commitment on Loan #32. Additionally, in October 2024, the Company originated a $27.0 million term loan to an operator in Illinois, of which $25.0 million was funded at closing. The loan bears interest at a floating rate, based on the prime rate, and a spread of 6.25% subject to a 7.50% prime rate floor. The loan is interest only for the first 15 months and thereafter amortizes at a rate of 10.0% per annum.</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 2024, the Company sold $6.0 million of the principal balance of Loan #11, which was classified as held for sale as of September 30, 2024, to an affiliate under common control with the Manager. The total selling price of approximately $6.0 million was approved by the audit committee of the Board. The fair value equaled the carrying value of the loan of $6.0 million plus accrued unpaid interest through the sale date. On October 4, 2024, the outstanding principal balance of Loan #11 was repaid in full along with all applicable accrued interest and fees payable at maturity.</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30, 2024, the Company entered into an Omnibus Assignment and Assumption Agreement with an affiliate under common control whereby the Company sold $6.0 million of the principal balance of Loan #1, in exchange for aggregate consideration of $6.0 million comprised of approximately $4.5 million and $1.5 million of principal of existing Loans #7 and #20, respectively. The fair value approximated the carrying value of the loan plus accrued unpaid interest through the sale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Notes due 2028</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October 18, 2024, the Company entered into a Loan Agreement by and among the Company and the various financial institutions party thereto, for an aggregate commitment of $50.0 million in unsecured notes (the "Unsecured Notes"). The Unsecured Notes have a contractual four year term maturing on October 18, 2028 and bear an interest rate of 9.00% per annum. 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are subsequently amortized through maturity.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from October 1, 2024 to November 6, 2024, the Company had net borrowings and repayments on the Revolving Loan of $(38.5)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7, 2024, remaining availability on the Revolving Loan is $94.5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15, 2024, the Company paid its regular quarterly dividend of $0.47 per common share relating to the third quarter of 2024 to stockholders of record as of the close of business on September 30, 2024. The total amount of the cash dividend payment was approximately $9.3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6" w:name="page27"/>
    <w:bookmarkEnd w:id="26"/>
    <w:p>
      <w:pPr>
        <w:ind w:right="380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54"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184"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(“REIT”) for U.S. federal income tax purposes;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6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loans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48"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September 30, 2024 and December 31, 2023, 20.2% and 27.1%,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48"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2024, our portfolio is comprised primarily of first mortgages to established multi-state or single-state cannabis operators or property owners. We consider cannabis operators to be established if they are state-licensed and are deemed to be operational and in good standing by the applicable state regulator. We do not own any stock, warrants to purchase stock or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ind w:right="260"/>
        <w:spacing w:after="0" w:line="282" w:lineRule="auto"/>
        <w:rPr>
          <w:sz w:val="20"/>
          <w:szCs w:val="20"/>
          <w:color w:val="auto"/>
        </w:rPr>
      </w:pPr>
      <w:r>
        <w:rPr>
          <w:rFonts w:ascii="Times New Roman" w:cs="Times New Roman" w:eastAsia="Times New Roman" w:hAnsi="Times New Roman"/>
          <w:sz w:val="18"/>
          <w:szCs w:val="18"/>
          <w:color w:val="auto"/>
        </w:rPr>
        <w:t>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3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4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September 30, 2024 and December 31, 2023, approximately 62.8% and 80.5%, respectively, of our portfolio was comprised of floating rate loans, and 37.2% and 19.5% of our portfolio was comprised of fixed rate loans, respectively. The floating rate loans described above are variable based upon the Prime Rate plus an applicable margin, and in many cases, a Prime Rate floor.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below table reflects the changes in the Prime Rate since January 1, 2023:</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80" w:type="dxa"/>
            <w:vAlign w:val="bottom"/>
          </w:tcPr>
          <w:p>
            <w:pPr>
              <w:spacing w:after="0"/>
              <w:rPr>
                <w:sz w:val="24"/>
                <w:szCs w:val="24"/>
                <w:color w:val="auto"/>
              </w:rPr>
            </w:pPr>
          </w:p>
        </w:tc>
        <w:tc>
          <w:tcPr>
            <w:tcW w:w="21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4"/>
                <w:szCs w:val="24"/>
                <w:b w:val="1"/>
                <w:bCs w:val="1"/>
                <w:color w:val="auto"/>
                <w:vertAlign w:val="superscript"/>
              </w:rPr>
              <w:t>(1)</w:t>
            </w:r>
          </w:p>
        </w:tc>
      </w:tr>
      <w:tr>
        <w:trPr>
          <w:trHeight w:val="228"/>
        </w:trPr>
        <w:tc>
          <w:tcPr>
            <w:tcW w:w="9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19, 2024</w:t>
            </w:r>
          </w:p>
        </w:tc>
        <w:tc>
          <w:tcPr>
            <w:tcW w:w="18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4,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 2023</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Rate obtained from the Wall Street Journal’s “Bonds, Rates &amp; Yields” table.</w:t>
      </w:r>
    </w:p>
    <w:p>
      <w:pPr>
        <w:spacing w:after="0" w:line="18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75"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 party valuation firms);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29" w:name="page30"/>
    <w:bookmarkEnd w:id="29"/>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audit fees and expenses from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3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nine months ended September 30, 2024, we did not incur excise tax expense.</w:t>
      </w:r>
    </w:p>
    <w:p>
      <w:pPr>
        <w:spacing w:after="0" w:line="14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September 30, 2024.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 During the third quarter, the prime rate decreased by 50 basis points from 8.50% as of June 30, 2024 to 8.00% as of September 30, 2024. As of September 30, 2024, 43.1% of the Company's loan portfolio bears a fixed interest rate or has a prime rate floor equal to or greater than that prevailing prime rate.</w:t>
      </w:r>
    </w:p>
    <w:p>
      <w:pPr>
        <w:spacing w:after="0" w:line="15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Periods of rising interest rates may, over time, cause:</w:t>
      </w:r>
    </w:p>
    <w:p>
      <w:pPr>
        <w:spacing w:after="0" w:line="54" w:lineRule="exact"/>
        <w:rPr>
          <w:sz w:val="20"/>
          <w:szCs w:val="20"/>
          <w:color w:val="auto"/>
        </w:rPr>
      </w:pPr>
    </w:p>
    <w:p>
      <w:pPr>
        <w:ind w:left="1020" w:right="1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increase, subject to any applicable ceilings, which could result in a decline in our net interest spread and net interest margin;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mortgage loans to decline;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loans to reset to higher 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periods of declining interest rates, in general, may over time cause:</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decrease, subject to any applicable floors;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loan portfolio to increase, for such mortgages with applicable floors;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mortgage loans to reset to lower interest rates, subject to any applicable floors.</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severity of any such increase or decrease to our net interest spread and net interest margin would depend on our asset/liability composition at the time as well as the magnitude and duration of the interest rate increase. If any of these events happen, we could experience a decrease in net income or incur a net loss during these periods, which could adversely affect our liquidity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20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48"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September 30, 2024, 94.3% of our floating rate loans, based on principal outstanding have interest rate floors, and one loan is subject to an interest rate cap (Note 3) as shown below:</w:t>
      </w:r>
    </w:p>
    <w:p>
      <w:pPr>
        <w:spacing w:after="0" w:line="3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Prime Rate Floor</w:t>
            </w:r>
          </w:p>
        </w:tc>
        <w:tc>
          <w:tcPr>
            <w:tcW w:w="280" w:type="dxa"/>
            <w:vAlign w:val="bottom"/>
          </w:tcPr>
          <w:p>
            <w:pPr>
              <w:spacing w:after="0"/>
              <w:rPr>
                <w:sz w:val="21"/>
                <w:szCs w:val="21"/>
                <w:color w:val="auto"/>
              </w:rPr>
            </w:pPr>
          </w:p>
        </w:tc>
        <w:tc>
          <w:tcPr>
            <w:tcW w:w="198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Prime Rate Cap</w:t>
            </w:r>
          </w:p>
        </w:tc>
        <w:tc>
          <w:tcPr>
            <w:tcW w:w="24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0" w:type="dxa"/>
            <w:vAlign w:val="bottom"/>
          </w:tcPr>
          <w:p>
            <w:pPr>
              <w:spacing w:after="0"/>
              <w:rPr>
                <w:sz w:val="1"/>
                <w:szCs w:val="1"/>
                <w:color w:val="auto"/>
              </w:rPr>
            </w:pPr>
          </w:p>
        </w:tc>
      </w:tr>
      <w:tr>
        <w:trPr>
          <w:trHeight w:val="239"/>
        </w:trPr>
        <w:tc>
          <w:tcPr>
            <w:tcW w:w="2160" w:type="dxa"/>
            <w:vAlign w:val="bottom"/>
            <w:tcBorders>
              <w:top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98"/>
              </w:rPr>
              <w:t>8.50%</w:t>
            </w:r>
          </w:p>
        </w:tc>
        <w:tc>
          <w:tcPr>
            <w:tcW w:w="28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19,600,000</w:t>
            </w:r>
          </w:p>
        </w:tc>
        <w:tc>
          <w:tcPr>
            <w:tcW w:w="34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8.00%</w:t>
            </w:r>
          </w:p>
        </w:tc>
        <w:tc>
          <w:tcPr>
            <w:tcW w:w="28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7.75%</w:t>
            </w: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21,066,738</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7.50%</w:t>
            </w:r>
          </w:p>
        </w:tc>
        <w:tc>
          <w:tcPr>
            <w:tcW w:w="28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15,356,876</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7.00%</w:t>
            </w: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50,936,913</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6.25%</w:t>
            </w:r>
          </w:p>
        </w:tc>
        <w:tc>
          <w:tcPr>
            <w:tcW w:w="28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25,354,286</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5.85%</w:t>
            </w: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5.50%</w:t>
            </w:r>
          </w:p>
        </w:tc>
        <w:tc>
          <w:tcPr>
            <w:tcW w:w="28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8"/>
              </w:rPr>
              <w:t>3.25%</w:t>
            </w: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79,979,405</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tcBorders>
              <w:bottom w:val="single" w:sz="8" w:color="CFF0FC"/>
            </w:tcBorders>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98"/>
              </w:rPr>
              <w:t>0.00%</w:t>
            </w:r>
          </w:p>
        </w:tc>
        <w:tc>
          <w:tcPr>
            <w:tcW w:w="28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2500" w:type="dxa"/>
            <w:vAlign w:val="bottom"/>
            <w:tcBorders>
              <w:bottom w:val="single" w:sz="8" w:color="CFF0FC"/>
            </w:tcBorders>
            <w:gridSpan w:val="2"/>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200,603,490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160" w:type="dxa"/>
            <w:vAlign w:val="bottom"/>
          </w:tcPr>
          <w:p>
            <w:pPr>
              <w:spacing w:after="0"/>
              <w:rPr>
                <w:sz w:val="20"/>
                <w:szCs w:val="20"/>
                <w:color w:val="auto"/>
              </w:rPr>
            </w:pPr>
          </w:p>
        </w:tc>
        <w:tc>
          <w:tcPr>
            <w:tcW w:w="226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227,634,218</w:t>
            </w:r>
          </w:p>
        </w:tc>
        <w:tc>
          <w:tcPr>
            <w:tcW w:w="34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227,634,218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gridSpan w:val="2"/>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-1216660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4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continue to capitalize on these opportunities and grow the size of our portfolio.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Third Quarter of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Third Quarter of 2024</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July 2024, we entered into an amendment to Loan #3, which extended the maturity date to January 29, 2027 of two of the three tranches held.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terms of the loan were modified in connection with this amendment.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August 2024, we entered into an amendment to Loan #8 which extended the maturity date from September 1, 2024 to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interest rate was amended to a fixed rate of 10.00% from a floating rate of Prime + 9.25%. The PIK rate also decreased from 10% to 0%.</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September 2024, we entered into an amendment to Loan #16, which extended the maturity date from December 31, 2024 to August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interest rate was amended to a fixed rate of 16.75% from a floating rate of Prime + 9.25%.</w:t>
      </w:r>
    </w:p>
    <w:p>
      <w:pPr>
        <w:spacing w:after="0" w:line="20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September 2024, the Company entered into a conditional assignment agreement with an affiliate under common control to sell $6.0 million of principal of Loan #11. Upon the change in management's intent to hold this portion of Loan #11 to maturity or payoff, the loan was transferred from loans held for investment to loans held for sale on the consolidated balance sheets, and was recorded at fair value of approximately $6.0 million. As a result of the expected repayment of this loan at the contractual maturity date of October 4, 2024, there was no decrease to the CECL reserve as a result of this transfer.</w:t>
      </w:r>
    </w:p>
    <w:p>
      <w:pPr>
        <w:spacing w:after="0" w:line="183"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September 2024, the Company transferred $13.0 million of principal of Loan #2 from held for investment to held for sale upon receipt of an offer from a third party to purchase such loan. On September 30, 2024, the Company sold $13.0 million of Loan #2 to a third party for a selling price of $13.0 million.</w:t>
      </w:r>
    </w:p>
    <w:p>
      <w:pPr>
        <w:spacing w:after="0" w:line="13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As described in Note 3, Loan #9 remains on non-accrual status and the Company will continue to cease further recognition of income until such events of default are cured or obligations are repaid. As of September 30, 2024, Loan #9 is held on the consolidated balance sheet as a loan held for investment – related party with a carrying value of approximately $16.4 million and a reserve for current expected credit losses of approximately $1.4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w:t>
      </w:r>
    </w:p>
    <w:p>
      <w:pPr>
        <w:spacing w:after="0" w:line="20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During the period from October 1, 2024 to November 7, 2024, we advanced approximately $5.5 million to existing borrowers under fully discretionary delayed draw facilities, and we advanced the $6.0 million unfunded commitment on Loan #32. Additionally, in October 2024, we originated a $27.0 million term loan to an operator in Illinois, of which $25.0 million was funded at closing. The loan bears interest at a floating rate, based on the prime rate, and a spread of 6.25% subject to a 7.50% prime rate floor. The loan is interest only for the first 15 months and thereafter amortizes at a rate of 10.0% per annum.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October 1, 2024, the Company sold $6.0 million of the principal balance of Loan #11, which was classified as held for sale, to an affiliate under common control with the Manager. The total selling price of approximately $6.0 million was approved by the audit committee of the Board. The fair value approximated the carrying value of the loan of $6.0 million plus accrued unpaid interest through the sale date. On October 4, 2024, the outstanding principal balance of Loan #11 was repaid in full along with all applicable accrued interest and fees payable at maturity.</w:t>
      </w:r>
    </w:p>
    <w:p>
      <w:pPr>
        <w:spacing w:after="0" w:line="153"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 October 2024, we entered into an amendment to Loan #2, which extended the maturity date from December 31, 2024 to December 31, 2025. Additionally, the cash interest rate was amended to a rate equal to the greater of: (i) the Prime Rate plus 3.00% and (ii) 11.50%, and the Prime Rate floor was increased from 3.25% to 8.50%.</w:t>
      </w:r>
    </w:p>
    <w:p>
      <w:pPr>
        <w:spacing w:after="0" w:line="13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On October 30, 2024, the Company entered into an Omnibus Assignment and Assumption Agreement with an affiliate under common control whereby the Company sold $6.0 million of the principal balance of Loan #1, in exchange for aggregate consideration of $6.0 million comprised of approximately $4.5 million and $1.5 million of principal of existing Loans #7 and #20, respectively. The fair value approximated the carrying value of the loan plus accrued unpaid interest through the sale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20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declared an ordinary cash dividend of $0.47 per share of our common stock, relating to the third quarter of 2024, which was paid on October 15, 2024 to stockholders of record as of the close of business on September 30, 2024. The total amount of the cash dividend payment was approximately $9.3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payment of this dividend is not indicative of our ability to pay such dividends in the future.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tc>
        <w:tc>
          <w:tcPr>
            <w:tcW w:w="160" w:type="dxa"/>
            <w:vAlign w:val="bottom"/>
          </w:tcPr>
          <w:p>
            <w:pPr>
              <w:spacing w:after="0"/>
              <w:rPr>
                <w:sz w:val="24"/>
                <w:szCs w:val="24"/>
                <w:color w:val="auto"/>
              </w:rPr>
            </w:pPr>
          </w:p>
        </w:tc>
        <w:tc>
          <w:tcPr>
            <w:tcW w:w="27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16,258,744</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15,183,450</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1,075,294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(1,799,351 )</w:t>
            </w:r>
          </w:p>
        </w:tc>
        <w:tc>
          <w:tcPr>
            <w:tcW w:w="22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(1,449,143 )</w:t>
            </w: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(350,208 )</w:t>
            </w: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14,459,393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13,734,307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481"/>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1,601,387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1,254,062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1,251,307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468,652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491,107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(22,455 )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540,426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provision for current expected credit losses</w:t>
            </w: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(989,597 )</w:t>
            </w:r>
          </w:p>
        </w:tc>
        <w:tc>
          <w:tcPr>
            <w:tcW w:w="22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(41,351 )</w:t>
            </w: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(948,246 )</w:t>
            </w: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2293 %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3,247,757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3,842,876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(595,119 )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(85,567 )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9,976,998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1,234,638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9,976,998</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1,234,638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-2527935</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62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53" w:lineRule="exact"/>
        <w:rPr>
          <w:sz w:val="20"/>
          <w:szCs w:val="20"/>
          <w:color w:val="auto"/>
        </w:rPr>
      </w:pPr>
    </w:p>
    <w:p>
      <w:pPr>
        <w:ind w:left="760" w:right="10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approximately $1.1 million, or 7%, during the quarter ended September 30, 2024, compared to the quarter ended September 30, 2023. The increase in interest income was driven primarily from the increase in the average outstanding principal balance of loans during the comparable period which increased from $329.9 million for the three months ended September 30, 2023 to $372.8 million for the three months ended September 30, 2024. The increase was offset by a decrease in the weighted average portfolio yield from 19.3% to 18.3% during the comparable periods.</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61" w:right="259" w:bottom="1440" w:gutter="0" w:footer="0" w:header="0"/>
        </w:sectPr>
      </w:pPr>
    </w:p>
    <w:bookmarkStart w:id="33" w:name="page34"/>
    <w:bookmarkEnd w:id="33"/>
    <w:p>
      <w:pPr>
        <w:ind w:left="760" w:right="18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by approximately $0.4 million, or 24%, over the comparative period. The increase was attributable to the timing of borrowings and an increase in the outstanding balance on the Revolving Loan, which bears interest at the Prime Rate plus 25 basis points as of September 30, 2024, compared to the Prime Rate plus 0 basis points as of September 30, 2023. Additionally, the weighted average outstanding balance on the Revolving Loan was approximately $76.4 million and $59.0 million, as of September 30, 2024, and 2023, respectively, further contributing to the increase in interest expense.</w:t>
      </w:r>
    </w:p>
    <w:p>
      <w:pPr>
        <w:spacing w:after="0" w:line="156"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increased by approximately $67 thousand, or 4%, over the comparative period. The increase is attributable to the change in weighted average equity which was $296.8 million as of September 30, 2024 compared to $282.2 million as of September 30, 2023, driven by new issuances of our common stock under the ATM program.</w:t>
      </w:r>
    </w:p>
    <w:p>
      <w:pPr>
        <w:spacing w:after="0" w:line="135" w:lineRule="exact"/>
        <w:rPr>
          <w:rFonts w:ascii="Times New Roman" w:cs="Times New Roman" w:eastAsia="Times New Roman" w:hAnsi="Times New Roman"/>
          <w:sz w:val="18"/>
          <w:szCs w:val="18"/>
          <w:color w:val="auto"/>
        </w:rPr>
      </w:pPr>
    </w:p>
    <w:p>
      <w:pPr>
        <w:jc w:val="both"/>
        <w:ind w:left="760" w:right="8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decreased by approximately $22 thousand for the three months ended September 30, 2024, as compared to the three months ended September 30, 2023. The decrease was primarily due to a decrease in professional fees in the third quarter of 2024.</w:t>
      </w:r>
    </w:p>
    <w:p>
      <w:pPr>
        <w:spacing w:after="0" w:line="13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$0.3 million for the three months ended September 30, 2024, as compared to the three months ended September 30, 2023. The increase over the comparable period is driven by the incremental expense recognized on the 187,335 restricted stock awards granted to employees of our Manager on April 1, 2024.</w:t>
      </w:r>
    </w:p>
    <w:p>
      <w:pPr>
        <w:spacing w:after="0" w:line="148"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for current expected credit losses was approximately $1.0 million in the three months ended September 30, 2024, as compared to a reversal of $41 thousand in the three months ended September 30, 2023. Our provision for current expected credit losses decreased due to both borrower specific credit factors and portfolio composition as a result of the approximately $32.3 million in principal repayments during the third quarter of 2024. Additionally, during the third quarter of 2024, the Company transferred $13.0 million of principal of Loan #2 from loans held for investment to loans held for sale, and reversed approximately $0.2 million of the CECL reserve in connection with the transfer. Additionally, the original portfolio has matured since September 30, 2023, with the weighted average remaining life of the total loan portfolio decreasing to 2.1 years as of September 30, 2024 from 2.2 years as of September 30, 2023.</w:t>
      </w:r>
    </w:p>
    <w:p>
      <w:pPr>
        <w:spacing w:after="0" w:line="148" w:lineRule="exact"/>
        <w:rPr>
          <w:sz w:val="20"/>
          <w:szCs w:val="20"/>
          <w:color w:val="auto"/>
        </w:rPr>
      </w:pPr>
    </w:p>
    <w:p>
      <w:pPr>
        <w:ind w:left="1540" w:right="60" w:hanging="514"/>
        <w:spacing w:after="0" w:line="255"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CECL reserve represents approximately 113 basis points of our aggregate loans held for investment, at carrying value, of approximately $354.7 million as of September 30, 2024, compared with 150 basis points as of September 30, 2023. As of September 30, 2024, we anticipate a softened interest rate environment in our forecast period compared to September 30, 2023, when interest rates were continuing to rise. The prime rate during the three months ended September 30, 2024 decreased to 8.00%. Accordingly, estimates and metrics regarding our borrower's ability to meet debt service obligations, have improved given the expectations of declining interest rates subsequent to September 30, 2024, leading to expected additional free cash flow generation by our portfolio companies. These factors contributed to a decline in the reserve as a percentage of our portfolio principal.</w:t>
      </w:r>
    </w:p>
    <w:p>
      <w:pPr>
        <w:spacing w:after="0" w:line="148" w:lineRule="exact"/>
        <w:rPr>
          <w:rFonts w:ascii="Times New Roman" w:cs="Times New Roman" w:eastAsia="Times New Roman" w:hAnsi="Times New Roman"/>
          <w:sz w:val="18"/>
          <w:szCs w:val="18"/>
          <w:color w:val="auto"/>
        </w:rPr>
      </w:pPr>
    </w:p>
    <w:p>
      <w:pPr>
        <w:ind w:left="1540" w:hanging="514"/>
        <w:spacing w:after="0" w:line="258"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a reserve liability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 There is $6.0 million of unfunded commitments as of September 30, 2024 relating to one borrower, and this unfunded commitment carries a $0 CECL reserve. This unfunded commitment was advanced in October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1"/>
                <w:szCs w:val="21"/>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46,624,842</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46,369,976</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254,866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(5,742,333 )</w:t>
            </w:r>
          </w:p>
        </w:tc>
        <w:tc>
          <w:tcPr>
            <w:tcW w:w="22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(4,062,365 )</w:t>
            </w: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(1,679,968 )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40,882,509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42,307,611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(1,425,102 )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2"/>
        </w:trPr>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5,198,738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5,539,059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(340,321 )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8"/>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3,833,733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1,327,659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1,598,376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(270,717 )</w:t>
            </w: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2,213,150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942,605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57"/>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provision for current expected credit losses</w:t>
            </w:r>
          </w:p>
        </w:tc>
        <w:tc>
          <w:tcPr>
            <w:tcW w:w="1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(884,789 )</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1,193,880</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(2,078,669 )</w:t>
            </w:r>
          </w:p>
        </w:tc>
        <w:tc>
          <w:tcPr>
            <w:tcW w:w="26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11,753,622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13,107,653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(1,354,031 )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(75,604 )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(188,371 )</w:t>
            </w:r>
          </w:p>
        </w:tc>
        <w:tc>
          <w:tcPr>
            <w:tcW w:w="2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2"/>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29,312,725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(187,014 )</w:t>
            </w:r>
          </w:p>
        </w:tc>
        <w:tc>
          <w:tcPr>
            <w:tcW w:w="2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29,312,725</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(187,014 )</w:t>
            </w: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162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1631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62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100" w:hanging="378"/>
        <w:spacing w:after="0" w:line="25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approximately $0.3 million, or 1%, during the nine months ended September 30, 2024, compared to the nine months ended September 30, 2023. The increase was primarily due to an increase in the outstanding principal balance of the loan portfolio which increased from $338.8 million as of September 30, 2023 to $360.7 million as of September 30, 2024. The increase was offset by a decrease in the weighted average yield to maturity of the portfolio which decreased to 18.3% as of September 30, 2024, from 19.3% as of September 30, 2023 resulting from certain repricing amendments during the nine months ended September 30, 2024, supplemented by the decline in the prime rate during the quarter impacting the applicable 62.8% of our portfolio which bears a variable rate.</w:t>
      </w:r>
    </w:p>
    <w:p>
      <w:pPr>
        <w:spacing w:after="0" w:line="146"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increased by approximately $1.7 million, or 41%, over the comparative period. The increase was attributable to the timing of borrowings and an increase in the outstanding balance on the Revolving Loan, which bears interest at the Prime Rate plus an Applicable Margin. The outstanding balance on the Revolving Loan was approximately $54.0 million and $43.0 million, as of September 30, 2024 and 2023, respectively.</w:t>
      </w:r>
    </w:p>
    <w:p>
      <w:pPr>
        <w:spacing w:after="0" w:line="152" w:lineRule="exact"/>
        <w:rPr>
          <w:rFonts w:ascii="Times New Roman" w:cs="Times New Roman" w:eastAsia="Times New Roman" w:hAnsi="Times New Roman"/>
          <w:sz w:val="18"/>
          <w:szCs w:val="18"/>
          <w:color w:val="auto"/>
        </w:rPr>
      </w:pPr>
    </w:p>
    <w:p>
      <w:pPr>
        <w:ind w:left="760" w:right="140" w:hanging="378"/>
        <w:spacing w:after="0" w:line="25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was approximately $5.2 million for the nine months ended September 30, 2024, as compared to approximately $5.5 million for the nine months ended September 30, 2023, a decrease of $0.3 million or 6%. Management fees were approximately $3.2 million for the nine months ended September 30, 2024, as compared to approximately $3.0 million for the nine months ended September 30, 2023. The slight increase in management fees was primarily attributable to fewer origination fee offsets in the nine months ended September 30, 2024 of approximately $92 thousand, compared to approximately $130 thousand for the nine months ended September 30, 2023, offset by an increase in weighted average equity as defined by the Management Agreement for the comparable period. Incentive fees were approximately $2.0 million for the nine months ended September 30, 2024, as compared to approximately $2.5 million for the nine months ended September 30, 2023, primarily driven by higher trailing twelve month Core Earnings in the nine month period ending September 30, 2023 compared to the same period ending September 30, 2024.</w:t>
      </w:r>
    </w:p>
    <w:p>
      <w:pPr>
        <w:spacing w:after="0" w:line="147" w:lineRule="exact"/>
        <w:rPr>
          <w:rFonts w:ascii="Times New Roman" w:cs="Times New Roman" w:eastAsia="Times New Roman" w:hAnsi="Times New Roman"/>
          <w:sz w:val="18"/>
          <w:szCs w:val="18"/>
          <w:color w:val="auto"/>
        </w:rPr>
      </w:pPr>
    </w:p>
    <w:p>
      <w:pPr>
        <w:ind w:left="760" w:right="32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decreased by approximately $0.2 million for the nine months ended September 30, 2024, as compared to the nine months ended September 30, 2023. The decrease was primarily due to a decrease in professional fees in 2024 compared to 2023, as a result of improved efficiency and contracting with external third party vendors. There were no material changes to any specific expense category.</w:t>
      </w:r>
    </w:p>
    <w:p>
      <w:pPr>
        <w:spacing w:after="0" w:line="139" w:lineRule="exact"/>
        <w:rPr>
          <w:rFonts w:ascii="Times New Roman" w:cs="Times New Roman" w:eastAsia="Times New Roman" w:hAnsi="Times New Roman"/>
          <w:sz w:val="18"/>
          <w:szCs w:val="18"/>
          <w:color w:val="auto"/>
        </w:rPr>
      </w:pPr>
    </w:p>
    <w:p>
      <w:pPr>
        <w:jc w:val="both"/>
        <w:ind w:left="760" w:right="22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$1.3 million for the nine months ended September 30, 2024, as compared to the nine months ended September 30, 2023. The increase over the comparable period is primarily driven by the incremental expense recognized on the 187,335 restricted stock awards granted to employees of our Manager on April 1, 2024.</w:t>
      </w:r>
    </w:p>
    <w:p>
      <w:pPr>
        <w:spacing w:after="0" w:line="148"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current expected credit losses decreased due to both borrower specific credit factors and regular re-evaluations of overall current macroeconomic conditions affecting our borrowers and the industry.</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95" w:right="259" w:bottom="1440" w:gutter="0" w:footer="0" w:header="0"/>
        </w:sectPr>
      </w:pPr>
    </w:p>
    <w:bookmarkStart w:id="35" w:name="page36"/>
    <w:bookmarkEnd w:id="35"/>
    <w:p>
      <w:pPr>
        <w:ind w:left="1540" w:right="640" w:hanging="514"/>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Reversals of current expected credit losses were approximately $0.9 million in the nine months ended September 30, 2024, as compared to a provision of $1.2 million during the nine months ended September 30, 2023.</w:t>
      </w:r>
    </w:p>
    <w:p>
      <w:pPr>
        <w:spacing w:after="0" w:line="134" w:lineRule="exact"/>
        <w:rPr>
          <w:rFonts w:ascii="Times New Roman" w:cs="Times New Roman" w:eastAsia="Times New Roman" w:hAnsi="Times New Roman"/>
          <w:sz w:val="18"/>
          <w:szCs w:val="18"/>
          <w:color w:val="auto"/>
        </w:rPr>
      </w:pPr>
    </w:p>
    <w:p>
      <w:pPr>
        <w:ind w:left="1540" w:hanging="514"/>
        <w:spacing w:after="0" w:line="254"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portfolio risk composition resulting from principal paydowns and new fundings contributed to the reversal/decrease, with reserves on new 2024 originations representing a larger portion of the reserve than loans originated as of September 30, 2023. As of September 30, 2024 approximately 72.3% of our loans carry a risk rating of "1" or "2", compared with 66.2% as of September 30, 2023. Additionally, loans risk rated "3" and "4" decreased to approximately 27.7% of the portfolio at September 30, 2024, from 33.8% of the portfolio at September 30, 2023, as a result of improved valuations and borrower specific performance, as well as portfolio composition resulting from advance and repayment activity. Furthermore, during the third quarter, the Company transferred $13.0 million of principal of Loan #2 from loans held for investment to loans held for sale, and reversed approximately $0.2 million of the CECL reserve in connection with the transfer.</w:t>
      </w:r>
    </w:p>
    <w:p>
      <w:pPr>
        <w:spacing w:after="0" w:line="151" w:lineRule="exact"/>
        <w:rPr>
          <w:rFonts w:ascii="Times New Roman" w:cs="Times New Roman" w:eastAsia="Times New Roman" w:hAnsi="Times New Roman"/>
          <w:sz w:val="18"/>
          <w:szCs w:val="18"/>
          <w:color w:val="auto"/>
        </w:rPr>
      </w:pPr>
    </w:p>
    <w:p>
      <w:pPr>
        <w:ind w:left="1540" w:right="80" w:hanging="514"/>
        <w:spacing w:after="0" w:line="255"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CECL reserve represents approximately 113 basis points of our aggregate loan principal outstanding, including loans held for sale, of approximately $362.3 million as of September 30, 2024, compared with 150 basis points as of September 30, 2023. As of September 30, 2024, we anticipate a softened interest rate environment in our forecast period compared to September 30, 2023, when interest rates were continuing to rise. The prime rate during the nine months ended September 30, 2024, decreased to 8.00%, compared to an increase of 100 basis points from 7.50% to 8.50% during the nine months ended September 30, 2023.Accordingly, estimates and metrics regarding our borrowers' ability to meet debt service obligations, have improved given the expectations of declining interest rates and additional free cash flow generation by our portfolio companies.</w:t>
      </w:r>
    </w:p>
    <w:p>
      <w:pPr>
        <w:spacing w:after="0" w:line="148" w:lineRule="exact"/>
        <w:rPr>
          <w:rFonts w:ascii="Times New Roman" w:cs="Times New Roman" w:eastAsia="Times New Roman" w:hAnsi="Times New Roman"/>
          <w:sz w:val="18"/>
          <w:szCs w:val="18"/>
          <w:color w:val="auto"/>
        </w:rPr>
      </w:pPr>
    </w:p>
    <w:p>
      <w:pPr>
        <w:ind w:left="1540" w:hanging="514"/>
        <w:spacing w:after="0" w:line="258"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a reserve liability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 There is $6.0 million of unfunded commitments as of September 30, 2024 relating to one borrower, and this unfunded commitment carries a $0 CECL reserve. This unfunded commitment was advanced in October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Company's portfolio included loans to 29 and 27 borrowers, respectively, of which approximately $354.7 million and $353.6 million at carrying value, respectively, prior to the reserve for current expected credit losses are classified as held for investment. The aggregate originated commitment under these loans was approximately $399.7 million and $378.8 million and outstanding principal was approximately $356.3 million and $355.7 million as of September 30, 2024 and December 31, 2023, respectively.</w:t>
      </w:r>
    </w:p>
    <w:p>
      <w:pPr>
        <w:spacing w:after="0" w:line="13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our portfolio of loans held for investment had a weighted-average yield-to-maturity internal rate of return (“YTM IRR”) of 18.2% and 19.4%, and was substantially secured by real estate and, with respect to certain of our loans, substantially all assets of the borrowers and certain of their subsidiaries, including equipment, receivables, and licenses. YTM IRR is calculated using various inputs, including (i) cash and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6" w:name="page37"/>
    <w:bookmarkEnd w:id="36"/>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approximately 62.8% and 80.5%, respectively, of our portfolio, including loans held for sale, was comprised of floating rate loans that pay interest at the Prime Rate plus an applicable margin and were subject to a Prime Rate floor. The Prime Rate was 7.50% on January 1, 2023, increased to 7.75% effective February 2, 2023, increased to 8.00% effective March 23, 2023, increased to 8.25% effective May 4, 2023 and increased again to 8.50% as of December 31, 2023. The Prime Rate declined to 8.00% in September 2024. The below summarizes our portfolio of loans held for investment as of September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2"/>
        </w:trPr>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Initial</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of Our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Loan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Funding</w:t>
            </w:r>
          </w:p>
        </w:tc>
        <w:tc>
          <w:tcPr>
            <w:tcW w:w="12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Principal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Original Issue</w:t>
            </w:r>
          </w:p>
        </w:tc>
        <w:tc>
          <w:tcPr>
            <w:tcW w:w="120" w:type="dxa"/>
            <w:vAlign w:val="bottom"/>
          </w:tcPr>
          <w:p>
            <w:pPr>
              <w:spacing w:after="0"/>
              <w:rPr>
                <w:sz w:val="10"/>
                <w:szCs w:val="10"/>
                <w:color w:val="auto"/>
              </w:rPr>
            </w:pPr>
          </w:p>
        </w:tc>
        <w:tc>
          <w:tcPr>
            <w:tcW w:w="64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Loan</w:t>
            </w:r>
          </w:p>
        </w:tc>
        <w:tc>
          <w:tcPr>
            <w:tcW w:w="100" w:type="dxa"/>
            <w:vAlign w:val="bottom"/>
          </w:tcPr>
          <w:p>
            <w:pPr>
              <w:spacing w:after="0"/>
              <w:rPr>
                <w:sz w:val="10"/>
                <w:szCs w:val="10"/>
                <w:color w:val="auto"/>
              </w:rPr>
            </w:pPr>
          </w:p>
        </w:tc>
        <w:tc>
          <w:tcPr>
            <w:tcW w:w="58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Future</w:t>
            </w: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Periodic</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YTM</w:t>
            </w:r>
          </w:p>
        </w:tc>
      </w:tr>
      <w:tr>
        <w:trPr>
          <w:trHeight w:val="146"/>
        </w:trPr>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Location(s)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(1)</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22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Portfolio</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9"/>
              </w:rPr>
              <w:t>Fundings</w:t>
            </w: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Interest Rate (3)</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Payment (4)</w:t>
            </w:r>
          </w:p>
        </w:tc>
        <w:tc>
          <w:tcPr>
            <w:tcW w:w="1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IRR (5)</w:t>
            </w:r>
          </w:p>
        </w:tc>
      </w:tr>
      <w:tr>
        <w:trPr>
          <w:trHeight w:val="146"/>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10/27/2022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10/30/2026</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25,354,286</w:t>
            </w:r>
          </w:p>
        </w:tc>
        <w:tc>
          <w:tcPr>
            <w:tcW w:w="3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(467,213 )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24,887,073</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P+6.5% Cash(8)</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17.2%</w:t>
            </w:r>
          </w:p>
        </w:tc>
      </w:tr>
      <w:tr>
        <w:trPr>
          <w:trHeight w:val="121"/>
        </w:trPr>
        <w:tc>
          <w:tcPr>
            <w:tcW w:w="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2</w:t>
            </w: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Michigan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P+6.65% Cash, 4.25% PIK(6)(14)</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4"/>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27,030,728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(13,737 )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27,016,991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color w:val="auto"/>
                <w:w w:val="97"/>
              </w:rPr>
              <w:t>(21)</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18.0%</w:t>
            </w:r>
          </w:p>
        </w:tc>
      </w:tr>
      <w:tr>
        <w:trPr>
          <w:trHeight w:val="153"/>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3/25/2021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21,066,738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(593,996 )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20,472,742</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P+9.69% Cash, 2.6% PIK(11)(15)</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23.2%</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4/19/2021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6,626,809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11.91%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17.0%</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Massachusetts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4/19/2021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2,721,680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2,721,680</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P+12.25% Cash(6)</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22.7%</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Michigan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1/30/2026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4,818,354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17.7%</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Illinois, 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8/24/2021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20,579,082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(64,158 )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20,514,924</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P+6% Cash, 2% PIK(9)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19.4%</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8</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West Virginia</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9/1/2021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8,491,943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8,491,943</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15.0%</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9</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Pennsylvania</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9/3/2021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16,402,488</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P+10.75% Cash, 3% PIK(6)(16)</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16.3%</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11</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Maryland</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10/4/2024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27,824,509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27,824,509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P+8.75% Cash, 2% PIK(6)(17)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22.0%</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1"/>
              </w:rPr>
              <w:t>Various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11/8/2021</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8,676,876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(16,447 )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8,660,429</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P+7% Cash(10)</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19.6%</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12/30/2021</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6,557,500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(34,791 )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6,522,709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16.75%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33.1%</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18</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0"/>
              </w:rPr>
              <w:t>Ohio</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2/3/2022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23,639,667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(51,891 )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23,587,776</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P+1.75% Cash, 5% PIK(9)(18)</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16.6%</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19</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Florida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3/11/2022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19,029,907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(29,862 )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19,000,045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 Cash, 5% PIK</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16.5%</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20</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Missouri</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5/9/2022</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5/30/2025</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17,111,787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(36,831 )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17,074,956</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 Cash, 2% PIK</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14.7%</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21</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7/1/2022</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7/29/2026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6,718,164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(40,316 )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6,677,848</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P+7% Cash, 2% PIK(9)</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23.4%</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3/27/2023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(24,864 )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1,655,136</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P+7.5% Cash(12)</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18.7%</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Oregon</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3/31/2023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9/27/2026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660,000</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P+10.5% Cash(7)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21.5%</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New York</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8/1/2023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6/29/2036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25,849,894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25,849,894</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16.6%</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26</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Connecticut</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4/30/2026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(77,024 )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6,372,976</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14%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19.0%</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27</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Nebraska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8/15/2023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13,000,000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13,000,000</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6"/>
              </w:rPr>
              <w:t>P+6.5% Cash(19)</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16.1%</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28</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Ohio</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9/13/2023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3/13/2025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2,466,705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15%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17.4%</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29</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Illinois</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5"/>
              </w:rPr>
              <w:t>10/11/2023</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10/9/2026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2,025,634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2,025,634</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11.4% Cash, 1.5% PIK</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14.7%</w:t>
            </w:r>
          </w:p>
        </w:tc>
      </w:tr>
      <w:tr>
        <w:trPr>
          <w:trHeight w:val="121"/>
        </w:trPr>
        <w:tc>
          <w:tcPr>
            <w:tcW w:w="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Missouri,</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P+7.75% Cash(13)</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44"/>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(156,863 )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19,443,137</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18.7%</w:t>
            </w:r>
          </w:p>
        </w:tc>
      </w:tr>
      <w:tr>
        <w:trPr>
          <w:trHeight w:val="126"/>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California,</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P+8.75% Cash(10)</w:t>
            </w: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r>
      <w:tr>
        <w:trPr>
          <w:trHeight w:val="149"/>
        </w:trPr>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7"/>
              </w:rPr>
              <w:t>1/3/2024</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rPr>
              <w:t>5/3/2026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6,680,000</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18.6%</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32</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Nevada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4/15/2024</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8/15/2027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P+6.5% Cash(12)(20)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17.7%</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Minnesota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5/20/2024</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5/28/2027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1,152,000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(5,277 )</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1,146,723</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12% Cash</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12.9%</w:t>
            </w:r>
          </w:p>
        </w:tc>
      </w:tr>
      <w:tr>
        <w:trPr>
          <w:trHeight w:val="145"/>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34</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Arizona</w:t>
            </w:r>
          </w:p>
        </w:tc>
        <w:tc>
          <w:tcPr>
            <w:tcW w:w="8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6/17/2024</w:t>
            </w:r>
          </w:p>
        </w:tc>
        <w:tc>
          <w:tcPr>
            <w:tcW w:w="10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5/29/2026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11.91% Cash</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I/O</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12.8%</w:t>
            </w:r>
          </w:p>
        </w:tc>
      </w:tr>
      <w:tr>
        <w:trPr>
          <w:trHeight w:val="152"/>
        </w:trPr>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35</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California</w:t>
            </w:r>
          </w:p>
        </w:tc>
        <w:tc>
          <w:tcPr>
            <w:tcW w:w="88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8/23/2024</w:t>
            </w:r>
          </w:p>
        </w:tc>
        <w:tc>
          <w:tcPr>
            <w:tcW w:w="1000" w:type="dxa"/>
            <w:vAlign w:val="bottom"/>
            <w:gridSpan w:val="2"/>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color w:val="auto"/>
                <w:w w:val="98"/>
              </w:rPr>
              <w:t>8/23/2027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24,071,029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24,071,029</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 Cash, 3% PIK</w:t>
            </w:r>
          </w:p>
        </w:tc>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P&amp;I</w:t>
            </w:r>
          </w:p>
        </w:tc>
        <w:tc>
          <w:tcPr>
            <w:tcW w:w="82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1"/>
                <w:szCs w:val="11"/>
                <w:color w:val="auto"/>
                <w:w w:val="98"/>
              </w:rPr>
              <w:t>16.3%</w:t>
            </w:r>
          </w:p>
        </w:tc>
      </w:tr>
      <w:tr>
        <w:trPr>
          <w:trHeight w:val="142"/>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356,285,780</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(1,613,270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354,672,510</w:t>
            </w: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Wtd Average</w:t>
            </w: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18.2%</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020" w:right="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 Loan numbering in the table above is maintained from origination for purposes of comparability and may not be sequential due to maturities, payoffs, or refinancings.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paid-in-kind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cap of 5.85%</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outstanding of Loan #3 is comprised of two tranches. The first tranche has a principal balance $16.8 million, a floating interest rate of prime plus 7.75% cash and 2.75% PIK and a maturity date of January 29, 2027. The second tranche has a principal balance of $4.3 million, and bears an interest rate of 15.00% and 2.00% PIK, and a maturity date of November 29, 2024. The statistics presented reflect the weighted average of the rate terms under both tranches for the total aggregate loan commitment.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 2023, Loan #9 was placed on non-accrual status and continues to be on non-accrual as of September 30, 2024. Loan #9 is included on the consolidated balance sheet as a loan held for investment – related party (Note 8). This loan had an original maturity date of June 30, 2024 and included in amounts past due in the tables below.</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was repaid in full in October 2024 and carried a zero CECL reserve as of September 30, 2024. The maturity date presented reflects the date of repayment. During the quarter ended September 30, 2024, $6.0 million of principal of Loan #11 was reclassified as held for sale, at fair value (Note 4).</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8).</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September 30, 2024, applied interest rate is Prime Rate + 6.50%.</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earns an unused fee on the unfunded commitment at an annual rate of 1.2%. The unfunded commitment of $6.0 million was advanced in October 2024 (Note 14).</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$13.0 million of principal of Loan #2 was reclassified to held for sale, and was subsequently sold to a third party at a price of $13.0 million on September 30, 2024. The remaining balance presented is held for investment as of September 30,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September 30,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25"/>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 (1)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 (1)</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356,285,780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(1,613,270 )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354,672,510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(4,090,950 )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356,285,780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(1,613,270 )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350,581,560</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2"/>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Life</w:t>
            </w:r>
          </w:p>
        </w:tc>
      </w:tr>
      <w:tr>
        <w:trPr>
          <w:trHeight w:val="225"/>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Principal (1)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 (1)</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 (2)</w:t>
            </w: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Senior Term 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355,745,305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(2,104,695 )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353,640,610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(4,972,647 )</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held at carrying value,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355,745,305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(2,104,695 )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348,667,963</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tabs>
          <w:tab w:leader="none" w:pos="3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Weighted average remaining life is calculated based on the carrying value of the loans as of September 30, 2024 and December 31, 2023, respectively.</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changes in loans held for investment at carrying value as of and for the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(2,104,695 )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(4,972,647 )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76,051,190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(820,335 )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75,230,855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(64,198,999 )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(64,198,999 )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 (2)(3)</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(19,000,000 )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(18,786,087 )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provision for current expected credit losses</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356,285,780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(1,613,270 )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(4,090,950 )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350,581,560</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00" w:type="dxa"/>
            <w:vAlign w:val="bottom"/>
          </w:tcPr>
          <w:p>
            <w:pPr>
              <w:spacing w:after="0"/>
              <w:rPr>
                <w:sz w:val="21"/>
                <w:szCs w:val="2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343,029,334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(3,755,796 )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(3,940,939 )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335,332,599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fundings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68,677,238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(1,254,590 )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67,422,648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(62,837,108 )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(62,837,108 )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1,989,374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1,989,374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 of loan (2)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(13,399,712 )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(13,399,712 )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6,343,749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6,343,749</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(1,171,256 )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(1,171,256 )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341,813,501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(3,021,012 )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(5,112,195 )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333,680,294</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p>
      <w:pPr>
        <w:spacing w:after="0" w:line="161"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reclassified as held for sale from loans held for investment as the decision was made to sell the loan during the nine months ended September 30, 2023 to a syndicate of co-lenders which includes a third party and two affiliates under common control with our Manager. The sale was executed on March 31, 2023.</w:t>
      </w:r>
    </w:p>
    <w:p>
      <w:pPr>
        <w:spacing w:after="0" w:line="13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20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18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ind w:right="80"/>
        <w:spacing w:after="0" w:line="254" w:lineRule="auto"/>
        <w:rPr>
          <w:sz w:val="20"/>
          <w:szCs w:val="20"/>
          <w:color w:val="auto"/>
        </w:rPr>
      </w:pPr>
      <w:r>
        <w:rPr>
          <w:rFonts w:ascii="Times New Roman" w:cs="Times New Roman" w:eastAsia="Times New Roman" w:hAnsi="Times New Roman"/>
          <w:sz w:val="18"/>
          <w:szCs w:val="18"/>
          <w:color w:val="auto"/>
        </w:rPr>
        <w:t>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6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4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3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38"/>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21"/>
        </w:trPr>
        <w:tc>
          <w:tcPr>
            <w:tcW w:w="5360" w:type="dxa"/>
            <w:vAlign w:val="bottom"/>
          </w:tcPr>
          <w:p>
            <w:pPr>
              <w:spacing w:after="0"/>
              <w:rPr>
                <w:sz w:val="19"/>
                <w:szCs w:val="19"/>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9"/>
                <w:szCs w:val="19"/>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5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11,211,636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9,976,998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29,125,711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29,312,725</w:t>
            </w:r>
          </w:p>
        </w:tc>
        <w:tc>
          <w:tcPr>
            <w:tcW w:w="100" w:type="dxa"/>
            <w:vAlign w:val="bottom"/>
            <w:shd w:val="clear" w:color="auto" w:fill="CFF0FC"/>
          </w:tcPr>
          <w:p>
            <w:pPr>
              <w:spacing w:after="0"/>
              <w:rPr>
                <w:sz w:val="21"/>
                <w:szCs w:val="21"/>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845,524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2,213,150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942,605</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405,778</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increase in provision for current expected credit losses</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(989,597 )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(41,351 )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(884,789 )</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1,193,880</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unrealized gain on debt securities, at fair value</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(85,567 )</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(112,767 )</w:t>
            </w: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(72,428 )</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11,159,241</w:t>
            </w: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10,537,182</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30,639,841</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31,742,221</w:t>
            </w:r>
          </w:p>
        </w:tc>
        <w:tc>
          <w:tcPr>
            <w:tcW w:w="100" w:type="dxa"/>
            <w:vAlign w:val="bottom"/>
            <w:tcBorders>
              <w:top w:val="single" w:sz="8" w:color="CFF0FC"/>
            </w:tcBorders>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Distributable Earnings</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11,159,241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10,537,182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30,639,841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31,742,221</w:t>
            </w:r>
          </w:p>
        </w:tc>
        <w:tc>
          <w:tcPr>
            <w:tcW w:w="100" w:type="dxa"/>
            <w:vAlign w:val="bottom"/>
          </w:tcPr>
          <w:p>
            <w:pPr>
              <w:spacing w:after="0"/>
              <w:rPr>
                <w:sz w:val="20"/>
                <w:szCs w:val="20"/>
                <w:color w:val="auto"/>
              </w:rPr>
            </w:pPr>
          </w:p>
        </w:tc>
      </w:tr>
      <w:tr>
        <w:trPr>
          <w:trHeight w:val="21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19,625,190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18,175,467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19,094,462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18,052,293</w:t>
            </w:r>
          </w:p>
        </w:tc>
        <w:tc>
          <w:tcPr>
            <w:tcW w:w="100" w:type="dxa"/>
            <w:vAlign w:val="bottom"/>
            <w:shd w:val="clear" w:color="auto" w:fill="CFF0FC"/>
          </w:tcPr>
          <w:p>
            <w:pPr>
              <w:spacing w:after="0"/>
              <w:rPr>
                <w:sz w:val="21"/>
                <w:szCs w:val="21"/>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r>
      <w:tr>
        <w:trPr>
          <w:trHeight w:val="21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20,058,417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18,562,930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19,531,691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18,269,171</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-1384935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-1384935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-1384935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-1384935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202"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book value per share of our common stock as of September 30, 2024 and December 31, 2023 was approximately $15.05 and $14.94,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4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we expect the demand for capital will continue to increase as operators seek to enter and build out new markets. In the short-term, we expect the principal amount of the loans we originate will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5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all of our cash was unrestricted and totaled approximately $6.8 million and $7.9 million, respectively. We believe that our cash on hand, capacity available under our Revolving Loan, the Unsecured Notes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02"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unamortized debt issuance costs related to the Revolving Loan, including all amendments and amendments and restatements thereto, as applicable, of $261,217 and $366,592, respectively, are recorded in other receivables and assets, net on the consolidated balance sheets.</w:t>
      </w:r>
    </w:p>
    <w:p>
      <w:pPr>
        <w:spacing w:after="0" w:line="13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Company had net paydowns of $(12.0) million against the Revolving Loan. As of September 30, 2024, the Company had $56.0 million available and $54.0 million outstanding under the Revolving Loan (Note 6).</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On September 30, 2024, CAL entered into the Sixth Amended and Restated Loan and Security Agreement (the "Sixth Amendment"). The Sixth Amendment increased the current loan commitment from $105.0 million to $110.0 million. No other material terms were modified as a result of the execution of this amendment.</w:t>
      </w:r>
    </w:p>
    <w:p>
      <w:pPr>
        <w:spacing w:after="0" w:line="14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October 18, 2024, the Company entered into a Loan Agreement by and among the Company and the various financial institutions party thereto, for an aggregate commitment of $50.0 million in unsecured notes (the "Unsecured Notes"). The Unsecured Notes have a contractual four year term maturing on October 18, 2028 and bear an interest rate of 9.00% per annum. 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are subsequently amortized through maturity.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pursuant to which we may sell, from time to time, up to $75.0 million of our common stock.</w:t>
      </w:r>
    </w:p>
    <w:p>
      <w:pPr>
        <w:spacing w:after="0" w:line="16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Company sold an aggregate of 1,309,503 shares of the Company’s common stock under the Sales Agreement at a weighted average price of $15.88 per share, generating net proceeds of approximately $20.4 million.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nine months ended September 30, 2024 and 2023,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5"/>
        </w:trPr>
        <w:tc>
          <w:tcPr>
            <w:tcW w:w="7880" w:type="dxa"/>
            <w:vAlign w:val="bottom"/>
          </w:tcPr>
          <w:p>
            <w:pPr>
              <w:spacing w:after="0"/>
              <w:rPr>
                <w:sz w:val="21"/>
                <w:szCs w:val="21"/>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41"/>
        </w:trPr>
        <w:tc>
          <w:tcPr>
            <w:tcW w:w="78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29,125,711</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29,312,725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and</w:t>
            </w:r>
          </w:p>
        </w:tc>
        <w:tc>
          <w:tcPr>
            <w:tcW w:w="340" w:type="dxa"/>
            <w:vAlign w:val="bottom"/>
          </w:tcPr>
          <w:p>
            <w:pPr>
              <w:spacing w:after="0"/>
              <w:rPr>
                <w:sz w:val="18"/>
                <w:szCs w:val="18"/>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(7,793,897 )</w:t>
            </w:r>
          </w:p>
        </w:tc>
        <w:tc>
          <w:tcPr>
            <w:tcW w:w="340" w:type="dxa"/>
            <w:vAlign w:val="bottom"/>
          </w:tcPr>
          <w:p>
            <w:pPr>
              <w:spacing w:after="0"/>
              <w:rPr>
                <w:sz w:val="18"/>
                <w:szCs w:val="18"/>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(16,399,989 )</w:t>
            </w:r>
          </w:p>
        </w:tc>
        <w:tc>
          <w:tcPr>
            <w:tcW w:w="0" w:type="dxa"/>
            <w:vAlign w:val="bottom"/>
          </w:tcPr>
          <w:p>
            <w:pPr>
              <w:spacing w:after="0"/>
              <w:rPr>
                <w:sz w:val="1"/>
                <w:szCs w:val="1"/>
                <w:color w:val="auto"/>
              </w:rPr>
            </w:pPr>
          </w:p>
        </w:tc>
      </w:tr>
      <w:tr>
        <w:trPr>
          <w:trHeight w:val="234"/>
        </w:trPr>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21,331,814</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12,912,736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1,968,144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(24,437,565 )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(18,740,578 )</w:t>
            </w:r>
          </w:p>
        </w:tc>
        <w:tc>
          <w:tcPr>
            <w:tcW w:w="0" w:type="dxa"/>
            <w:vAlign w:val="bottom"/>
          </w:tcPr>
          <w:p>
            <w:pPr>
              <w:spacing w:after="0"/>
              <w:rPr>
                <w:sz w:val="1"/>
                <w:szCs w:val="1"/>
                <w:color w:val="auto"/>
              </w:rPr>
            </w:pPr>
          </w:p>
        </w:tc>
      </w:tr>
      <w:tr>
        <w:trPr>
          <w:trHeight w:val="20"/>
        </w:trPr>
        <w:tc>
          <w:tcPr>
            <w:tcW w:w="7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(1,137,607 )</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and 2023, we reported “Net cash provided by operating activities” of approximately $21.3 million and $12.9 million, respectively. Net cash provided by operating activities increased approximately $8.4 million, primarily attributable to a change in the interest reserve for applied interest payments of approximately $2.9 million, decrease in the purchase of debt securities, at fair value of $3.4 million, a decrease in related party payables of $1.9 million, and an increase in stock based compensation expense of $1.3 million. These changes were offset by a decrease in net income over the comparable period of approximately $0.2 million, a decrease in interest receivable of approximately $1.5 million, and an increase in PIK interest income of $1.4 million, over the comparable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we reported “Net cash provided by investing activities” of approximately $2.0 million and $8.8 million, respectively.</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cash outflows primarily related to $75.2 million used for the origination and funding of loans held for investment, partially offset by $64.2 million of cash received from the principal repayment of loans held for investment and $13.0 million of cash received from proceeds from sales of loans.</w:t>
      </w:r>
    </w:p>
    <w:p>
      <w:pPr>
        <w:spacing w:after="0" w:line="149"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cash outflows primarily related to $67.4 million used for the origination and funding of loans held for investment, partially offset by $13.4 million received from the sales of loans and $62.8 million of cash received from the principal repayment of loans held for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we reported “Net cash used in financing activities” of approximately $(24.4) million and $(18.7) million, respectively.</w:t>
      </w:r>
    </w:p>
    <w:p>
      <w:pPr>
        <w:spacing w:after="0" w:line="121" w:lineRule="exact"/>
        <w:rPr>
          <w:sz w:val="20"/>
          <w:szCs w:val="20"/>
          <w:color w:val="auto"/>
        </w:rPr>
      </w:pPr>
    </w:p>
    <w:p>
      <w:pPr>
        <w:ind w:right="420"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cash inflows of approximately $20.8 million related to proceeds received from sales of our common stock through the ATM offering and $73.5 million related to draw downs on our Revolving Loan, which were offset by approximately $85.5 million in repayments on our Revolving Loan, $32.4 million in dividends paid, approximately $113 thousand in debt issuance costs paid, and approximately $667 thousand in offering costs associated with the registered at-the-market offering.</w:t>
      </w:r>
    </w:p>
    <w:p>
      <w:pPr>
        <w:spacing w:after="0" w:line="153"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2023, cash inflows of approximately $7.2 million related to proceeds received from sales of our common stock through the registered direct offering and ATM offering of $6.0 million and $1.2 million, respectively. Additionally, we had cash inflows related to draw downs on our Revolving Loan of $64 million, which were offset by $59.0 million in repayments on our Revolving Loan, approximately $30.6 million in dividends paid, approximately $0.1 million in debt issuance costs paid, and approximately $0.3 million in offering costs paid associated with the registered direct offering and ATM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2" w:name="page43"/>
    <w:bookmarkEnd w:id="42"/>
    <w:p>
      <w:pPr>
        <w:ind w:firstLine="749"/>
        <w:spacing w:after="0" w:line="252"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7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nine months ended September 30,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7/15/2024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3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10/15/2024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3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0" w:type="dxa"/>
            <w:vAlign w:val="bottom"/>
          </w:tcPr>
          <w:p>
            <w:pPr>
              <w:spacing w:after="0"/>
              <w:rPr>
                <w:sz w:val="21"/>
                <w:szCs w:val="2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13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4/14/2023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21"/>
                <w:szCs w:val="21"/>
                <w:color w:val="auto"/>
              </w:rPr>
            </w:pPr>
          </w:p>
        </w:tc>
      </w:tr>
      <w:tr>
        <w:trPr>
          <w:trHeight w:val="23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6/30/2023</w:t>
            </w: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7/14/2023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0"/>
                <w:szCs w:val="20"/>
                <w:color w:val="auto"/>
              </w:rPr>
            </w:pPr>
          </w:p>
        </w:tc>
      </w:tr>
      <w:tr>
        <w:trPr>
          <w:trHeight w:val="247"/>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2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9/29/2023</w:t>
            </w:r>
          </w:p>
        </w:tc>
        <w:tc>
          <w:tcPr>
            <w:tcW w:w="13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10/13/2023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18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 party valuations, and a third 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5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6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48"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three fiscal years and has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4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65"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 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43"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Ratings</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44" w:name="page45"/>
    <w:bookmarkEnd w:id="44"/>
    <w:p>
      <w:pPr>
        <w:ind w:right="140"/>
        <w:spacing w:after="0" w:line="282" w:lineRule="auto"/>
        <w:rPr>
          <w:sz w:val="20"/>
          <w:szCs w:val="20"/>
          <w:color w:val="auto"/>
        </w:rPr>
      </w:pPr>
      <w:r>
        <w:rPr>
          <w:rFonts w:ascii="Times New Roman" w:cs="Times New Roman" w:eastAsia="Times New Roman" w:hAnsi="Times New Roman"/>
          <w:sz w:val="18"/>
          <w:szCs w:val="18"/>
          <w:color w:val="auto"/>
        </w:rPr>
        <w:t>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185"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1260" w:hanging="1239"/>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60" w:hanging="1239"/>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36" w:lineRule="exact"/>
        <w:rPr>
          <w:sz w:val="20"/>
          <w:szCs w:val="20"/>
          <w:color w:val="auto"/>
        </w:rPr>
      </w:pPr>
    </w:p>
    <w:p>
      <w:pPr>
        <w:ind w:left="1260" w:hanging="1239"/>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60" w:hanging="1239"/>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36" w:lineRule="exact"/>
        <w:rPr>
          <w:sz w:val="20"/>
          <w:szCs w:val="20"/>
          <w:color w:val="auto"/>
        </w:rPr>
      </w:pPr>
    </w:p>
    <w:p>
      <w:pPr>
        <w:ind w:left="1260" w:hanging="1239"/>
        <w:spacing w:after="0"/>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September 30, 2024 and December 31, 2023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CECL reserve though, other than the one loan placed on non-accrual status, the loans continued to perform as expected. For approximately 60.0% of the portfolio, the fair value of the underlying real estate collateral exceeded the amounts outstanding under the loans as of September 30, 2024. The remaining approximately 40.0%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161"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carrying value, excluding the CECL Reserve, of the Company’s loans within each risk rating by year of origination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Risk</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7"/>
              </w:rPr>
              <w:t>As of September 30, 2024(1)(2)</w:t>
            </w: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As of December 31, 2023(1)(2)</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r>
      <w:tr>
        <w:trPr>
          <w:trHeight w:val="159"/>
        </w:trPr>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660,000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36,075,001</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27,824,512</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64,559,513</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820,000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37,644,911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38,464,911</w:t>
            </w:r>
          </w:p>
        </w:tc>
        <w:tc>
          <w:tcPr>
            <w:tcW w:w="100" w:type="dxa"/>
            <w:vAlign w:val="bottom"/>
            <w:shd w:val="clear" w:color="auto" w:fill="CFF0FC"/>
          </w:tcPr>
          <w:p>
            <w:pPr>
              <w:spacing w:after="0"/>
              <w:rPr>
                <w:sz w:val="13"/>
                <w:szCs w:val="13"/>
                <w:color w:val="auto"/>
              </w:rPr>
            </w:pPr>
          </w:p>
        </w:tc>
      </w:tr>
      <w:tr>
        <w:trPr>
          <w:trHeight w:val="159"/>
        </w:trPr>
        <w:tc>
          <w:tcPr>
            <w:tcW w:w="60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41,394,426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68,346,777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59,448,763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20,514,924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189,704,890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51,320,161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107,007,422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46,792,941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205,120,524</w:t>
            </w:r>
          </w:p>
        </w:tc>
        <w:tc>
          <w:tcPr>
            <w:tcW w:w="100" w:type="dxa"/>
            <w:vAlign w:val="bottom"/>
          </w:tcPr>
          <w:p>
            <w:pPr>
              <w:spacing w:after="0"/>
              <w:rPr>
                <w:sz w:val="13"/>
                <w:szCs w:val="13"/>
                <w:color w:val="auto"/>
              </w:rPr>
            </w:pPr>
          </w:p>
        </w:tc>
      </w:tr>
      <w:tr>
        <w:trPr>
          <w:trHeight w:val="165"/>
        </w:trPr>
        <w:tc>
          <w:tcPr>
            <w:tcW w:w="60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21,694,652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27,016,991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11,382,108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62,560,456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2,466,705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5,296,308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58,829,717</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66,592,730</w:t>
            </w:r>
          </w:p>
        </w:tc>
        <w:tc>
          <w:tcPr>
            <w:tcW w:w="100" w:type="dxa"/>
            <w:vAlign w:val="bottom"/>
            <w:shd w:val="clear" w:color="auto" w:fill="CFF0FC"/>
          </w:tcPr>
          <w:p>
            <w:pPr>
              <w:spacing w:after="0"/>
              <w:rPr>
                <w:sz w:val="14"/>
                <w:szCs w:val="14"/>
                <w:color w:val="auto"/>
              </w:rPr>
            </w:pPr>
          </w:p>
        </w:tc>
      </w:tr>
      <w:tr>
        <w:trPr>
          <w:trHeight w:val="159"/>
        </w:trPr>
        <w:tc>
          <w:tcPr>
            <w:tcW w:w="60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27,847,651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37,847,651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43,462,445</w:t>
            </w:r>
          </w:p>
        </w:tc>
        <w:tc>
          <w:tcPr>
            <w:tcW w:w="100" w:type="dxa"/>
            <w:vAlign w:val="bottom"/>
          </w:tcPr>
          <w:p>
            <w:pPr>
              <w:spacing w:after="0"/>
              <w:rPr>
                <w:sz w:val="13"/>
                <w:szCs w:val="13"/>
                <w:color w:val="auto"/>
              </w:rPr>
            </w:pPr>
          </w:p>
        </w:tc>
      </w:tr>
      <w:tr>
        <w:trPr>
          <w:trHeight w:val="162"/>
        </w:trPr>
        <w:tc>
          <w:tcPr>
            <w:tcW w:w="600" w:type="dxa"/>
            <w:vAlign w:val="bottom"/>
            <w:tcBorders>
              <w:bottom w:val="single" w:sz="8" w:color="CFF0FC"/>
            </w:tcBorders>
            <w:shd w:val="clear" w:color="auto" w:fill="CFF0FC"/>
          </w:tcPr>
          <w:p>
            <w:pPr>
              <w:jc w:val="right"/>
              <w:ind w:right="442"/>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73,089,078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71,473,482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122,540,755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87,569,195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354,672,510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54,606,866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149,948,641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149,085,103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353,640,610</w:t>
            </w:r>
          </w:p>
        </w:tc>
        <w:tc>
          <w:tcPr>
            <w:tcW w:w="10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-136525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-136525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-136525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-136525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-136525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-136525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-136525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-136525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placed on non-accrual status is included in risk rating category “4” as of September 30, 2024 and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20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no significant changes in the application of our accounting policies or estimates from those presented in our annual report on Form 10-K. Refer to Note 2 to our consolidated financial statements for the nine months ended September 30, 2024,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September 30, 2024, we had 16 floating-rate loans, representing approximately 62.8% of our loan portfolio based on aggregate outstanding principal balances, subject to a Prime Rate floor. We estimate that a hypothetical 100 basis points increase in the Prime Rate would result in an increase in annual cash interest income, excluding the effects of PIK interest, of approximately $2.0 million and a 100 basis points decrease in the Prime Rate would result in a decrease in annual interest income of approximately $1.8 million. Our loans generally have a Prime Rate floor established at the prevailing Prime Rate at the time of origination. Refer to Note 3 for Prime Rate floor by loan.</w:t>
      </w:r>
    </w:p>
    <w:p>
      <w:pPr>
        <w:spacing w:after="0" w:line="16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our Revolving Loan is exposed to similar market risks. Changes in market rates may change the fair value of our Revolving Loan as our loan bears interest at the greater of (1) the Prime Rate plus the applicable margin and (2) 3.25%. As of September 30, 2024, we had an outstanding balance of $54.0 million under the Revolving Loan. Based on our outstanding balance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of September 30, 2024, we estimate that a hypothetical 100 basis points increase in the Prime Rate would result in an increase in annual cash interest expense, excluding unused fees, of approximately $0.5 million and a 100 basis points decrease in the Prime Rate would result in a decrease in annual interest expense of approximately $0.5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18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3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operating results will depend in large part on differences between the income earned on our assets and our cost of borrowing. The cost of our borrowings generally will be based on prevailing market interest rates. Periods of rising interest rates may, over time' cause:</w:t>
      </w:r>
    </w:p>
    <w:p>
      <w:pPr>
        <w:spacing w:after="0" w:line="54" w:lineRule="exact"/>
        <w:rPr>
          <w:sz w:val="20"/>
          <w:szCs w:val="20"/>
          <w:color w:val="auto"/>
        </w:rPr>
      </w:pPr>
    </w:p>
    <w:p>
      <w:pPr>
        <w:ind w:left="1020" w:right="1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increase, subject to any applicable ceilings, which could result in a decline in our net interest spread and net interest margin.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mortgage loans to decline;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loans to reset to higher 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periods of declining interest rates, in general, may over time cause:</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associated with our borrowings to decrease, subject to any applicable floors;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loan portfolio to increase, for such mortgages with applicable floors;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on our floating rate mortgage loans to reset to lower interest rates, subject to any applicable floors.</w:t>
      </w:r>
    </w:p>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severity of any such increase or decrease to our net interest spread and net interest margin would depend on our asset/liability composition at the time as well as the magnitude and duration of the interest rate increase. If any of these events happen, we could experience a decrease in net income or incur a net loss during these periods, which could adversely affect our liquidity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72" w:lineRule="exact"/>
        <w:rPr>
          <w:sz w:val="20"/>
          <w:szCs w:val="20"/>
          <w:color w:val="auto"/>
        </w:rPr>
      </w:pPr>
    </w:p>
    <w:p>
      <w:pPr>
        <w:ind w:left="1140" w:right="400" w:hanging="369"/>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service our self-originated loans through our Manager’s servicer;</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floating-rate and fixed-rate loans to mitigate the interest rate risk associated with the financing of our portfolio;</w:t>
      </w:r>
    </w:p>
    <w:p>
      <w:pPr>
        <w:spacing w:after="0" w:line="117" w:lineRule="exact"/>
        <w:rPr>
          <w:rFonts w:ascii="Times New Roman" w:cs="Times New Roman" w:eastAsia="Times New Roman" w:hAnsi="Times New Roman"/>
          <w:sz w:val="18"/>
          <w:szCs w:val="18"/>
          <w:color w:val="auto"/>
        </w:rPr>
      </w:pPr>
    </w:p>
    <w:p>
      <w:pPr>
        <w:jc w:val="both"/>
        <w:ind w:left="1140" w:right="460" w:hanging="369"/>
        <w:spacing w:after="0" w:line="266"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67" w:lineRule="exact"/>
        <w:rPr>
          <w:rFonts w:ascii="Times New Roman" w:cs="Times New Roman" w:eastAsia="Times New Roman" w:hAnsi="Times New Roman"/>
          <w:sz w:val="18"/>
          <w:szCs w:val="18"/>
          <w:color w:val="auto"/>
        </w:rPr>
      </w:pPr>
    </w:p>
    <w:p>
      <w:pPr>
        <w:ind w:left="1140" w:right="260" w:hanging="369"/>
        <w:spacing w:after="0" w:line="26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8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6" w:name="page47"/>
    <w:bookmarkEnd w:id="46"/>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56"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35"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September 30, 2024, 60% of our portfolio is fully secured by real estate. Our portfolio on average had real estate collateral coverage of 1.2x as of September 30, 2024, and all of our loans are secured by equity pledges of the borrower and all asset liens. As of September 30, 2023, 74% of our portfolio was fully secured by real estate and 26% had limited or no real estate collateral. Our portfolio on average had real estate collateral coverage of 1.5x as of September 30, 2023 and all of our loans were secured by equity pledges of the borrower and all asset liens.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 w:cs="Times New Roman" w:eastAsia="Times New Roman" w:hAnsi="Times New Roman"/>
          <w:sz w:val="18"/>
          <w:szCs w:val="18"/>
          <w:i w:val="1"/>
          <w:iCs w:val="1"/>
          <w:color w:val="auto"/>
        </w:rPr>
        <w:t>Risk Factors- Loans to relatively new and/or small companies and companies operating in the cannabis industry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involve significant risks” </w:t>
      </w:r>
      <w:r>
        <w:rPr>
          <w:rFonts w:ascii="Times New Roman" w:cs="Times New Roman" w:eastAsia="Times New Roman" w:hAnsi="Times New Roman"/>
          <w:sz w:val="18"/>
          <w:szCs w:val="18"/>
          <w:color w:val="auto"/>
        </w:rPr>
        <w:t>in our Annual Report on Form 10-K for the year ended December 31, 2023.</w:t>
      </w:r>
    </w:p>
    <w:p>
      <w:pPr>
        <w:spacing w:after="0" w:line="14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6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loan portfolio as of September 30, 2024 and December 31, 2023, was concentrated with the top three borrowers representing approximately 23.9% and 28.7% of principal outstanding and approximately 22.8% and 26.4% of the total commitments, respectively. As of and for the three months ended September 30, 2024 and 2023, the top three borrowers represented approximately 27.9% and 30.3% of the total interest income, respectively. The largest loan represented approximately 9.3% and 10.9% of principal outstanding and approximately 8.0% and 9.7% of the total commitments as of September 30, 2024 and December 31, 2023, respectively.</w:t>
      </w:r>
    </w:p>
    <w:p>
      <w:pPr>
        <w:spacing w:after="0" w:line="14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our borrowers have operations in the jurisdictions noted within the table below based on real estate collateral location or principal place of business: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45"/>
        </w:trPr>
        <w:tc>
          <w:tcPr>
            <w:tcW w:w="19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Our</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Pr>
          <w:p>
            <w:pPr>
              <w:spacing w:after="0"/>
              <w:rPr>
                <w:sz w:val="18"/>
                <w:szCs w:val="18"/>
                <w:color w:val="auto"/>
              </w:rPr>
            </w:pPr>
          </w:p>
        </w:tc>
      </w:tr>
      <w:tr>
        <w:trPr>
          <w:trHeight w:val="196"/>
        </w:trPr>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17"/>
                <w:szCs w:val="17"/>
                <w:color w:val="auto"/>
              </w:rPr>
            </w:pPr>
          </w:p>
        </w:tc>
        <w:tc>
          <w:tcPr>
            <w:tcW w:w="1280" w:type="dxa"/>
            <w:vAlign w:val="bottom"/>
          </w:tcPr>
          <w:p>
            <w:pPr>
              <w:jc w:val="center"/>
              <w:ind w:left="3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Loan</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8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r>
      <w:tr>
        <w:trPr>
          <w:trHeight w:val="272"/>
        </w:trPr>
        <w:tc>
          <w:tcPr>
            <w:tcW w:w="1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44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5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320" w:type="dxa"/>
            <w:vAlign w:val="bottom"/>
          </w:tcPr>
          <w:p>
            <w:pPr>
              <w:spacing w:after="0"/>
              <w:rPr>
                <w:sz w:val="23"/>
                <w:szCs w:val="23"/>
                <w:color w:val="auto"/>
              </w:rPr>
            </w:pPr>
          </w:p>
        </w:tc>
        <w:tc>
          <w:tcPr>
            <w:tcW w:w="12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4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5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60" w:type="dxa"/>
            <w:vAlign w:val="bottom"/>
          </w:tcPr>
          <w:p>
            <w:pPr>
              <w:spacing w:after="0"/>
              <w:rPr>
                <w:sz w:val="23"/>
                <w:szCs w:val="23"/>
                <w:color w:val="auto"/>
              </w:rPr>
            </w:pPr>
          </w:p>
        </w:tc>
      </w:tr>
      <w:tr>
        <w:trPr>
          <w:trHeight w:val="22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8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54,829,536</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15 % Maryland</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53,907,352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8"/>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41,756,774</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12 % Pennsylvania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21,674,160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34,783,248</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10 % Ohio</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27,902,362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34,327,575</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9 % Missouri</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25,191,575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31,849,084</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9 % Michigan</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56,466,635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28,625,165</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8 % Illinois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25,599,133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26,739,191</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7 % California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25,849,894</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7 % New York</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22,611,938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25,587,407</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7 % Florida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48,815,066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25,400,574</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7 % Arizona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24,466,609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4 % Nebraska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13,061,667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2 % West Virginia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11,706,059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6,450,000</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2 % Connecticut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2,783,391</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1 % Massachusetts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12,308,310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1,152,000</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0 % Minnesota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0 % Oregon</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9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 Nevada</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5,764,439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362,285,780</w:t>
            </w: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100 % Total</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355,745,305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540" w:type="dxa"/>
            <w:vAlign w:val="bottom"/>
            <w:gridSpan w:val="3"/>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0"/>
        </w:trPr>
        <w:tc>
          <w:tcPr>
            <w:tcW w:w="10020" w:type="dxa"/>
            <w:vAlign w:val="bottom"/>
            <w:gridSpan w:val="16"/>
          </w:tcPr>
          <w:p>
            <w:pPr>
              <w:spacing w:after="0"/>
              <w:rPr>
                <w:sz w:val="20"/>
                <w:szCs w:val="20"/>
                <w:color w:val="auto"/>
              </w:rPr>
            </w:pPr>
            <w:r>
              <w:rPr>
                <w:rFonts w:ascii="Times New Roman" w:cs="Times New Roman" w:eastAsia="Times New Roman" w:hAnsi="Times New Roman"/>
                <w:sz w:val="24"/>
                <w:szCs w:val="24"/>
                <w:color w:val="auto"/>
                <w:w w:val="99"/>
                <w:vertAlign w:val="superscript"/>
              </w:rPr>
              <w:t>(1)</w:t>
            </w:r>
            <w:r>
              <w:rPr>
                <w:rFonts w:ascii="Times New Roman" w:cs="Times New Roman" w:eastAsia="Times New Roman" w:hAnsi="Times New Roman"/>
                <w:sz w:val="18"/>
                <w:szCs w:val="18"/>
                <w:color w:val="auto"/>
                <w:w w:val="99"/>
              </w:rPr>
              <w:t xml:space="preserve"> The principal balance of the loans not secured by real estate collateral are included in the jurisdiction representing the principal place of</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business.</w:t>
            </w:r>
          </w:p>
        </w:tc>
      </w:tr>
      <w:tr>
        <w:trPr>
          <w:trHeight w:val="234"/>
        </w:trPr>
        <w:tc>
          <w:tcPr>
            <w:tcW w:w="5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Amounts presented include loans held for investment and loans held for sale.</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-3196590</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-2888615</wp:posOffset>
            </wp:positionV>
            <wp:extent cx="71323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18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56"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Principal Executive Officer and Principal Financial Officer, evaluated the effectiveness of the design and operation of our disclosure controls and procedures as of September 30, 2024. Based on that evaluation, our Principal Executive Officer and Principal Financial Officer have concluded that our disclosure controls and procedures were effective at the reasonable assurance level as of September 30, 2024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launched and adopted a new integrated ERP system, which replaced our existing core financial system. The system enhances efficiencies and simplifies our accounting and reporting processes. In</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5" w:right="2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conjunction with the implementation of the ERP system, our internal processes, procedures and controls have been updated accordingly.</w:t>
      </w:r>
    </w:p>
    <w:p>
      <w:pPr>
        <w:spacing w:after="0" w:line="19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Except as discussed in the preceding paragraph, there were no changes in our internal control over financial reporting (as defined in Rules 13a-15(f) and 15d-15(f) under the Exchange Act) during the quarter ended September 30, 2024 that have materially affected, or that are reasonably likely to materially affect, our internal control over financial reporting.</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61" w:right="5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2023.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None of the Company’s officers or directors have adopted, modified or terminated trading plans under either a Rule 10b5-1 or non-Rule 10b5-1 trading arrangement (as such terms are defined in Item 408 of Regulation S-K of the Securities Act of 1933)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59"/>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2"/>
                <w:szCs w:val="22"/>
                <w:color w:val="auto"/>
              </w:rPr>
            </w:pPr>
          </w:p>
        </w:tc>
        <w:tc>
          <w:tcPr>
            <w:tcW w:w="10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1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Loan Agreement, dated as of October 18, 2024, among Chicago Atlantic Real Estate Finance, Inc., and the financial institutions party</w:t>
            </w:r>
          </w:p>
        </w:tc>
      </w:tr>
      <w:tr>
        <w:trPr>
          <w:trHeight w:val="241"/>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thereto, as Lenders (Incorporated by Reference to Current Report on Form 8-K (File No. 001-41123) filed on October 23, 2024).</w:t>
            </w:r>
          </w:p>
        </w:tc>
      </w:tr>
      <w:tr>
        <w:trPr>
          <w:trHeight w:val="196"/>
        </w:trPr>
        <w:tc>
          <w:tcPr>
            <w:tcW w:w="10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101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6"/>
                <w:szCs w:val="16"/>
                <w:color w:val="auto"/>
              </w:rPr>
            </w:pPr>
          </w:p>
        </w:tc>
        <w:tc>
          <w:tcPr>
            <w:tcW w:w="101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6"/>
                <w:szCs w:val="16"/>
                <w:color w:val="auto"/>
              </w:rPr>
            </w:pPr>
          </w:p>
        </w:tc>
        <w:tc>
          <w:tcPr>
            <w:tcW w:w="101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11"/>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48"/>
        </w:trPr>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4" w:lineRule="exact"/>
        <w:rPr>
          <w:sz w:val="20"/>
          <w:szCs w:val="20"/>
          <w:color w:val="auto"/>
        </w:rPr>
      </w:pPr>
    </w:p>
    <w:p>
      <w:pPr>
        <w:ind w:left="1160" w:hanging="1139"/>
        <w:spacing w:after="0"/>
        <w:tabs>
          <w:tab w:leader="none" w:pos="1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52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w:t>
            </w:r>
          </w:p>
        </w:tc>
      </w:tr>
      <w:tr>
        <w:trPr>
          <w:trHeight w:val="238"/>
        </w:trPr>
        <w:tc>
          <w:tcPr>
            <w:tcW w:w="3720" w:type="dxa"/>
            <w:vAlign w:val="bottom"/>
          </w:tcPr>
          <w:p>
            <w:pPr>
              <w:spacing w:after="0"/>
              <w:rPr>
                <w:sz w:val="20"/>
                <w:szCs w:val="20"/>
                <w:color w:val="auto"/>
              </w:rPr>
            </w:pPr>
          </w:p>
        </w:tc>
        <w:tc>
          <w:tcPr>
            <w:tcW w:w="34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INC.</w:t>
            </w:r>
          </w:p>
        </w:tc>
        <w:tc>
          <w:tcPr>
            <w:tcW w:w="4040" w:type="dxa"/>
            <w:vAlign w:val="bottom"/>
          </w:tcPr>
          <w:p>
            <w:pPr>
              <w:spacing w:after="0"/>
              <w:rPr>
                <w:sz w:val="20"/>
                <w:szCs w:val="20"/>
                <w:color w:val="auto"/>
              </w:rPr>
            </w:pPr>
          </w:p>
        </w:tc>
      </w:tr>
      <w:tr>
        <w:trPr>
          <w:trHeight w:val="49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7, 2024</w:t>
            </w:r>
          </w:p>
        </w:tc>
        <w:tc>
          <w:tcPr>
            <w:tcW w:w="34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Sack</w:t>
            </w:r>
          </w:p>
        </w:tc>
      </w:tr>
      <w:tr>
        <w:trPr>
          <w:trHeight w:val="234"/>
        </w:trPr>
        <w:tc>
          <w:tcPr>
            <w:tcW w:w="3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Sack</w:t>
            </w:r>
          </w:p>
        </w:tc>
      </w:tr>
      <w:tr>
        <w:trPr>
          <w:trHeight w:val="238"/>
        </w:trPr>
        <w:tc>
          <w:tcPr>
            <w:tcW w:w="3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43"/>
        </w:trPr>
        <w:tc>
          <w:tcPr>
            <w:tcW w:w="37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6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7, 2024</w:t>
            </w:r>
          </w:p>
        </w:tc>
        <w:tc>
          <w:tcPr>
            <w:tcW w:w="348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Phillip Silverman</w:t>
            </w:r>
          </w:p>
        </w:tc>
      </w:tr>
      <w:tr>
        <w:trPr>
          <w:trHeight w:val="234"/>
        </w:trPr>
        <w:tc>
          <w:tcPr>
            <w:tcW w:w="3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Phillip Silverman</w:t>
            </w:r>
          </w:p>
        </w:tc>
      </w:tr>
      <w:tr>
        <w:trPr>
          <w:trHeight w:val="238"/>
        </w:trPr>
        <w:tc>
          <w:tcPr>
            <w:tcW w:w="3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7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62"/>
        </w:trPr>
        <w:tc>
          <w:tcPr>
            <w:tcW w:w="3720" w:type="dxa"/>
            <w:vAlign w:val="bottom"/>
          </w:tcPr>
          <w:p>
            <w:pPr>
              <w:spacing w:after="0"/>
              <w:rPr>
                <w:sz w:val="24"/>
                <w:szCs w:val="24"/>
                <w:color w:val="auto"/>
              </w:rPr>
            </w:pPr>
          </w:p>
        </w:tc>
        <w:tc>
          <w:tcPr>
            <w:tcW w:w="3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49</w:t>
            </w:r>
          </w:p>
        </w:tc>
        <w:tc>
          <w:tcPr>
            <w:tcW w:w="404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3240" w:firstLine="3243"/>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PRINCIPAL EXECUTIVE OFFICER </w:t>
      </w:r>
      <w:r>
        <w:rPr>
          <w:rFonts w:ascii="Times New Roman" w:cs="Times New Roman" w:eastAsia="Times New Roman" w:hAnsi="Times New Roman"/>
          <w:sz w:val="17"/>
          <w:szCs w:val="17"/>
          <w:color w:val="auto"/>
        </w:rPr>
        <w:t>I, Peter Sack, Co-Chief Executive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3260" w:firstLine="3268"/>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PRINICPAL FINANCIAL OFFICER </w:t>
      </w:r>
      <w:r>
        <w:rPr>
          <w:rFonts w:ascii="Times New Roman" w:cs="Times New Roman" w:eastAsia="Times New Roman" w:hAnsi="Times New Roman"/>
          <w:sz w:val="17"/>
          <w:szCs w:val="17"/>
          <w:color w:val="auto"/>
        </w:rPr>
        <w:t>I, Phillip Silverman, Chief Financial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60" w:hanging="514"/>
        <w:spacing w:after="0" w:line="260"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2024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Sack</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year ended September 30, 2024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6" w:lineRule="exact"/>
        <w:rPr>
          <w:sz w:val="20"/>
          <w:szCs w:val="20"/>
          <w:color w:val="auto"/>
        </w:rPr>
      </w:pPr>
    </w:p>
    <w:p>
      <w:pPr>
        <w:ind w:left="678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bullet"/>
      <w:start w:val="1"/>
    </w:lvl>
  </w:abstractNum>
  <w:abstractNum w:abstractNumId="10">
    <w:nsid w:val="1E7FF521"/>
    <w:multiLevelType w:val="hybridMultilevel"/>
    <w:lvl w:ilvl="0">
      <w:lvlJc w:val="left"/>
      <w:lvlText w:val="2"/>
      <w:numFmt w:val="bullet"/>
      <w:start w:val="1"/>
    </w:lvl>
  </w:abstractNum>
  <w:abstractNum w:abstractNumId="11">
    <w:nsid w:val="7C3DBD3D"/>
    <w:multiLevelType w:val="hybridMultilevel"/>
    <w:lvl w:ilvl="0">
      <w:lvlJc w:val="left"/>
      <w:lvlText w:val="3"/>
      <w:numFmt w:val="bullet"/>
      <w:start w:val="1"/>
    </w:lvl>
  </w:abstractNum>
  <w:abstractNum w:abstractNumId="12">
    <w:nsid w:val="737B8DDC"/>
    <w:multiLevelType w:val="hybridMultilevel"/>
    <w:lvl w:ilvl="0">
      <w:lvlJc w:val="left"/>
      <w:lvlText w:val="4"/>
      <w:numFmt w:val="bullet"/>
      <w:start w:val="1"/>
    </w:lvl>
  </w:abstractNum>
  <w:abstractNum w:abstractNumId="13">
    <w:nsid w:val="6CEAF087"/>
    <w:multiLevelType w:val="hybridMultilevel"/>
    <w:lvl w:ilvl="0">
      <w:lvlJc w:val="left"/>
      <w:lvlText w:val="5"/>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o"/>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o"/>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7"/>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bullet"/>
      <w:start w:val="1"/>
    </w:lvl>
  </w:abstractNum>
  <w:abstractNum w:abstractNumId="37">
    <w:nsid w:val="725A06FB"/>
    <w:multiLevelType w:val="hybridMultilevel"/>
    <w:lvl w:ilvl="0">
      <w:lvlJc w:val="left"/>
      <w:lvlText w:val="2"/>
      <w:numFmt w:val="bullet"/>
      <w:start w:val="1"/>
    </w:lvl>
  </w:abstractNum>
  <w:abstractNum w:abstractNumId="38">
    <w:nsid w:val="2CD89A32"/>
    <w:multiLevelType w:val="hybridMultilevel"/>
    <w:lvl w:ilvl="0">
      <w:lvlJc w:val="left"/>
      <w:lvlText w:val="3"/>
      <w:numFmt w:val="bullet"/>
      <w:start w:val="1"/>
    </w:lvl>
  </w:abstractNum>
  <w:abstractNum w:abstractNumId="39">
    <w:nsid w:val="57E4CCAF"/>
    <w:multiLevelType w:val="hybridMultilevel"/>
    <w:lvl w:ilvl="0">
      <w:lvlJc w:val="left"/>
      <w:lvlText w:val="4"/>
      <w:numFmt w:val="bullet"/>
      <w:start w:val="1"/>
    </w:lvl>
  </w:abstractNum>
  <w:abstractNum w:abstractNumId="40">
    <w:nsid w:val="7A6D8D3C"/>
    <w:multiLevelType w:val="hybridMultilevel"/>
    <w:lvl w:ilvl="0">
      <w:lvlJc w:val="left"/>
      <w:lvlText w:val="5"/>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lvl w:ilvl="1">
      <w:lvlJc w:val="left"/>
      <w:lvlText w:val="%2"/>
      <w:numFmt w:val="decimal"/>
      <w:start w:val="104"/>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2024-11-07T06:12:35Z</dcterms:created>
  <dcterms:modified xsi:type="dcterms:W3CDTF">2024-11-07T06:12:35Z</dcterms:modified>
</cp:coreProperties>
</file>