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left="3660" w:right="940" w:hanging="2712"/>
        <w:spacing w:after="0" w:line="477" w:lineRule="auto"/>
        <w:tabs>
          <w:tab w:leader="none" w:pos="116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41" w:lineRule="exact"/>
        <w:rPr>
          <w:rFonts w:ascii="MS PGothic" w:cs="MS PGothic" w:eastAsia="MS PGothic" w:hAnsi="MS PGothic"/>
          <w:sz w:val="18"/>
          <w:szCs w:val="18"/>
          <w:color w:val="auto"/>
        </w:rPr>
      </w:pPr>
    </w:p>
    <w:p>
      <w:pPr>
        <w:jc w:val="center"/>
        <w:ind w:left="3420" w:right="940" w:hanging="247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001-41123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ATLANTIC REAL ESTATE FINANCE,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6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6"/>
              </w:rPr>
              <w:t>Maryland</w:t>
            </w:r>
          </w:p>
        </w:tc>
        <w:tc>
          <w:tcPr>
            <w:tcW w:w="3640" w:type="dxa"/>
            <w:vAlign w:val="bottom"/>
          </w:tcPr>
          <w:p>
            <w:pPr>
              <w:jc w:val="center"/>
              <w:ind w:right="1770"/>
              <w:spacing w:after="0"/>
              <w:rPr>
                <w:sz w:val="20"/>
                <w:szCs w:val="20"/>
                <w:color w:val="auto"/>
              </w:rPr>
            </w:pPr>
            <w:r>
              <w:rPr>
                <w:rFonts w:ascii="Arial" w:cs="Arial" w:eastAsia="Arial" w:hAnsi="Arial"/>
                <w:sz w:val="18"/>
                <w:szCs w:val="18"/>
                <w:b w:val="1"/>
                <w:bCs w:val="1"/>
                <w:color w:val="auto"/>
                <w:w w:val="89"/>
              </w:rPr>
              <w:t>86-3125132</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7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7600" w:type="dxa"/>
            <w:vAlign w:val="bottom"/>
            <w:gridSpan w:val="3"/>
          </w:tcPr>
          <w:p>
            <w:pPr>
              <w:jc w:val="center"/>
              <w:ind w:right="2080"/>
              <w:spacing w:after="0"/>
              <w:rPr>
                <w:sz w:val="20"/>
                <w:szCs w:val="20"/>
                <w:color w:val="auto"/>
              </w:rPr>
            </w:pPr>
            <w:r>
              <w:rPr>
                <w:rFonts w:ascii="Arial" w:cs="Arial" w:eastAsia="Arial" w:hAnsi="Arial"/>
                <w:sz w:val="18"/>
                <w:szCs w:val="18"/>
                <w:color w:val="auto"/>
                <w:w w:val="92"/>
              </w:rPr>
              <w:t>incorporation or organization)</w:t>
            </w:r>
          </w:p>
        </w:tc>
        <w:tc>
          <w:tcPr>
            <w:tcW w:w="3640" w:type="dxa"/>
            <w:vAlign w:val="bottom"/>
          </w:tcPr>
          <w:p>
            <w:pPr>
              <w:jc w:val="center"/>
              <w:ind w:right="17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760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89"/>
              </w:rPr>
              <w:t>1680 Michigan Avenue, Suite 700,</w:t>
            </w:r>
          </w:p>
        </w:tc>
        <w:tc>
          <w:tcPr>
            <w:tcW w:w="3640" w:type="dxa"/>
            <w:vAlign w:val="bottom"/>
          </w:tcPr>
          <w:p>
            <w:pPr>
              <w:spacing w:after="0"/>
              <w:rPr>
                <w:sz w:val="24"/>
                <w:szCs w:val="24"/>
                <w:color w:val="auto"/>
              </w:rPr>
            </w:pPr>
          </w:p>
        </w:tc>
      </w:tr>
      <w:tr>
        <w:trPr>
          <w:trHeight w:val="220"/>
        </w:trPr>
        <w:tc>
          <w:tcPr>
            <w:tcW w:w="760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3"/>
              </w:rPr>
              <w:t>Miami Beach, FL 33139</w:t>
            </w:r>
          </w:p>
        </w:tc>
        <w:tc>
          <w:tcPr>
            <w:tcW w:w="3640" w:type="dxa"/>
            <w:vAlign w:val="bottom"/>
          </w:tcPr>
          <w:p>
            <w:pPr>
              <w:spacing w:after="0"/>
              <w:rPr>
                <w:sz w:val="19"/>
                <w:szCs w:val="19"/>
                <w:color w:val="auto"/>
              </w:rPr>
            </w:pPr>
          </w:p>
        </w:tc>
      </w:tr>
      <w:tr>
        <w:trPr>
          <w:trHeight w:val="230"/>
        </w:trPr>
        <w:tc>
          <w:tcPr>
            <w:tcW w:w="7600" w:type="dxa"/>
            <w:vAlign w:val="bottom"/>
            <w:gridSpan w:val="3"/>
          </w:tcPr>
          <w:p>
            <w:pPr>
              <w:jc w:val="center"/>
              <w:ind w:left="3570"/>
              <w:spacing w:after="0"/>
              <w:rPr>
                <w:sz w:val="20"/>
                <w:szCs w:val="20"/>
                <w:color w:val="auto"/>
              </w:rPr>
            </w:pPr>
            <w:r>
              <w:rPr>
                <w:rFonts w:ascii="Arial" w:cs="Arial" w:eastAsia="Arial" w:hAnsi="Arial"/>
                <w:sz w:val="18"/>
                <w:szCs w:val="18"/>
                <w:color w:val="auto"/>
                <w:w w:val="92"/>
              </w:rPr>
              <w:t>(Address of principal executive offices) (Zip Code)</w:t>
            </w:r>
          </w:p>
        </w:tc>
        <w:tc>
          <w:tcPr>
            <w:tcW w:w="3640" w:type="dxa"/>
            <w:vAlign w:val="bottom"/>
          </w:tcPr>
          <w:p>
            <w:pPr>
              <w:spacing w:after="0"/>
              <w:rPr>
                <w:sz w:val="20"/>
                <w:szCs w:val="20"/>
                <w:color w:val="auto"/>
              </w:rPr>
            </w:pPr>
          </w:p>
        </w:tc>
      </w:tr>
      <w:tr>
        <w:trPr>
          <w:trHeight w:val="418"/>
        </w:trPr>
        <w:tc>
          <w:tcPr>
            <w:tcW w:w="760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90"/>
              </w:rPr>
              <w:t>(312) 809-7002</w:t>
            </w:r>
          </w:p>
        </w:tc>
        <w:tc>
          <w:tcPr>
            <w:tcW w:w="3640" w:type="dxa"/>
            <w:vAlign w:val="bottom"/>
          </w:tcPr>
          <w:p>
            <w:pPr>
              <w:spacing w:after="0"/>
              <w:rPr>
                <w:sz w:val="24"/>
                <w:szCs w:val="24"/>
                <w:color w:val="auto"/>
              </w:rPr>
            </w:pPr>
          </w:p>
        </w:tc>
      </w:tr>
      <w:tr>
        <w:trPr>
          <w:trHeight w:val="230"/>
        </w:trPr>
        <w:tc>
          <w:tcPr>
            <w:tcW w:w="7600" w:type="dxa"/>
            <w:vAlign w:val="bottom"/>
            <w:gridSpan w:val="3"/>
          </w:tcPr>
          <w:p>
            <w:pPr>
              <w:jc w:val="center"/>
              <w:ind w:left="355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430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00" w:type="dxa"/>
            <w:vAlign w:val="bottom"/>
          </w:tcPr>
          <w:p>
            <w:pPr>
              <w:spacing w:after="0"/>
              <w:rPr>
                <w:sz w:val="20"/>
                <w:szCs w:val="20"/>
                <w:color w:val="auto"/>
              </w:rPr>
            </w:pPr>
          </w:p>
        </w:tc>
      </w:tr>
      <w:tr>
        <w:trPr>
          <w:trHeight w:val="439"/>
        </w:trPr>
        <w:tc>
          <w:tcPr>
            <w:tcW w:w="3440" w:type="dxa"/>
            <w:vAlign w:val="bottom"/>
          </w:tcPr>
          <w:p>
            <w:pPr>
              <w:jc w:val="center"/>
              <w:ind w:left="90"/>
              <w:spacing w:after="0"/>
              <w:rPr>
                <w:sz w:val="20"/>
                <w:szCs w:val="20"/>
                <w:color w:val="auto"/>
              </w:rPr>
            </w:pPr>
            <w:r>
              <w:rPr>
                <w:rFonts w:ascii="Arial" w:cs="Arial" w:eastAsia="Arial" w:hAnsi="Arial"/>
                <w:sz w:val="18"/>
                <w:szCs w:val="18"/>
                <w:b w:val="1"/>
                <w:bCs w:val="1"/>
                <w:color w:val="auto"/>
                <w:w w:val="86"/>
              </w:rPr>
              <w:t>Title of each class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Trading Symbol(s)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44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Common Stock, $0.01 par value per share</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REFI</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5"/>
              </w:rPr>
              <w:t>NASDAQ Global Market</w:t>
            </w:r>
          </w:p>
        </w:tc>
      </w:tr>
    </w:tbl>
    <w:p>
      <w:pPr>
        <w:spacing w:after="0" w:line="202"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Class</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at November 3, 2023</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50"/>
              <w:spacing w:after="0"/>
              <w:rPr>
                <w:sz w:val="20"/>
                <w:szCs w:val="20"/>
                <w:color w:val="auto"/>
              </w:rPr>
            </w:pPr>
            <w:r>
              <w:rPr>
                <w:rFonts w:ascii="Arial" w:cs="Arial" w:eastAsia="Arial" w:hAnsi="Arial"/>
                <w:sz w:val="18"/>
                <w:szCs w:val="18"/>
                <w:color w:val="auto"/>
              </w:rPr>
              <w:t>18,182,241</w:t>
            </w:r>
          </w:p>
        </w:tc>
      </w:tr>
      <w:tr>
        <w:trPr>
          <w:trHeight w:val="216"/>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547"/>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70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rPr>
              <w:t>CHICAGO ATLANTIC REAL ESTATE FINANCE, INC.</w:t>
            </w:r>
          </w:p>
        </w:tc>
        <w:tc>
          <w:tcPr>
            <w:tcW w:w="130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00" w:type="dxa"/>
            <w:vAlign w:val="bottom"/>
            <w:gridSpan w:val="8"/>
          </w:tcPr>
          <w:p>
            <w:pPr>
              <w:jc w:val="center"/>
              <w:ind w:right="194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80" w:type="dxa"/>
            <w:vAlign w:val="bottom"/>
            <w:gridSpan w:val="6"/>
          </w:tcPr>
          <w:p>
            <w:pPr>
              <w:jc w:val="center"/>
              <w:ind w:right="3940"/>
              <w:spacing w:after="0"/>
              <w:rPr>
                <w:sz w:val="20"/>
                <w:szCs w:val="20"/>
                <w:color w:val="auto"/>
              </w:rPr>
            </w:pPr>
            <w:r>
              <w:rPr>
                <w:rFonts w:ascii="Arial" w:cs="Arial" w:eastAsia="Arial" w:hAnsi="Arial"/>
                <w:sz w:val="18"/>
                <w:szCs w:val="18"/>
                <w:b w:val="1"/>
                <w:bCs w:val="1"/>
                <w:color w:val="auto"/>
              </w:rPr>
              <w:t>INDEX</w:t>
            </w:r>
          </w:p>
        </w:tc>
        <w:tc>
          <w:tcPr>
            <w:tcW w:w="130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0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Financial Information</w:t>
            </w:r>
          </w:p>
        </w:tc>
        <w:tc>
          <w:tcPr>
            <w:tcW w:w="1300" w:type="dxa"/>
            <w:vAlign w:val="bottom"/>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99"/>
              </w:rPr>
              <w:t>1</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156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w w:val="91"/>
              </w:rPr>
              <w:t>Financial Statements</w:t>
            </w:r>
          </w:p>
        </w:tc>
        <w:tc>
          <w:tcPr>
            <w:tcW w:w="7460" w:type="dxa"/>
            <w:vAlign w:val="bottom"/>
            <w:tcBorders>
              <w:top w:val="single" w:sz="8" w:color="CCEEFF"/>
            </w:tcBorders>
            <w:gridSpan w:val="10"/>
          </w:tcPr>
          <w:p>
            <w:pPr>
              <w:spacing w:after="0"/>
              <w:rPr>
                <w:sz w:val="15"/>
                <w:szCs w:val="15"/>
                <w:color w:val="auto"/>
              </w:rPr>
            </w:pPr>
          </w:p>
        </w:tc>
        <w:tc>
          <w:tcPr>
            <w:tcW w:w="1300" w:type="dxa"/>
            <w:vAlign w:val="bottom"/>
            <w:tcBorders>
              <w:top w:val="single" w:sz="8" w:color="CCEEFF"/>
            </w:tcBorders>
          </w:tcPr>
          <w:p>
            <w:pPr>
              <w:jc w:val="center"/>
              <w:ind w:left="310"/>
              <w:spacing w:after="0" w:line="176" w:lineRule="exact"/>
              <w:rPr>
                <w:sz w:val="20"/>
                <w:szCs w:val="20"/>
                <w:color w:val="auto"/>
              </w:rPr>
            </w:pPr>
            <w:r>
              <w:rPr>
                <w:rFonts w:ascii="Arial" w:cs="Arial" w:eastAsia="Arial" w:hAnsi="Arial"/>
                <w:sz w:val="18"/>
                <w:szCs w:val="18"/>
                <w:color w:val="auto"/>
                <w:w w:val="99"/>
              </w:rPr>
              <w:t>1</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660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8"/>
              </w:rPr>
              <w:t>Consolidated Balance Sheets as of September 30, 2023 (unaudited) and December 31, 2022</w:t>
            </w:r>
          </w:p>
        </w:tc>
        <w:tc>
          <w:tcPr>
            <w:tcW w:w="2420" w:type="dxa"/>
            <w:vAlign w:val="bottom"/>
            <w:tcBorders>
              <w:bottom w:val="single" w:sz="8" w:color="CCEEFF"/>
            </w:tcBorders>
            <w:gridSpan w:val="4"/>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99"/>
              </w:rPr>
              <w:t>1</w:t>
            </w:r>
          </w:p>
        </w:tc>
      </w:tr>
      <w:tr>
        <w:trPr>
          <w:trHeight w:val="175"/>
        </w:trPr>
        <w:tc>
          <w:tcPr>
            <w:tcW w:w="920" w:type="dxa"/>
            <w:vAlign w:val="bottom"/>
          </w:tcPr>
          <w:p>
            <w:pPr>
              <w:spacing w:after="0"/>
              <w:rPr>
                <w:sz w:val="15"/>
                <w:szCs w:val="15"/>
                <w:color w:val="auto"/>
              </w:rPr>
            </w:pPr>
          </w:p>
        </w:tc>
        <w:tc>
          <w:tcPr>
            <w:tcW w:w="9020" w:type="dxa"/>
            <w:vAlign w:val="bottom"/>
            <w:gridSpan w:val="16"/>
          </w:tcPr>
          <w:p>
            <w:pPr>
              <w:spacing w:after="0" w:line="176" w:lineRule="exact"/>
              <w:rPr>
                <w:sz w:val="20"/>
                <w:szCs w:val="20"/>
                <w:color w:val="auto"/>
              </w:rPr>
            </w:pPr>
            <w:r>
              <w:rPr>
                <w:rFonts w:ascii="Arial" w:cs="Arial" w:eastAsia="Arial" w:hAnsi="Arial"/>
                <w:sz w:val="18"/>
                <w:szCs w:val="18"/>
                <w:color w:val="0000EE"/>
                <w:w w:val="97"/>
              </w:rPr>
              <w:t>Consolidated Statements of Income for the three and nine months ended September 30, 2023 and 2022 (unaudited)</w:t>
            </w:r>
          </w:p>
        </w:tc>
        <w:tc>
          <w:tcPr>
            <w:tcW w:w="1300" w:type="dxa"/>
            <w:vAlign w:val="bottom"/>
          </w:tcPr>
          <w:p>
            <w:pPr>
              <w:jc w:val="center"/>
              <w:ind w:left="310"/>
              <w:spacing w:after="0" w:line="176" w:lineRule="exact"/>
              <w:rPr>
                <w:sz w:val="20"/>
                <w:szCs w:val="20"/>
                <w:color w:val="auto"/>
              </w:rPr>
            </w:pPr>
            <w:r>
              <w:rPr>
                <w:rFonts w:ascii="Arial" w:cs="Arial" w:eastAsia="Arial" w:hAnsi="Arial"/>
                <w:sz w:val="18"/>
                <w:szCs w:val="18"/>
                <w:color w:val="auto"/>
                <w:w w:val="99"/>
              </w:rPr>
              <w:t>2</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90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8"/>
              </w:rPr>
              <w:t>Consolidated Statements of Equity for the three and nine months ended September 30, 2023 and 2022 (unaudited)</w:t>
            </w:r>
          </w:p>
        </w:tc>
        <w:tc>
          <w:tcPr>
            <w:tcW w:w="1300" w:type="dxa"/>
            <w:vAlign w:val="bottom"/>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99"/>
              </w:rPr>
              <w:t>3</w:t>
            </w:r>
          </w:p>
        </w:tc>
      </w:tr>
      <w:tr>
        <w:trPr>
          <w:trHeight w:val="175"/>
        </w:trPr>
        <w:tc>
          <w:tcPr>
            <w:tcW w:w="920" w:type="dxa"/>
            <w:vAlign w:val="bottom"/>
            <w:tcBorders>
              <w:top w:val="single" w:sz="8" w:color="CCEEFF"/>
            </w:tcBorders>
          </w:tcPr>
          <w:p>
            <w:pPr>
              <w:spacing w:after="0"/>
              <w:rPr>
                <w:sz w:val="15"/>
                <w:szCs w:val="15"/>
                <w:color w:val="auto"/>
              </w:rPr>
            </w:pPr>
          </w:p>
        </w:tc>
        <w:tc>
          <w:tcPr>
            <w:tcW w:w="820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3"/>
              </w:rPr>
              <w:t>Consolidated Statements of Cash Flows for the nine months ended September 30, 2023 and 2022 (unaudited)</w:t>
            </w:r>
          </w:p>
        </w:tc>
        <w:tc>
          <w:tcPr>
            <w:tcW w:w="820" w:type="dxa"/>
            <w:vAlign w:val="bottom"/>
            <w:tcBorders>
              <w:top w:val="single" w:sz="8" w:color="CCEEFF"/>
            </w:tcBorders>
            <w:gridSpan w:val="2"/>
          </w:tcPr>
          <w:p>
            <w:pPr>
              <w:spacing w:after="0"/>
              <w:rPr>
                <w:sz w:val="15"/>
                <w:szCs w:val="15"/>
                <w:color w:val="auto"/>
              </w:rPr>
            </w:pPr>
          </w:p>
        </w:tc>
        <w:tc>
          <w:tcPr>
            <w:tcW w:w="1300" w:type="dxa"/>
            <w:vAlign w:val="bottom"/>
            <w:tcBorders>
              <w:top w:val="single" w:sz="8" w:color="CCEEFF"/>
            </w:tcBorders>
          </w:tcPr>
          <w:p>
            <w:pPr>
              <w:jc w:val="center"/>
              <w:ind w:left="310"/>
              <w:spacing w:after="0" w:line="176" w:lineRule="exact"/>
              <w:rPr>
                <w:sz w:val="20"/>
                <w:szCs w:val="20"/>
                <w:color w:val="auto"/>
              </w:rPr>
            </w:pPr>
            <w:r>
              <w:rPr>
                <w:rFonts w:ascii="Arial" w:cs="Arial" w:eastAsia="Arial" w:hAnsi="Arial"/>
                <w:sz w:val="18"/>
                <w:szCs w:val="18"/>
                <w:color w:val="auto"/>
                <w:w w:val="99"/>
              </w:rPr>
              <w:t>4</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402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89"/>
              </w:rPr>
              <w:t>Notes to Consolidated Financial Statements (unaudited)</w:t>
            </w:r>
          </w:p>
        </w:tc>
        <w:tc>
          <w:tcPr>
            <w:tcW w:w="5000" w:type="dxa"/>
            <w:vAlign w:val="bottom"/>
            <w:tcBorders>
              <w:bottom w:val="single" w:sz="8" w:color="CCEEFF"/>
            </w:tcBorders>
            <w:gridSpan w:val="7"/>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99"/>
              </w:rPr>
              <w:t>5</w:t>
            </w:r>
          </w:p>
        </w:tc>
      </w:tr>
      <w:tr>
        <w:trPr>
          <w:trHeight w:val="176"/>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020" w:type="dxa"/>
            <w:vAlign w:val="bottom"/>
            <w:gridSpan w:val="16"/>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300" w:type="dxa"/>
            <w:vAlign w:val="bottom"/>
          </w:tcPr>
          <w:p>
            <w:pPr>
              <w:jc w:val="center"/>
              <w:ind w:left="310"/>
              <w:spacing w:after="0" w:line="176" w:lineRule="exact"/>
              <w:rPr>
                <w:sz w:val="20"/>
                <w:szCs w:val="20"/>
                <w:color w:val="auto"/>
              </w:rPr>
            </w:pPr>
            <w:r>
              <w:rPr>
                <w:rFonts w:ascii="Arial" w:cs="Arial" w:eastAsia="Arial" w:hAnsi="Arial"/>
                <w:sz w:val="18"/>
                <w:szCs w:val="18"/>
                <w:color w:val="auto"/>
                <w:w w:val="89"/>
              </w:rPr>
              <w:t>26</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300" w:type="dxa"/>
            <w:vAlign w:val="bottom"/>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89"/>
              </w:rPr>
              <w:t>46</w:t>
            </w: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434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rPr>
              <w:t>Controls and Procedures</w:t>
            </w:r>
          </w:p>
        </w:tc>
        <w:tc>
          <w:tcPr>
            <w:tcW w:w="4680" w:type="dxa"/>
            <w:vAlign w:val="bottom"/>
            <w:tcBorders>
              <w:top w:val="single" w:sz="8" w:color="CCEEFF"/>
            </w:tcBorders>
            <w:gridSpan w:val="6"/>
          </w:tcPr>
          <w:p>
            <w:pPr>
              <w:spacing w:after="0"/>
              <w:rPr>
                <w:sz w:val="15"/>
                <w:szCs w:val="15"/>
                <w:color w:val="auto"/>
              </w:rPr>
            </w:pPr>
          </w:p>
        </w:tc>
        <w:tc>
          <w:tcPr>
            <w:tcW w:w="1300" w:type="dxa"/>
            <w:vAlign w:val="bottom"/>
            <w:tcBorders>
              <w:top w:val="single" w:sz="8" w:color="CCEEFF"/>
            </w:tcBorders>
          </w:tcPr>
          <w:p>
            <w:pPr>
              <w:jc w:val="center"/>
              <w:ind w:left="310"/>
              <w:spacing w:after="0" w:line="176" w:lineRule="exact"/>
              <w:rPr>
                <w:sz w:val="20"/>
                <w:szCs w:val="20"/>
                <w:color w:val="auto"/>
              </w:rPr>
            </w:pPr>
            <w:r>
              <w:rPr>
                <w:rFonts w:ascii="Arial" w:cs="Arial" w:eastAsia="Arial" w:hAnsi="Arial"/>
                <w:sz w:val="18"/>
                <w:szCs w:val="18"/>
                <w:color w:val="auto"/>
                <w:w w:val="89"/>
              </w:rPr>
              <w:t>49</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0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1300" w:type="dxa"/>
            <w:vAlign w:val="bottom"/>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020" w:type="dxa"/>
            <w:vAlign w:val="bottom"/>
            <w:gridSpan w:val="16"/>
          </w:tcPr>
          <w:p>
            <w:pPr>
              <w:spacing w:after="0" w:line="176" w:lineRule="exact"/>
              <w:rPr>
                <w:sz w:val="20"/>
                <w:szCs w:val="20"/>
                <w:color w:val="auto"/>
              </w:rPr>
            </w:pPr>
            <w:r>
              <w:rPr>
                <w:rFonts w:ascii="Arial" w:cs="Arial" w:eastAsia="Arial" w:hAnsi="Arial"/>
                <w:sz w:val="18"/>
                <w:szCs w:val="18"/>
                <w:color w:val="0000EE"/>
              </w:rPr>
              <w:t>Legal Proceedings</w:t>
            </w:r>
          </w:p>
        </w:tc>
        <w:tc>
          <w:tcPr>
            <w:tcW w:w="1300" w:type="dxa"/>
            <w:vAlign w:val="bottom"/>
          </w:tcPr>
          <w:p>
            <w:pPr>
              <w:jc w:val="center"/>
              <w:ind w:left="310"/>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7"/>
              </w:rPr>
              <w:t>Risk Factors</w:t>
            </w:r>
          </w:p>
        </w:tc>
        <w:tc>
          <w:tcPr>
            <w:tcW w:w="8120" w:type="dxa"/>
            <w:vAlign w:val="bottom"/>
            <w:tcBorders>
              <w:bottom w:val="single" w:sz="8" w:color="CCEEFF"/>
            </w:tcBorders>
            <w:gridSpan w:val="14"/>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89"/>
              </w:rPr>
              <w:t>50</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020" w:type="dxa"/>
            <w:vAlign w:val="bottom"/>
            <w:gridSpan w:val="16"/>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300" w:type="dxa"/>
            <w:vAlign w:val="bottom"/>
          </w:tcPr>
          <w:p>
            <w:pPr>
              <w:jc w:val="center"/>
              <w:ind w:left="310"/>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90"/>
              </w:rPr>
              <w:t>Defaults Upon Senior Securities</w:t>
            </w:r>
          </w:p>
        </w:tc>
        <w:tc>
          <w:tcPr>
            <w:tcW w:w="6700" w:type="dxa"/>
            <w:vAlign w:val="bottom"/>
            <w:tcBorders>
              <w:bottom w:val="single" w:sz="8" w:color="CCEEFF"/>
            </w:tcBorders>
            <w:gridSpan w:val="8"/>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89"/>
              </w:rPr>
              <w:t>50</w:t>
            </w:r>
          </w:p>
        </w:tc>
      </w:t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020" w:type="dxa"/>
            <w:vAlign w:val="bottom"/>
            <w:gridSpan w:val="16"/>
          </w:tcPr>
          <w:p>
            <w:pPr>
              <w:spacing w:after="0" w:line="176" w:lineRule="exact"/>
              <w:rPr>
                <w:sz w:val="20"/>
                <w:szCs w:val="20"/>
                <w:color w:val="auto"/>
              </w:rPr>
            </w:pPr>
            <w:r>
              <w:rPr>
                <w:rFonts w:ascii="Arial" w:cs="Arial" w:eastAsia="Arial" w:hAnsi="Arial"/>
                <w:sz w:val="18"/>
                <w:szCs w:val="18"/>
                <w:color w:val="0000EE"/>
              </w:rPr>
              <w:t>Mine Safety Disclosures</w:t>
            </w:r>
          </w:p>
        </w:tc>
        <w:tc>
          <w:tcPr>
            <w:tcW w:w="1300" w:type="dxa"/>
            <w:vAlign w:val="bottom"/>
          </w:tcPr>
          <w:p>
            <w:pPr>
              <w:jc w:val="center"/>
              <w:ind w:left="310"/>
              <w:spacing w:after="0" w:line="176" w:lineRule="exact"/>
              <w:rPr>
                <w:sz w:val="20"/>
                <w:szCs w:val="20"/>
                <w:color w:val="auto"/>
              </w:rPr>
            </w:pPr>
            <w:r>
              <w:rPr>
                <w:rFonts w:ascii="Arial" w:cs="Arial" w:eastAsia="Arial" w:hAnsi="Arial"/>
                <w:sz w:val="18"/>
                <w:szCs w:val="18"/>
                <w:color w:val="auto"/>
                <w:w w:val="89"/>
              </w:rPr>
              <w:t>50</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0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1300" w:type="dxa"/>
            <w:vAlign w:val="bottom"/>
            <w:shd w:val="clear" w:color="auto" w:fill="CCEEFF"/>
          </w:tcPr>
          <w:p>
            <w:pPr>
              <w:jc w:val="center"/>
              <w:ind w:left="310"/>
              <w:spacing w:after="0" w:line="176" w:lineRule="exact"/>
              <w:rPr>
                <w:sz w:val="20"/>
                <w:szCs w:val="20"/>
                <w:color w:val="auto"/>
              </w:rPr>
            </w:pPr>
            <w:r>
              <w:rPr>
                <w:rFonts w:ascii="Arial" w:cs="Arial" w:eastAsia="Arial" w:hAnsi="Arial"/>
                <w:sz w:val="18"/>
                <w:szCs w:val="18"/>
                <w:color w:val="auto"/>
                <w:w w:val="89"/>
              </w:rPr>
              <w:t>50</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76" w:lineRule="exact"/>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15"/>
                <w:szCs w:val="15"/>
                <w:color w:val="auto"/>
              </w:rPr>
            </w:pPr>
          </w:p>
        </w:tc>
        <w:tc>
          <w:tcPr>
            <w:tcW w:w="7720" w:type="dxa"/>
            <w:vAlign w:val="bottom"/>
            <w:tcBorders>
              <w:top w:val="single" w:sz="8" w:color="CCEEFF"/>
            </w:tcBorders>
            <w:gridSpan w:val="13"/>
          </w:tcPr>
          <w:p>
            <w:pPr>
              <w:spacing w:after="0"/>
              <w:rPr>
                <w:sz w:val="15"/>
                <w:szCs w:val="15"/>
                <w:color w:val="auto"/>
              </w:rPr>
            </w:pPr>
          </w:p>
        </w:tc>
        <w:tc>
          <w:tcPr>
            <w:tcW w:w="1300" w:type="dxa"/>
            <w:vAlign w:val="bottom"/>
            <w:tcBorders>
              <w:top w:val="single" w:sz="8" w:color="CCEEFF"/>
            </w:tcBorders>
          </w:tcPr>
          <w:p>
            <w:pPr>
              <w:jc w:val="center"/>
              <w:ind w:left="310"/>
              <w:spacing w:after="0" w:line="176" w:lineRule="exact"/>
              <w:rPr>
                <w:sz w:val="20"/>
                <w:szCs w:val="20"/>
                <w:color w:val="auto"/>
              </w:rPr>
            </w:pPr>
            <w:r>
              <w:rPr>
                <w:rFonts w:ascii="Arial" w:cs="Arial" w:eastAsia="Arial" w:hAnsi="Arial"/>
                <w:sz w:val="18"/>
                <w:szCs w:val="18"/>
                <w:color w:val="auto"/>
                <w:w w:val="89"/>
              </w:rPr>
              <w:t>51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80" w:type="dxa"/>
            <w:vAlign w:val="bottom"/>
          </w:tcPr>
          <w:p>
            <w:pPr>
              <w:ind w:left="404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ind w:left="3400"/>
              <w:spacing w:after="0"/>
              <w:rPr>
                <w:sz w:val="20"/>
                <w:szCs w:val="20"/>
                <w:color w:val="auto"/>
              </w:rPr>
            </w:pPr>
            <w:r>
              <w:rPr>
                <w:rFonts w:ascii="Arial" w:cs="Arial" w:eastAsia="Arial" w:hAnsi="Arial"/>
                <w:sz w:val="18"/>
                <w:szCs w:val="18"/>
                <w:b w:val="1"/>
                <w:bCs w:val="1"/>
                <w:color w:val="auto"/>
              </w:rPr>
              <w:t>CHICAGO ATLANTIC REAL ESTATE FINANCE,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4060"/>
              <w:spacing w:after="0"/>
              <w:rPr>
                <w:sz w:val="20"/>
                <w:szCs w:val="20"/>
                <w:color w:val="auto"/>
              </w:rPr>
            </w:pPr>
            <w:r>
              <w:rPr>
                <w:rFonts w:ascii="Arial" w:cs="Arial" w:eastAsia="Arial" w:hAnsi="Arial"/>
                <w:sz w:val="18"/>
                <w:szCs w:val="18"/>
                <w:b w:val="1"/>
                <w:bCs w:val="1"/>
                <w:color w:val="auto"/>
              </w:rPr>
              <w:t>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investment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322,513,760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339,273,538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Loan held for investment - related party (Note 7)</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16,278,729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Loans held for investment, at carrying value</w:t>
            </w:r>
          </w:p>
        </w:tc>
        <w:tc>
          <w:tcPr>
            <w:tcW w:w="10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338,792,489</w:t>
            </w:r>
          </w:p>
        </w:tc>
        <w:tc>
          <w:tcPr>
            <w:tcW w:w="2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339,273,538</w:t>
            </w: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Current expected credit loss reserve</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(5,112,195)</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(3,940,939)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Loans held for investment at carrying value, net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333,680,294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335,332,599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8,702,157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5,715,827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securities, at fair value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3,469,340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2,226,902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1,204,412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receivables and assets,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946,077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1,018,212</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Related party receivables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3,284,900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352,309,670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343,271,050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Revolving loan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58,000,000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8,568,252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13,618,591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Management and incentive fees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1,601,387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3,295,600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1,668,783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1,397,515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1,187,591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1,058,128</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reserve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498,264</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1,868,193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76,524,277</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79,238,027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2"/>
              </w:rPr>
              <w:t>Common stock, par value $0.01 per share, 100,000,000 shares authorized and 18,182,241 and 17,766,936 shares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issued and outstanding,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181,823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176,859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276,946,111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268,995,848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earnings (deficit)</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(1,342,541)</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(5,139,684)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275,785,393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264,033,023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352,309,670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343,271,050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CHICAGO ATLANTIC REAL ESTATE FINANCE,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For the</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For the</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For the</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three months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three months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nine months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nine months</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ended</w:t>
            </w:r>
          </w:p>
        </w:tc>
        <w:tc>
          <w:tcPr>
            <w:tcW w:w="1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ended</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ended</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15,183,450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13,795,097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46,369,976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35,478,178</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(1,449,143)</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(861,348)</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(4,062,365)</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(1,383,172)</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13,734,307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12,933,749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42,307,611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34,095,006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Management and incentive fees, net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1,601,387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1,347,421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5,539,059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3,266,487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1,251,307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1,076,798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3,833,733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2,410,151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491,107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348,785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1,598,376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1,649,360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540,426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84,891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942,605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328,356</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(Reversal)/provision for current expected credit losses</w:t>
            </w: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(41,351)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306,885</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1,193,880</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1,403,892</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3,842,876</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3,164,780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13,107,653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98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Change in unrealized gain on debt securities, at fair value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85,567</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112,767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before income taxes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9,976,998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9,768,969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29,312,725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25,036,760</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9,976,998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9,768,969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29,312,725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25,036,760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weighted average shares of common stock outstanding</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18,175,467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17,657,913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18,052,293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17,652,367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of common stock outstanding</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18,562,930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17,752,290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18,269,171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17,747,612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CHICAGO ATLANTIC REAL ESTATE FINANCE,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9"/>
              </w:rPr>
              <w:t>Three months ended September 30, 2023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9"/>
                <w:szCs w:val="19"/>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5"/>
              </w:rPr>
              <w:t>(Deficit)</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18,175,393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276,405,754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(2,897,634)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273,689,874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Issuance of common stock,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in connection with private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placement, net of offering costs, underwriting discounts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commissions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6,848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540,357</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540,426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Dividends declared on common shares ($.47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(8,421,905)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(8,421,905)</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9,976,998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9,976,998</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2023</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18,182,241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276,946,111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(1,342,541</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275,785,393</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8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9"/>
              </w:rPr>
              <w:t>Three months ended September 30, 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9"/>
                <w:szCs w:val="19"/>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5"/>
              </w:rPr>
              <w:t>(Deficit)</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17,752,290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176,579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268,803,970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(353,038)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268,627,511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Issuance of common stock,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Issuance of common stock in connection with initial public</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offering and concurrent private placement, net of offering</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underwriting discounts and commissions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(9,375)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84,891</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10,593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95,484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Dividends declared on common shares ($.47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(8,339,170)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(8,339,170)</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9,768,969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9,768,969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17,742,915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268,888,861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1,087,354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270,152,794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8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9"/>
              </w:rPr>
              <w:t>Nine months ended September 30, 2023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9"/>
                <w:szCs w:val="19"/>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5"/>
              </w:rPr>
              <w:t>(Deficit)</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17,766,936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176,859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268,995,848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(5,139,684)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264,033,023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Issuance of common stock,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79,862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1,221,553</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1,222,352</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in connection with private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placement, net of offering costs, underwriting discounts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commissions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395,779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3,958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5,790,889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5,794,847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(60,336)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937,821</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4,647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942,675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Dividends declared on common shares ($1.41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(25,520,229)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(25,520,229)</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29,312,725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29,312,725</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2023</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18,182,241</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181,823</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276,946,111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(1,342,541</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275,785,393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80" w:type="dxa"/>
            <w:vAlign w:val="bottom"/>
            <w:gridSpan w:val="6"/>
          </w:tcPr>
          <w:p>
            <w:pPr>
              <w:jc w:val="center"/>
              <w:ind w:left="3770"/>
              <w:spacing w:after="0"/>
              <w:rPr>
                <w:sz w:val="20"/>
                <w:szCs w:val="20"/>
                <w:color w:val="auto"/>
              </w:rPr>
            </w:pPr>
            <w:r>
              <w:rPr>
                <w:rFonts w:ascii="Arial" w:cs="Arial" w:eastAsia="Arial" w:hAnsi="Arial"/>
                <w:sz w:val="18"/>
                <w:szCs w:val="18"/>
                <w:b w:val="1"/>
                <w:bCs w:val="1"/>
                <w:color w:val="auto"/>
                <w:w w:val="89"/>
              </w:rPr>
              <w:t>Nine months ended September 30, 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9"/>
                <w:szCs w:val="19"/>
                <w:color w:val="auto"/>
              </w:rPr>
            </w:pPr>
          </w:p>
        </w:tc>
        <w:tc>
          <w:tcPr>
            <w:tcW w:w="118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1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5"/>
              </w:rPr>
              <w:t>(Deficit)</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17,453,553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264,081,977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264,077,968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Issuance of common stock, net of offering 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302,800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3,028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4,478,528</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4,481,556</w:t>
            </w:r>
          </w:p>
        </w:tc>
        <w:tc>
          <w:tcPr>
            <w:tcW w:w="0" w:type="dxa"/>
            <w:vAlign w:val="bottom"/>
          </w:tcPr>
          <w:p>
            <w:pPr>
              <w:spacing w:after="0"/>
              <w:rPr>
                <w:sz w:val="1"/>
                <w:szCs w:val="1"/>
                <w:color w:val="auto"/>
              </w:rPr>
            </w:pPr>
          </w:p>
        </w:tc>
      </w:tr>
      <w:tr>
        <w:trPr>
          <w:trHeight w:val="202"/>
        </w:trPr>
        <w:tc>
          <w:tcPr>
            <w:tcW w:w="46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Issuance of common stock in connection with initial public</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offering and concurrent private placement, net of offering</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underwriting discounts and commissions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(13,438)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328,356</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11,775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340,131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Dividends declared on common shares ($1.34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7"/>
              </w:rPr>
              <w:t>(23,783,621)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(23,783,621)</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25,036,760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25,036,760</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17,742,915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268,888,861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1,087,354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270,152,794</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CHICAGO ATLANTIC REAL ESTATE FINANCE,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For the</w:t>
            </w: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9"/>
              </w:rPr>
              <w:t>nine months</w:t>
            </w: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89"/>
              </w:rPr>
              <w:t>nine months</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6"/>
              </w:rPr>
              <w:t>ended</w:t>
            </w: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center"/>
              <w:ind w:right="41"/>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5"/>
              </w:rPr>
              <w:t>$   29,312,725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   25,036,760</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Accretion of deferred loan origination fees and other discounts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(1,989,374)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(2,139,972)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Paid-in-kind interest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(6,343,749)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(4,096,721)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Provision for current expected credit losses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1,193,880</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1,403,892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unrealized gain on debt securities, at fair value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(112,767)</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deferred debt issuance costs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405,778</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379,644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942,605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328,356</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receivable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(1,022,490)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(529,544)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receivables and assets, net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(146,364)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(172,699)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reserve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(1,369,929)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(9,940,290)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271,268</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1,100,201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Related party receivables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(3,824,900)</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debt securities, at fair value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(3,356,573)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Management and incentive fees payable</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(1,694,213)</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545,127</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106,839</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463,075</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12,912,736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12,377,829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and fundings of loans held for investment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(67,422,648)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(134,314,003)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sales of loans held for investment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13,399,712</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6,696,777</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 of loans held for investment</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62,837,108</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6,892,654</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8,814,172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(120,724,572</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7,222,363</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4,505,664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borrowings on revolving loan</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64,000,000</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53,000,000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borrowings on revolving loan</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(59,000,000)</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Dividends paid to common shareholders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(30,566,088)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(19,874,715)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debt issuance costs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(112,279)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(177,261)</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Payment of offering costs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(284,574)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(23,941)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(18,740,578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37,429,747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rPr>
          <w:sz w:val="20"/>
          <w:szCs w:val="20"/>
          <w:color w:val="auto"/>
        </w:rPr>
      </w:pPr>
      <w:r>
        <w:rPr>
          <w:rFonts w:ascii="Arial" w:cs="Arial" w:eastAsia="Arial" w:hAnsi="Arial"/>
          <w:sz w:val="15"/>
          <w:szCs w:val="15"/>
          <w:b w:val="1"/>
          <w:bCs w:val="1"/>
          <w:color w:val="auto"/>
        </w:rPr>
        <w:t>Net increase/(decrease)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beginning of period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400"/>
        <w:spacing w:after="0"/>
        <w:tabs>
          <w:tab w:leader="none" w:pos="1560" w:val="left"/>
        </w:tabs>
        <w:rPr>
          <w:sz w:val="20"/>
          <w:szCs w:val="20"/>
          <w:color w:val="auto"/>
        </w:rPr>
      </w:pPr>
      <w:r>
        <w:rPr>
          <w:rFonts w:ascii="Arial" w:cs="Arial" w:eastAsia="Arial" w:hAnsi="Arial"/>
          <w:sz w:val="18"/>
          <w:szCs w:val="18"/>
          <w:b w:val="1"/>
          <w:bCs w:val="1"/>
          <w:color w:val="auto"/>
        </w:rPr>
        <w:t>2,986,330</w:t>
      </w:r>
      <w:r>
        <w:rPr>
          <w:sz w:val="20"/>
          <w:szCs w:val="20"/>
          <w:color w:val="auto"/>
        </w:rPr>
        <w:tab/>
      </w:r>
      <w:r>
        <w:rPr>
          <w:rFonts w:ascii="Arial" w:cs="Arial" w:eastAsia="Arial" w:hAnsi="Arial"/>
          <w:sz w:val="18"/>
          <w:szCs w:val="18"/>
          <w:b w:val="1"/>
          <w:bCs w:val="1"/>
          <w:color w:val="auto"/>
        </w:rPr>
        <w:t>(70,916,996)</w:t>
      </w:r>
    </w:p>
    <w:p>
      <w:pPr>
        <w:spacing w:after="0" w:line="27" w:lineRule="exact"/>
        <w:rPr>
          <w:sz w:val="20"/>
          <w:szCs w:val="20"/>
          <w:color w:val="auto"/>
        </w:rPr>
      </w:pPr>
    </w:p>
    <w:p>
      <w:pPr>
        <w:ind w:left="400"/>
        <w:spacing w:after="0"/>
        <w:tabs>
          <w:tab w:leader="none" w:pos="1620" w:val="left"/>
        </w:tabs>
        <w:rPr>
          <w:sz w:val="20"/>
          <w:szCs w:val="20"/>
          <w:color w:val="auto"/>
        </w:rPr>
      </w:pPr>
      <w:r>
        <w:rPr>
          <w:rFonts w:ascii="Arial" w:cs="Arial" w:eastAsia="Arial" w:hAnsi="Arial"/>
          <w:sz w:val="17"/>
          <w:szCs w:val="17"/>
          <w:b w:val="1"/>
          <w:bCs w:val="1"/>
          <w:color w:val="auto"/>
        </w:rPr>
        <w:t>5,715,827</w:t>
      </w:r>
      <w:r>
        <w:rPr>
          <w:sz w:val="20"/>
          <w:szCs w:val="20"/>
          <w:color w:val="auto"/>
        </w:rPr>
        <w:tab/>
      </w:r>
      <w:r>
        <w:rPr>
          <w:rFonts w:ascii="Arial" w:cs="Arial" w:eastAsia="Arial" w:hAnsi="Arial"/>
          <w:sz w:val="17"/>
          <w:szCs w:val="17"/>
          <w:b w:val="1"/>
          <w:bCs w:val="1"/>
          <w:color w:val="auto"/>
        </w:rPr>
        <w:t>80,248,526</w:t>
      </w:r>
    </w:p>
    <w:p>
      <w:pPr>
        <w:spacing w:after="0" w:line="70" w:lineRule="exact"/>
        <w:rPr>
          <w:sz w:val="20"/>
          <w:szCs w:val="20"/>
          <w:color w:val="auto"/>
        </w:rPr>
      </w:pPr>
    </w:p>
    <w:p>
      <w:pPr>
        <w:spacing w:after="0"/>
        <w:tabs>
          <w:tab w:leader="none" w:pos="380" w:val="left"/>
          <w:tab w:leader="none" w:pos="1320" w:val="left"/>
          <w:tab w:leader="none" w:pos="172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8,702,157</w:t>
        <w:tab/>
        <w:t>$</w:t>
      </w:r>
      <w:r>
        <w:rPr>
          <w:sz w:val="20"/>
          <w:szCs w:val="20"/>
          <w:color w:val="auto"/>
        </w:rPr>
        <w:tab/>
      </w:r>
      <w:r>
        <w:rPr>
          <w:rFonts w:ascii="Arial" w:cs="Arial" w:eastAsia="Arial" w:hAnsi="Arial"/>
          <w:sz w:val="16"/>
          <w:szCs w:val="16"/>
          <w:b w:val="1"/>
          <w:bCs w:val="1"/>
          <w:u w:val="single" w:color="auto"/>
          <w:color w:val="auto"/>
        </w:rPr>
        <w:t>9,331,530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43180</wp:posOffset>
            </wp:positionV>
            <wp:extent cx="15601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877" w:right="33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and investing activities</w:t>
            </w: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Interest reserve withheld from funding of loan</w:t>
            </w:r>
          </w:p>
        </w:tc>
        <w:tc>
          <w:tcPr>
            <w:tcW w:w="18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1,007,910</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8,929,716</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OID withheld from funding of loans held for investment</w:t>
            </w: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1,676,017</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2,180,593</w:t>
            </w:r>
          </w:p>
        </w:tc>
      </w:tr>
      <w:tr>
        <w:trPr>
          <w:trHeight w:val="216"/>
        </w:trPr>
        <w:tc>
          <w:tcPr>
            <w:tcW w:w="7020" w:type="dxa"/>
            <w:vAlign w:val="bottom"/>
          </w:tcPr>
          <w:p>
            <w:pPr>
              <w:ind w:left="180"/>
              <w:spacing w:after="0"/>
              <w:rPr>
                <w:sz w:val="20"/>
                <w:szCs w:val="20"/>
                <w:color w:val="auto"/>
              </w:rPr>
            </w:pPr>
            <w:r>
              <w:rPr>
                <w:rFonts w:ascii="Arial" w:cs="Arial" w:eastAsia="Arial" w:hAnsi="Arial"/>
                <w:sz w:val="18"/>
                <w:szCs w:val="18"/>
                <w:color w:val="auto"/>
              </w:rPr>
              <w:t>Dividends declared and not yet paid</w:t>
            </w:r>
          </w:p>
        </w:tc>
        <w:tc>
          <w:tcPr>
            <w:tcW w:w="18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8,568,252</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8,409,628</w:t>
            </w:r>
          </w:p>
        </w:tc>
      </w:tr>
      <w:tr>
        <w:trPr>
          <w:trHeight w:val="216"/>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of loan held for investment to loan held for sale</w:t>
            </w: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13,399,712</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Interest paid during the period</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3,530,521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646,278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CHICAGO ATLANTIC REAL ESTATE FINANCE,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Chicago Atlantic Real Estate Finance, Inc., and its wholly owned consolidated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spacing w:after="0" w:line="19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We also lend to and invest in companies or properties that are not related to the cannabis industry if they provide return characteristics consistent with our investment objective.</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externally managed by Chicago Atlantic REIT Manager, LLC (the “Manager”), a Delaware limited liability company, pursuant to the terms of the management agreement dated May 1, 2021, as amended in October 2021, which has a three-year initial term set to expire on April 30, 2024 (the “Management Agreement”), by and among the Company and the Manager. After the initial term, the management agreement is automatically renewed for one-year periods unless the Company or the Manager elects not to renew in accordance with the terms of the Management Agreement.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LP. (the “Sponsor”).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2022. In the opinion of the Company, all normal recurring adjustments have been made that are necessary to the fair statement of the results of operations and financial position as of and for the periods presented. Operating results for the three and nine-month periods ended September 30, 2023 are not necessarily indicative of the results that may be expected for the year ending December 31, 2023.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cash held with financial institutions may at times exceed the Federal Deposit Insurance Corporation (“FDIC”) insured limits. The Company and the Manager seek to manage this credit risk relating to cash by monitoring the financial stability of the financial institutions and their ability to continue in business for the foreseeable future.</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 and represented $149,086 and $0 of total cash and cash equivalents as of September 30, 2023 and December 31,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Consolidated Financial Statements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Debt Securities</w:t>
      </w:r>
    </w:p>
    <w:p>
      <w:pPr>
        <w:spacing w:after="0" w:line="22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Investments in marketable debt securities consist of debt securities that are classified as trading securities. Marketable debt securities are recorded at fair value on the consolidated balance sheets and unrealized gains and losses are included within the line item, change in unrealized gain on debt securities, at fair value on the consolidated statements of income. The table below summarizes the Company’s marketable debt securities,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ind w:left="780"/>
              <w:spacing w:after="0"/>
              <w:rPr>
                <w:sz w:val="20"/>
                <w:szCs w:val="20"/>
                <w:color w:val="auto"/>
              </w:rPr>
            </w:pPr>
            <w:r>
              <w:rPr>
                <w:rFonts w:ascii="Arial" w:cs="Arial" w:eastAsia="Arial" w:hAnsi="Arial"/>
                <w:sz w:val="18"/>
                <w:szCs w:val="18"/>
                <w:b w:val="1"/>
                <w:bCs w:val="1"/>
                <w:color w:val="auto"/>
                <w:w w:val="92"/>
              </w:rPr>
              <w:t>As of September 30, 2023</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Amortized</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Unamortized</w:t>
            </w:r>
          </w:p>
        </w:tc>
        <w:tc>
          <w:tcPr>
            <w:tcW w:w="24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Gain/(Loss),</w:t>
            </w:r>
          </w:p>
        </w:tc>
      </w:tr>
      <w:tr>
        <w:trPr>
          <w:trHeight w:val="241"/>
        </w:trPr>
        <w:tc>
          <w:tcPr>
            <w:tcW w:w="462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Face Amount</w:t>
            </w:r>
          </w:p>
        </w:tc>
        <w:tc>
          <w:tcPr>
            <w:tcW w:w="120" w:type="dxa"/>
            <w:vAlign w:val="bottom"/>
          </w:tcPr>
          <w:p>
            <w:pPr>
              <w:spacing w:after="0"/>
              <w:rPr>
                <w:sz w:val="20"/>
                <w:szCs w:val="20"/>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Discount</w:t>
            </w:r>
          </w:p>
        </w:tc>
        <w:tc>
          <w:tcPr>
            <w:tcW w:w="24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3,778,000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7"/>
              </w:rPr>
              <w:t>3,356,573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421,427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7"/>
              </w:rPr>
              <w:t>3,469,340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112,767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Held-for-Sale</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Once the Company decides to sell a loan(s), they are transferred from held for investment to held-for-sale and carried at the lower of cost or fair value. On the date a loan is transferred into the held-for-sale category, any previously recorded allowance for credit losses is reversed in earnings and the loan is recorded at its amortized cost. If the amortized cost exceeds the loan’s fair value at the date of transfer, a valuation allowance is recorded equal to the difference between amortized cost basis and fair value. There were no loans classified as held-for-sale as of September 30, 2023 and December 31,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Interest income on debt securities designated as trading securities is recognized on an accrual basis and is reported as interest receivable until collected. Interest income is accrued based on the outstanding face amount and the contractual terms of the securities. Original issue discount (“OID”), market discounts or premiums, if any, are recorded as an adjustment to the amortized cost and accreted or amortized as an adjustment to interest income using a method that approximates the effective interest method. Realized gains or losses on debt securities are measured by the difference between the net proceeds from the disposition and the amortized and/or accreted cost basis of the investment using the specific identification method without regard to unrealized gains or losses previously recognized, and include loans charged off during the period, net of recoveries.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receivable</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Related party receivables represent interest and principal payments received from borrowers by the Company’s affiliated loan administrative agent prior to the balance sheet date that were not remitted to the Company until subsequent to the balance sheet date. Related party receivables of $3,284,900 as of September 30, 2023 were collected in October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Company is a Maryland corporation and has elected to be taxed as a REIT under the Code, commencing with the taxable year ended December 31, 2021. The Company believes that it qualifies as a REIT and that its method of operations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qualify as a REIT, the Company must meet a number of organizational and operational requirements, including a requirement that the Company distributes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documented and supported for the taxable years ended December 31, 2022 and December 31, 2021. Based on the Company’s evaluation, there is no reserve for any uncertain income tax positions. Accrued interest and penalties, if any, are included within other liabilities in the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March 2022, the Financial Accounting Standards Board (“FASB”) issued Accounting Standards Update (“ASU”) 2022-02, Financial Instruments – Credit Losses (Topic 326): Troubled Debt Restructurings (“TDR”) and Vintage Disclosures. The amendments in this ASU eliminate the accounting guidance for TDRs by creditors in Subtopic 310-40, Receivables-Troubled Debt Restructurings by Creditors, while enhancing disclosure requirements for certain loan refinancings and restructurings by creditors when a borrower is experiencing financial difficulty. Additionally, for public business entities, the amendments in this ASU require that an entity disclose current-period gross write-offs by year of origination for financing receivables and net investments in leases within the scope of Subtopic 326-20, Financial Instruments-Credit Losses-Measured at Amortized Cost. The ASU’s amendments are effective for fiscal years beginning after December 15, 2022, and interim periods within those fiscal years and early adoption is permitted. The Company’s adoption of ASU 2022-02 on January 1, 2023 did not have a material impact on the Company’s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LOANS HELD FOR INVESTMENT, NET</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As of September 30, 2023 and December 31, 2022, the Company’s portfolio was comprised of loans to 27 and 22 borrowers, respectively, that the Company has the ability and intent to hold for the foreseeable future or until maturity. The portfolio of loans are held on the consolidated balance sheets at amortized cost. The Company’s aggregate loan commitments and outstanding principal were approximately $355.9 million and $341.8 million, respectively, as of September 30, 2023, and $351.4 million and $343.0 million as of December 31, 2022. During the three and nine month periods ended September 30, 2023, the Company funded approximately $32.8 million and $68.7 million in new loan principal, respectively.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ind w:right="100"/>
        <w:spacing w:after="0" w:line="311" w:lineRule="auto"/>
        <w:rPr>
          <w:sz w:val="20"/>
          <w:szCs w:val="20"/>
          <w:color w:val="auto"/>
        </w:rPr>
      </w:pPr>
      <w:r>
        <w:rPr>
          <w:rFonts w:ascii="Arial" w:cs="Arial" w:eastAsia="Arial" w:hAnsi="Arial"/>
          <w:sz w:val="16"/>
          <w:szCs w:val="16"/>
          <w:color w:val="auto"/>
        </w:rPr>
        <w:t>As of September 30, 2023 and December 31, 2022, approximately 81.1% and 83.1%, respectively, of the Company’s portfolio was comprised of floating rate loans that pay interest at the Prime Rate plus an applicable margin, and were subject to Prime Rate ceilings and floors as disclosed in the tables below. The carrying value of these loans was approximately $274.4 million and $281.6 million as of September 30, 2023 and December 31, 2022, respectively.</w:t>
      </w:r>
    </w:p>
    <w:p>
      <w:pPr>
        <w:spacing w:after="0" w:line="1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remaining 18.9% and 16.9% of the portfolio was comprised of fixed rate loans that had a carrying value of approximately $64.4 million and $57.7 million as of September 30, 2023 and December 31,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loans held for investment as of September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As of September 30,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Original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5"/>
          </w:tcPr>
          <w:p>
            <w:pPr>
              <w:ind w:left="6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Issue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5"/>
          </w:tcPr>
          <w:p>
            <w:pPr>
              <w:ind w:left="80"/>
              <w:spacing w:after="0"/>
              <w:rPr>
                <w:sz w:val="20"/>
                <w:szCs w:val="20"/>
                <w:color w:val="auto"/>
              </w:rPr>
            </w:pPr>
            <w:r>
              <w:rPr>
                <w:rFonts w:ascii="Arial" w:cs="Arial" w:eastAsia="Arial" w:hAnsi="Arial"/>
                <w:sz w:val="18"/>
                <w:szCs w:val="18"/>
                <w:b w:val="1"/>
                <w:bCs w:val="1"/>
                <w:color w:val="auto"/>
              </w:rPr>
              <w:t>Principal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Discount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Value (1)</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(Years) (2)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341,813,501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(3,021,012)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338,792,489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Current expected credit loss reserve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(5,112,195)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loans held at carrying value, net</w:t>
            </w: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341,813,501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(3,021,012</w:t>
            </w:r>
          </w:p>
        </w:tc>
        <w:tc>
          <w:tcPr>
            <w:tcW w:w="120" w:type="dxa"/>
            <w:vAlign w:val="bottom"/>
            <w:vMerge w:val="continue"/>
            <w:shd w:val="clear" w:color="auto" w:fill="CCEEFF"/>
          </w:tcPr>
          <w:p>
            <w:pPr>
              <w:spacing w:after="0"/>
              <w:rPr>
                <w:sz w:val="21"/>
                <w:szCs w:val="21"/>
                <w:color w:val="auto"/>
              </w:rPr>
            </w:pPr>
          </w:p>
        </w:tc>
        <w:tc>
          <w:tcPr>
            <w:tcW w:w="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333,680,294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89"/>
              </w:rPr>
              <w:t>As of December 31, 2022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Original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ind w:left="280"/>
              <w:spacing w:after="0"/>
              <w:rPr>
                <w:sz w:val="20"/>
                <w:szCs w:val="20"/>
                <w:color w:val="auto"/>
              </w:rPr>
            </w:pPr>
            <w:r>
              <w:rPr>
                <w:rFonts w:ascii="Arial" w:cs="Arial" w:eastAsia="Arial" w:hAnsi="Arial"/>
                <w:sz w:val="18"/>
                <w:szCs w:val="18"/>
                <w:b w:val="1"/>
                <w:bCs w:val="1"/>
                <w:color w:val="auto"/>
              </w:rPr>
              <w:t>Issue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Life</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5"/>
              </w:rPr>
              <w:t>Principal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ind w:left="120"/>
              <w:spacing w:after="0"/>
              <w:rPr>
                <w:sz w:val="20"/>
                <w:szCs w:val="20"/>
                <w:color w:val="auto"/>
              </w:rPr>
            </w:pPr>
            <w:r>
              <w:rPr>
                <w:rFonts w:ascii="Arial" w:cs="Arial" w:eastAsia="Arial" w:hAnsi="Arial"/>
                <w:sz w:val="18"/>
                <w:szCs w:val="18"/>
                <w:b w:val="1"/>
                <w:bCs w:val="1"/>
                <w:color w:val="auto"/>
              </w:rPr>
              <w:t>Discount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ind w:left="120"/>
              <w:spacing w:after="0"/>
              <w:rPr>
                <w:sz w:val="20"/>
                <w:szCs w:val="20"/>
                <w:color w:val="auto"/>
              </w:rPr>
            </w:pPr>
            <w:r>
              <w:rPr>
                <w:rFonts w:ascii="Arial" w:cs="Arial" w:eastAsia="Arial" w:hAnsi="Arial"/>
                <w:sz w:val="18"/>
                <w:szCs w:val="18"/>
                <w:b w:val="1"/>
                <w:bCs w:val="1"/>
                <w:color w:val="auto"/>
              </w:rPr>
              <w:t>Value (1)</w:t>
            </w:r>
          </w:p>
        </w:tc>
        <w:tc>
          <w:tcPr>
            <w:tcW w:w="1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(Years) (2)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343,029,334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(3,755,796)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339,273,538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Current expected credit loss reserve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(3,940,939)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loans held at carrying value, net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343,029,334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(3,755,796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335,332,599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Weighted average remaining life is calculated based on the carrying value of the loans as of September 30, 2023 and December 31, 2022, respectively.</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tables present changes in loans held at carrying value as of and for the nine months ended September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Original</w:t>
            </w:r>
          </w:p>
        </w:tc>
        <w:tc>
          <w:tcPr>
            <w:tcW w:w="140" w:type="dxa"/>
            <w:vAlign w:val="bottom"/>
          </w:tcPr>
          <w:p>
            <w:pPr>
              <w:spacing w:after="0"/>
              <w:rPr>
                <w:sz w:val="18"/>
                <w:szCs w:val="18"/>
                <w:color w:val="auto"/>
              </w:rPr>
            </w:pPr>
          </w:p>
        </w:tc>
        <w:tc>
          <w:tcPr>
            <w:tcW w:w="118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7"/>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rPr>
              <w:t>Issue</w:t>
            </w:r>
          </w:p>
        </w:tc>
        <w:tc>
          <w:tcPr>
            <w:tcW w:w="1320" w:type="dxa"/>
            <w:vAlign w:val="bottom"/>
            <w:gridSpan w:val="3"/>
          </w:tcPr>
          <w:p>
            <w:pPr>
              <w:jc w:val="center"/>
              <w:ind w:right="181"/>
              <w:spacing w:after="0"/>
              <w:rPr>
                <w:sz w:val="20"/>
                <w:szCs w:val="20"/>
                <w:color w:val="auto"/>
              </w:rPr>
            </w:pPr>
            <w:r>
              <w:rPr>
                <w:rFonts w:ascii="Arial" w:cs="Arial" w:eastAsia="Arial" w:hAnsi="Arial"/>
                <w:sz w:val="18"/>
                <w:szCs w:val="18"/>
                <w:b w:val="1"/>
                <w:bCs w:val="1"/>
                <w:color w:val="auto"/>
                <w:w w:val="90"/>
              </w:rPr>
              <w:t>Credit Loss</w:t>
            </w:r>
          </w:p>
        </w:tc>
        <w:tc>
          <w:tcPr>
            <w:tcW w:w="14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Principal (1)</w:t>
            </w:r>
          </w:p>
        </w:tc>
        <w:tc>
          <w:tcPr>
            <w:tcW w:w="140" w:type="dxa"/>
            <w:vAlign w:val="bottom"/>
          </w:tcPr>
          <w:p>
            <w:pPr>
              <w:spacing w:after="0"/>
              <w:rPr>
                <w:sz w:val="20"/>
                <w:szCs w:val="20"/>
                <w:color w:val="auto"/>
              </w:rPr>
            </w:pPr>
          </w:p>
        </w:tc>
        <w:tc>
          <w:tcPr>
            <w:tcW w:w="120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w w:val="96"/>
              </w:rPr>
              <w:t>Discount</w:t>
            </w:r>
          </w:p>
        </w:tc>
        <w:tc>
          <w:tcPr>
            <w:tcW w:w="140" w:type="dxa"/>
            <w:vAlign w:val="bottom"/>
          </w:tcPr>
          <w:p>
            <w:pPr>
              <w:spacing w:after="0"/>
              <w:rPr>
                <w:sz w:val="20"/>
                <w:szCs w:val="20"/>
                <w:color w:val="auto"/>
              </w:rPr>
            </w:pPr>
          </w:p>
        </w:tc>
        <w:tc>
          <w:tcPr>
            <w:tcW w:w="11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w w:val="99"/>
              </w:rPr>
              <w:t>Reserve</w:t>
            </w: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343,029,334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(3,755,796)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(3,940,939)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335,332,599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New fundings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68,677,238</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(1,254,590)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67,422,648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(62,837,108)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(62,837,108)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1,989,374</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1,989,374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loan (2)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(13,399,712)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(13,399,712)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PIK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6,343,749</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6,343,749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expected credit loss reserve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(1,171,256)</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(1,171,256)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September 30, 2023</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341,813,501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(3,021,012</w:t>
            </w:r>
          </w:p>
        </w:tc>
        <w:tc>
          <w:tcPr>
            <w:tcW w:w="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(5,112,195</w:t>
            </w:r>
          </w:p>
        </w:tc>
        <w:tc>
          <w:tcPr>
            <w:tcW w:w="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333,680,294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308"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difference between the Carrying Value and the Outstanding Principal amount of the loans consists of unaccreted original issue discount, deferred loan fees and other upfront fees. Outstanding principal balance includes capitalized paid-in-kind (“PIK”) interest, if applicable.</w:t>
      </w:r>
    </w:p>
    <w:p>
      <w:pPr>
        <w:spacing w:after="0" w:line="146" w:lineRule="exact"/>
        <w:rPr>
          <w:rFonts w:ascii="Arial" w:cs="Arial" w:eastAsia="Arial" w:hAnsi="Arial"/>
          <w:sz w:val="17"/>
          <w:szCs w:val="17"/>
          <w:color w:val="auto"/>
        </w:rPr>
      </w:pPr>
    </w:p>
    <w:p>
      <w:pPr>
        <w:ind w:left="340" w:right="6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One loan was reclassified as held for sale from loans held for investment as the decision was made to sell the loan during the nine months ended September 30, 2023 to a syndicate of co-lenders which includes a third party and two affiliates under common control with our Manager. The sale was executed on March 31, 2023 (Note 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Original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Issue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Credit Loss</w:t>
            </w:r>
          </w:p>
        </w:tc>
        <w:tc>
          <w:tcPr>
            <w:tcW w:w="14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Principal (1)</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Discount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Reserve</w:t>
            </w: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200,632,056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(3,647,490)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196,850,024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New fundings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143,624,312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(2,180,593)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141,443,719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(6,892,654)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(6,892,654)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2,139,972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2,139,972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(6,957,500)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(6,696,777)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PIK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4,096,721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4,096,721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expected credit loss reserve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(1,363,391)</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(1,363,391)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September 30, 2022</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334,502,935</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(3,427,388)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(1,497,933)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329,577,614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more detailed listing of the Company’s loans held at carrying value based on information available as of September 30, 2023,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Principal</w:t>
            </w:r>
          </w:p>
        </w:tc>
        <w:tc>
          <w:tcPr>
            <w:tcW w:w="82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8"/>
              </w:rPr>
              <w:t>Original</w:t>
            </w:r>
          </w:p>
        </w:tc>
        <w:tc>
          <w:tcPr>
            <w:tcW w:w="92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1"/>
              </w:rPr>
              <w:t>Percent of</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Future</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Periodic</w:t>
            </w:r>
          </w:p>
        </w:tc>
        <w:tc>
          <w:tcPr>
            <w:tcW w:w="64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YTM</w:t>
            </w:r>
          </w:p>
        </w:tc>
        <w:tc>
          <w:tcPr>
            <w:tcW w:w="0" w:type="dxa"/>
            <w:vAlign w:val="bottom"/>
          </w:tcPr>
          <w:p>
            <w:pPr>
              <w:spacing w:after="0"/>
              <w:rPr>
                <w:sz w:val="1"/>
                <w:szCs w:val="1"/>
                <w:color w:val="auto"/>
              </w:rPr>
            </w:pPr>
          </w:p>
        </w:tc>
      </w:tr>
      <w:tr>
        <w:trPr>
          <w:trHeight w:val="148"/>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Loan</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Funding</w:t>
            </w: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Issue</w:t>
            </w:r>
          </w:p>
        </w:tc>
        <w:tc>
          <w:tcPr>
            <w:tcW w:w="920" w:type="dxa"/>
            <w:vAlign w:val="bottom"/>
            <w:gridSpan w:val="2"/>
            <w:vMerge w:val="continue"/>
          </w:tcPr>
          <w:p>
            <w:pPr>
              <w:spacing w:after="0"/>
              <w:rPr>
                <w:sz w:val="12"/>
                <w:szCs w:val="12"/>
                <w:color w:val="auto"/>
              </w:rPr>
            </w:pPr>
          </w:p>
        </w:tc>
        <w:tc>
          <w:tcPr>
            <w:tcW w:w="78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9"/>
              </w:rPr>
              <w:t>Our Loan</w:t>
            </w:r>
          </w:p>
        </w:tc>
        <w:tc>
          <w:tcPr>
            <w:tcW w:w="82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Date (1)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Date (2)</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Commitment (3)</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Balance</w:t>
            </w:r>
          </w:p>
        </w:tc>
        <w:tc>
          <w:tcPr>
            <w:tcW w:w="82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(Discount)</w:t>
            </w:r>
          </w:p>
        </w:tc>
        <w:tc>
          <w:tcPr>
            <w:tcW w:w="92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78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3"/>
              </w:rPr>
              <w:t>Portfolio</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Fundings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Rate (4)</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Payment (5)</w:t>
            </w:r>
          </w:p>
        </w:tc>
        <w:tc>
          <w:tcPr>
            <w:tcW w:w="6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IRR (6)</w:t>
            </w:r>
          </w:p>
        </w:tc>
        <w:tc>
          <w:tcPr>
            <w:tcW w:w="0" w:type="dxa"/>
            <w:vAlign w:val="bottom"/>
          </w:tcPr>
          <w:p>
            <w:pPr>
              <w:spacing w:after="0"/>
              <w:rPr>
                <w:sz w:val="1"/>
                <w:szCs w:val="1"/>
                <w:color w:val="auto"/>
              </w:rPr>
            </w:pPr>
          </w:p>
        </w:tc>
      </w:tr>
      <w:tr>
        <w:trPr>
          <w:trHeight w:val="27"/>
        </w:trPr>
        <w:tc>
          <w:tcPr>
            <w:tcW w:w="520" w:type="dxa"/>
            <w:vAlign w:val="bottom"/>
            <w:tcBorders>
              <w:right w:val="single" w:sz="8" w:color="CCEEFF"/>
            </w:tcBorders>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right w:val="single" w:sz="8" w:color="CCEEFF"/>
            </w:tcBorders>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right w:val="single" w:sz="8" w:color="CCEEFF"/>
            </w:tcBorders>
            <w:vMerge w:val="restart"/>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Various</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10/27/2022</w:t>
            </w:r>
          </w:p>
        </w:tc>
        <w:tc>
          <w:tcPr>
            <w:tcW w:w="8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10/30/2026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00" w:type="dxa"/>
            <w:vAlign w:val="bottom"/>
            <w:vMerge w:val="continue"/>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30,000,000</w:t>
            </w:r>
          </w:p>
        </w:tc>
        <w:tc>
          <w:tcPr>
            <w:tcW w:w="12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(692,213)</w:t>
            </w:r>
          </w:p>
        </w:tc>
        <w:tc>
          <w:tcPr>
            <w:tcW w:w="100" w:type="dxa"/>
            <w:vAlign w:val="bottom"/>
            <w:tcBorders>
              <w:right w:val="single" w:sz="8" w:color="CCEEFF"/>
            </w:tcBorders>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29,307,787</w:t>
            </w:r>
          </w:p>
        </w:tc>
        <w:tc>
          <w:tcPr>
            <w:tcW w:w="100" w:type="dxa"/>
            <w:vAlign w:val="bottom"/>
            <w:tcBorders>
              <w:right w:val="single" w:sz="8" w:color="CCEEFF"/>
            </w:tcBorders>
            <w:vMerge w:val="continue"/>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vMerge w:val="continue"/>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P+6.5% Cash (10)</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I/O</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0"/>
        </w:trPr>
        <w:tc>
          <w:tcPr>
            <w:tcW w:w="520" w:type="dxa"/>
            <w:vAlign w:val="bottom"/>
          </w:tcPr>
          <w:p>
            <w:pPr>
              <w:spacing w:after="0" w:line="130" w:lineRule="exact"/>
              <w:rPr>
                <w:sz w:val="20"/>
                <w:szCs w:val="20"/>
                <w:color w:val="auto"/>
              </w:rPr>
            </w:pPr>
            <w:r>
              <w:rPr>
                <w:rFonts w:ascii="Arial" w:cs="Arial" w:eastAsia="Arial" w:hAnsi="Arial"/>
                <w:sz w:val="14"/>
                <w:szCs w:val="14"/>
                <w:b w:val="1"/>
                <w:bCs w:val="1"/>
                <w:color w:val="auto"/>
              </w:rPr>
              <w:t>2</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6"/>
              </w:rPr>
              <w:t>Michigan</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3"/>
              </w:rPr>
              <w:t>1/13/2022</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w w:val="94"/>
              </w:rPr>
              <w:t>12/31/2024</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92"/>
              </w:rPr>
              <w:t>P+6.65% Cash,</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35,891,668</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38,400,627</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(101,451)</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38,299,176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w w:val="96"/>
              </w:rPr>
              <w:t>3.25% PIK (16)</w:t>
            </w:r>
          </w:p>
        </w:tc>
        <w:tc>
          <w:tcPr>
            <w:tcW w:w="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2"/>
        </w:trPr>
        <w:tc>
          <w:tcPr>
            <w:tcW w:w="52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vertAlign w:val="subscript"/>
              </w:rPr>
              <w:t>3</w:t>
            </w:r>
            <w:r>
              <w:rPr>
                <w:rFonts w:ascii="Arial" w:cs="Arial" w:eastAsia="Arial" w:hAnsi="Arial"/>
                <w:sz w:val="9"/>
                <w:szCs w:val="9"/>
                <w:b w:val="1"/>
                <w:bCs w:val="1"/>
                <w:color w:val="auto"/>
              </w:rPr>
              <w:t>(17)</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Various</w:t>
            </w:r>
          </w:p>
        </w:tc>
        <w:tc>
          <w:tcPr>
            <w:tcW w:w="8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3/25/2021</w:t>
            </w:r>
          </w:p>
        </w:tc>
        <w:tc>
          <w:tcPr>
            <w:tcW w:w="84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11/29/2024</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20,105,628</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20,524,482</w:t>
            </w:r>
          </w:p>
        </w:tc>
        <w:tc>
          <w:tcPr>
            <w:tcW w:w="820" w:type="dxa"/>
            <w:vAlign w:val="bottom"/>
            <w:tcBorders>
              <w:right w:val="single" w:sz="8" w:color="CCEEFF"/>
            </w:tcBorders>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(307,143)</w:t>
            </w:r>
          </w:p>
        </w:tc>
        <w:tc>
          <w:tcPr>
            <w:tcW w:w="92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rPr>
              <w:t>20,217,339</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P+10.38% Cash,</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P&amp;I</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55"/>
        </w:trPr>
        <w:tc>
          <w:tcPr>
            <w:tcW w:w="520" w:type="dxa"/>
            <w:vAlign w:val="bottom"/>
            <w:tcBorders>
              <w:right w:val="single" w:sz="8" w:color="CCEEFF"/>
            </w:tcBorders>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920" w:type="dxa"/>
            <w:vAlign w:val="bottom"/>
            <w:tcBorders>
              <w:right w:val="single" w:sz="8" w:color="CCEEFF"/>
            </w:tcBorders>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0" w:type="dxa"/>
            <w:vAlign w:val="bottom"/>
            <w:tcBorders>
              <w:right w:val="single" w:sz="8" w:color="CCEEFF"/>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6"/>
              </w:rPr>
              <w:t>2.75% PIK (7)</w:t>
            </w:r>
          </w:p>
        </w:tc>
        <w:tc>
          <w:tcPr>
            <w:tcW w:w="92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520" w:type="dxa"/>
            <w:vAlign w:val="bottom"/>
          </w:tcPr>
          <w:p>
            <w:pPr>
              <w:spacing w:after="0" w:line="130" w:lineRule="exact"/>
              <w:rPr>
                <w:sz w:val="20"/>
                <w:szCs w:val="20"/>
                <w:color w:val="auto"/>
              </w:rPr>
            </w:pPr>
            <w:r>
              <w:rPr>
                <w:rFonts w:ascii="Arial" w:cs="Arial" w:eastAsia="Arial" w:hAnsi="Arial"/>
                <w:sz w:val="14"/>
                <w:szCs w:val="14"/>
                <w:b w:val="1"/>
                <w:bCs w:val="1"/>
                <w:color w:val="auto"/>
              </w:rPr>
              <w:t>4</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6"/>
              </w:rPr>
              <w:t>Arizona</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3"/>
              </w:rPr>
              <w:t>4/19/2021</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w w:val="94"/>
              </w:rPr>
              <w:t>12/31/2023</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90"/>
              </w:rPr>
              <w:t>P+11.75% Cash</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I/O</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14,120,000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14,722,749</w:t>
            </w: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14,722,749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color w:val="auto"/>
              </w:rPr>
              <w:t>(14)</w:t>
            </w:r>
          </w:p>
        </w:tc>
        <w:tc>
          <w:tcPr>
            <w:tcW w:w="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8"/>
        </w:trPr>
        <w:tc>
          <w:tcPr>
            <w:tcW w:w="5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5</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Massachusetts</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4/19/2021</w:t>
            </w:r>
          </w:p>
        </w:tc>
        <w:tc>
          <w:tcPr>
            <w:tcW w:w="8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4/30/2025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3,197,120</w:t>
            </w:r>
          </w:p>
        </w:tc>
        <w:tc>
          <w:tcPr>
            <w:tcW w:w="82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3,197,120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204,000</w:t>
            </w:r>
          </w:p>
        </w:tc>
        <w:tc>
          <w:tcPr>
            <w:tcW w:w="12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P+12.25% Cash (7)</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Michigan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8/20/2021</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2/20/2024</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6,000,000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4,264,421</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(1,499)</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4,262,922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1,500,000</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2"/>
              </w:rPr>
              <w:t>P+9% Cash (7)</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30"/>
        </w:trPr>
        <w:tc>
          <w:tcPr>
            <w:tcW w:w="5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7</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Illinois,</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8/24/2021</w:t>
            </w:r>
          </w:p>
        </w:tc>
        <w:tc>
          <w:tcPr>
            <w:tcW w:w="8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6/30/2025</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P+6% Cash, 2%</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P&amp;I</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Arizona</w:t>
            </w:r>
          </w:p>
        </w:tc>
        <w:tc>
          <w:tcPr>
            <w:tcW w:w="82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25,000,000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20,913,172</w:t>
            </w:r>
          </w:p>
        </w:tc>
        <w:tc>
          <w:tcPr>
            <w:tcW w:w="820" w:type="dxa"/>
            <w:vAlign w:val="bottom"/>
            <w:tcBorders>
              <w:righ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(150,172)</w:t>
            </w:r>
          </w:p>
        </w:tc>
        <w:tc>
          <w:tcPr>
            <w:tcW w:w="9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20,763,000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PIK (11)</w:t>
            </w:r>
          </w:p>
        </w:tc>
        <w:tc>
          <w:tcPr>
            <w:tcW w:w="9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30"/>
        </w:trPr>
        <w:tc>
          <w:tcPr>
            <w:tcW w:w="520" w:type="dxa"/>
            <w:vAlign w:val="bottom"/>
          </w:tcPr>
          <w:p>
            <w:pPr>
              <w:spacing w:after="0" w:line="130" w:lineRule="exact"/>
              <w:rPr>
                <w:sz w:val="20"/>
                <w:szCs w:val="20"/>
                <w:color w:val="auto"/>
              </w:rPr>
            </w:pPr>
            <w:r>
              <w:rPr>
                <w:rFonts w:ascii="Arial" w:cs="Arial" w:eastAsia="Arial" w:hAnsi="Arial"/>
                <w:sz w:val="14"/>
                <w:szCs w:val="14"/>
                <w:b w:val="1"/>
                <w:bCs w:val="1"/>
                <w:color w:val="auto"/>
              </w:rPr>
              <w:t>8</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4"/>
              </w:rPr>
              <w:t>West Virginia</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5"/>
              </w:rPr>
              <w:t>9/1/2021</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w w:val="91"/>
              </w:rPr>
              <w:t>9/1/2024</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91"/>
              </w:rPr>
              <w:t>P+9.25% Cash, 2%</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9,500,000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11,086,045</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(58,421)</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11,027,624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w w:val="97"/>
              </w:rPr>
              <w:t>PIK (15)</w:t>
            </w:r>
          </w:p>
        </w:tc>
        <w:tc>
          <w:tcPr>
            <w:tcW w:w="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2"/>
        </w:trPr>
        <w:tc>
          <w:tcPr>
            <w:tcW w:w="52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vertAlign w:val="subscript"/>
              </w:rPr>
              <w:t>9</w:t>
            </w:r>
            <w:r>
              <w:rPr>
                <w:rFonts w:ascii="Arial" w:cs="Arial" w:eastAsia="Arial" w:hAnsi="Arial"/>
                <w:sz w:val="9"/>
                <w:szCs w:val="9"/>
                <w:b w:val="1"/>
                <w:bCs w:val="1"/>
                <w:color w:val="auto"/>
              </w:rPr>
              <w:t>(18)</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Pennsylvania</w:t>
            </w:r>
          </w:p>
        </w:tc>
        <w:tc>
          <w:tcPr>
            <w:tcW w:w="8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9/3/2021</w:t>
            </w:r>
          </w:p>
        </w:tc>
        <w:tc>
          <w:tcPr>
            <w:tcW w:w="84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6/30/2024</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15,000,000</w:t>
            </w: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16,278,729</w:t>
            </w:r>
          </w:p>
        </w:tc>
        <w:tc>
          <w:tcPr>
            <w:tcW w:w="82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rPr>
              <w:t>16,278,729</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P+10.75% Cash,</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P&amp;I</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55"/>
        </w:trPr>
        <w:tc>
          <w:tcPr>
            <w:tcW w:w="520" w:type="dxa"/>
            <w:vAlign w:val="bottom"/>
            <w:tcBorders>
              <w:right w:val="single" w:sz="8" w:color="CCEEFF"/>
            </w:tcBorders>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820" w:type="dxa"/>
            <w:vAlign w:val="bottom"/>
            <w:tcBorders>
              <w:right w:val="single" w:sz="8" w:color="CCEEFF"/>
            </w:tcBorders>
            <w:gridSpan w:val="2"/>
            <w:vMerge w:val="continue"/>
            <w:shd w:val="clear" w:color="auto" w:fill="CCEEFF"/>
          </w:tcPr>
          <w:p>
            <w:pPr>
              <w:spacing w:after="0"/>
              <w:rPr>
                <w:sz w:val="13"/>
                <w:szCs w:val="13"/>
                <w:color w:val="auto"/>
              </w:rPr>
            </w:pPr>
          </w:p>
        </w:tc>
        <w:tc>
          <w:tcPr>
            <w:tcW w:w="920" w:type="dxa"/>
            <w:vAlign w:val="bottom"/>
            <w:tcBorders>
              <w:right w:val="single" w:sz="8" w:color="CCEEFF"/>
            </w:tcBorders>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0" w:type="dxa"/>
            <w:vAlign w:val="bottom"/>
            <w:tcBorders>
              <w:right w:val="single" w:sz="8" w:color="CCEEFF"/>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7"/>
              </w:rPr>
              <w:t>3% PIK (7)</w:t>
            </w:r>
          </w:p>
        </w:tc>
        <w:tc>
          <w:tcPr>
            <w:tcW w:w="92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10</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Michigan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9/30/2021</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9/30/2024</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470,411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169,871</w:t>
            </w: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169,871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11% Cash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30"/>
        </w:trPr>
        <w:tc>
          <w:tcPr>
            <w:tcW w:w="5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11</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Maryland</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9/30/2021</w:t>
            </w:r>
          </w:p>
        </w:tc>
        <w:tc>
          <w:tcPr>
            <w:tcW w:w="8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9/30/2024</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P+8.75% Cash, 2%</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I/O</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32,000,000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33,142,423</w:t>
            </w:r>
          </w:p>
        </w:tc>
        <w:tc>
          <w:tcPr>
            <w:tcW w:w="820" w:type="dxa"/>
            <w:vAlign w:val="bottom"/>
            <w:tcBorders>
              <w:righ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(357,973)</w:t>
            </w:r>
          </w:p>
        </w:tc>
        <w:tc>
          <w:tcPr>
            <w:tcW w:w="9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32,784,450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PIK (7)</w:t>
            </w:r>
          </w:p>
        </w:tc>
        <w:tc>
          <w:tcPr>
            <w:tcW w:w="9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8"/>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12</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Various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11/8/2021</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10/31/2024</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13,574,667</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8,710,222</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(68,215)</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8,642,007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P+9% Cash (12)</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30"/>
        </w:trPr>
        <w:tc>
          <w:tcPr>
            <w:tcW w:w="5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13</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Michigan</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11/22/2021</w:t>
            </w:r>
          </w:p>
        </w:tc>
        <w:tc>
          <w:tcPr>
            <w:tcW w:w="8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11/1/2024</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P+6% Cash, 1.5%</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I/O</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13,100,000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13,004,225</w:t>
            </w:r>
          </w:p>
        </w:tc>
        <w:tc>
          <w:tcPr>
            <w:tcW w:w="820" w:type="dxa"/>
            <w:vAlign w:val="bottom"/>
            <w:tcBorders>
              <w:righ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(74,165)</w:t>
            </w:r>
          </w:p>
        </w:tc>
        <w:tc>
          <w:tcPr>
            <w:tcW w:w="9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12,930,060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PIK (11)</w:t>
            </w:r>
          </w:p>
        </w:tc>
        <w:tc>
          <w:tcPr>
            <w:tcW w:w="9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30"/>
        </w:trPr>
        <w:tc>
          <w:tcPr>
            <w:tcW w:w="520" w:type="dxa"/>
            <w:vAlign w:val="bottom"/>
          </w:tcPr>
          <w:p>
            <w:pPr>
              <w:spacing w:after="0" w:line="130" w:lineRule="exact"/>
              <w:rPr>
                <w:sz w:val="20"/>
                <w:szCs w:val="20"/>
                <w:color w:val="auto"/>
              </w:rPr>
            </w:pPr>
            <w:r>
              <w:rPr>
                <w:rFonts w:ascii="Arial" w:cs="Arial" w:eastAsia="Arial" w:hAnsi="Arial"/>
                <w:sz w:val="14"/>
                <w:szCs w:val="14"/>
                <w:b w:val="1"/>
                <w:bCs w:val="1"/>
                <w:color w:val="auto"/>
              </w:rPr>
              <w:t>14</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2"/>
              </w:rPr>
              <w:t>Various</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4"/>
              </w:rPr>
              <w:t>12/27/2021</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w w:val="94"/>
              </w:rPr>
              <w:t>12/27/2026</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90"/>
              </w:rPr>
              <w:t>P+12.25% Cash,</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5,000,000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5,125,000</w:t>
            </w: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5,125,000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2.5% PIK (8)</w:t>
            </w:r>
          </w:p>
        </w:tc>
        <w:tc>
          <w:tcPr>
            <w:tcW w:w="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8"/>
        </w:trPr>
        <w:tc>
          <w:tcPr>
            <w:tcW w:w="5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16</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Florida</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12/30/2021</w:t>
            </w:r>
          </w:p>
        </w:tc>
        <w:tc>
          <w:tcPr>
            <w:tcW w:w="8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12/31/2024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13,000,000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4,887,500</w:t>
            </w:r>
          </w:p>
        </w:tc>
        <w:tc>
          <w:tcPr>
            <w:tcW w:w="820" w:type="dxa"/>
            <w:vAlign w:val="bottom"/>
            <w:tcBorders>
              <w:right w:val="single" w:sz="8" w:color="CCEEFF"/>
            </w:tcBorders>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(23,849)</w:t>
            </w:r>
          </w:p>
        </w:tc>
        <w:tc>
          <w:tcPr>
            <w:tcW w:w="92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4,863,651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5,500,000</w:t>
            </w:r>
          </w:p>
        </w:tc>
        <w:tc>
          <w:tcPr>
            <w:tcW w:w="12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P+9.25% Cash (7)</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I/O</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8"/>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17</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Florida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1/18/2022</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1/31/2025</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(168,338)</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14,831,662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2"/>
              </w:rPr>
              <w:t>P+4.75% Cash (10)</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30"/>
        </w:trPr>
        <w:tc>
          <w:tcPr>
            <w:tcW w:w="5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18</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Ohio</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2/3/2022</w:t>
            </w:r>
          </w:p>
        </w:tc>
        <w:tc>
          <w:tcPr>
            <w:tcW w:w="8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2/28/2025</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P+1.75% Cash, 5%</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P&amp;I</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11,662,050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13,000,915</w:t>
            </w:r>
          </w:p>
        </w:tc>
        <w:tc>
          <w:tcPr>
            <w:tcW w:w="820" w:type="dxa"/>
            <w:vAlign w:val="bottom"/>
            <w:tcBorders>
              <w:righ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(112,166)</w:t>
            </w:r>
          </w:p>
        </w:tc>
        <w:tc>
          <w:tcPr>
            <w:tcW w:w="9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12,888,749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PIK(11)</w:t>
            </w:r>
          </w:p>
        </w:tc>
        <w:tc>
          <w:tcPr>
            <w:tcW w:w="9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8"/>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19</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Florida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3/11/2022</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8/29/2025</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20,000,000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20,537,025</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(55,525)</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20,481,500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202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  11% Cash, 3% PIK</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8"/>
        </w:trPr>
        <w:tc>
          <w:tcPr>
            <w:tcW w:w="5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Missouri</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5/9/2022</w:t>
            </w:r>
          </w:p>
        </w:tc>
        <w:tc>
          <w:tcPr>
            <w:tcW w:w="8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5/30/2025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17,000,000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17,602,435</w:t>
            </w:r>
          </w:p>
        </w:tc>
        <w:tc>
          <w:tcPr>
            <w:tcW w:w="820" w:type="dxa"/>
            <w:vAlign w:val="bottom"/>
            <w:tcBorders>
              <w:right w:val="single" w:sz="8" w:color="CCEEFF"/>
            </w:tcBorders>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(92,534)</w:t>
            </w:r>
          </w:p>
        </w:tc>
        <w:tc>
          <w:tcPr>
            <w:tcW w:w="92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17,509,901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2020" w:type="dxa"/>
            <w:vAlign w:val="bottom"/>
            <w:tcBorders>
              <w:right w:val="single" w:sz="8" w:color="CCEEFF"/>
            </w:tcBorders>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  11% Cash, 2% PIK</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30"/>
        </w:trPr>
        <w:tc>
          <w:tcPr>
            <w:tcW w:w="520" w:type="dxa"/>
            <w:vAlign w:val="bottom"/>
          </w:tcPr>
          <w:p>
            <w:pPr>
              <w:spacing w:after="0" w:line="130" w:lineRule="exact"/>
              <w:rPr>
                <w:sz w:val="20"/>
                <w:szCs w:val="20"/>
                <w:color w:val="auto"/>
              </w:rPr>
            </w:pPr>
            <w:r>
              <w:rPr>
                <w:rFonts w:ascii="Arial" w:cs="Arial" w:eastAsia="Arial" w:hAnsi="Arial"/>
                <w:sz w:val="14"/>
                <w:szCs w:val="14"/>
                <w:b w:val="1"/>
                <w:bCs w:val="1"/>
                <w:color w:val="auto"/>
              </w:rPr>
              <w:t>21</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Illinois</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5"/>
              </w:rPr>
              <w:t>7/1/2022</w:t>
            </w:r>
          </w:p>
        </w:tc>
        <w:tc>
          <w:tcPr>
            <w:tcW w:w="840" w:type="dxa"/>
            <w:vAlign w:val="bottom"/>
          </w:tcPr>
          <w:p>
            <w:pPr>
              <w:jc w:val="center"/>
              <w:spacing w:after="0" w:line="130" w:lineRule="exact"/>
              <w:rPr>
                <w:sz w:val="20"/>
                <w:szCs w:val="20"/>
                <w:color w:val="auto"/>
              </w:rPr>
            </w:pPr>
            <w:r>
              <w:rPr>
                <w:rFonts w:ascii="Arial" w:cs="Arial" w:eastAsia="Arial" w:hAnsi="Arial"/>
                <w:sz w:val="14"/>
                <w:szCs w:val="14"/>
                <w:color w:val="auto"/>
                <w:w w:val="93"/>
              </w:rPr>
              <w:t>7/29/2026</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92"/>
              </w:rPr>
              <w:t>P+8.5% Cash, 3%</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9,000,000</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5,192,975</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(62,438)</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5,130,537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1200" w:type="dxa"/>
            <w:vAlign w:val="bottom"/>
          </w:tcPr>
          <w:p>
            <w:pPr>
              <w:jc w:val="center"/>
              <w:spacing w:after="0"/>
              <w:rPr>
                <w:sz w:val="20"/>
                <w:szCs w:val="20"/>
                <w:color w:val="auto"/>
              </w:rPr>
            </w:pPr>
            <w:r>
              <w:rPr>
                <w:rFonts w:ascii="Arial" w:cs="Arial" w:eastAsia="Arial" w:hAnsi="Arial"/>
                <w:sz w:val="14"/>
                <w:szCs w:val="14"/>
                <w:color w:val="auto"/>
                <w:w w:val="97"/>
              </w:rPr>
              <w:t>PIK</w:t>
            </w:r>
          </w:p>
        </w:tc>
        <w:tc>
          <w:tcPr>
            <w:tcW w:w="9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30"/>
        </w:trPr>
        <w:tc>
          <w:tcPr>
            <w:tcW w:w="52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22</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Maryland</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1/24/2023</w:t>
            </w:r>
          </w:p>
        </w:tc>
        <w:tc>
          <w:tcPr>
            <w:tcW w:w="8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1/24/2026</w:t>
            </w: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P+5.75% Cash,</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P&amp;I</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11,250,000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10,795,144</w:t>
            </w:r>
          </w:p>
        </w:tc>
        <w:tc>
          <w:tcPr>
            <w:tcW w:w="820" w:type="dxa"/>
            <w:vAlign w:val="bottom"/>
            <w:tcBorders>
              <w:righ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(521,647)</w:t>
            </w:r>
          </w:p>
        </w:tc>
        <w:tc>
          <w:tcPr>
            <w:tcW w:w="9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10,273,497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1.4% PIK (10)</w:t>
            </w:r>
          </w:p>
        </w:tc>
        <w:tc>
          <w:tcPr>
            <w:tcW w:w="9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8"/>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23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Arizona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3/27/2023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3/31/2026</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1,920,000</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(41,500)</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1,878,500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2"/>
              </w:rPr>
              <w:t>P+7.5% Cash (13)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5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24</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Oregon</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3/31/2023</w:t>
            </w:r>
          </w:p>
        </w:tc>
        <w:tc>
          <w:tcPr>
            <w:tcW w:w="8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9/27/2026</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900,000</w:t>
            </w:r>
          </w:p>
        </w:tc>
        <w:tc>
          <w:tcPr>
            <w:tcW w:w="82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900,000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P+10.5% Cash (9)</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8"/>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25</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5"/>
              </w:rPr>
              <w:t>New York</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8/1/2023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6/29/2036</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18,746,662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18,417,846</w:t>
            </w: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18,417,846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15% Cash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8"/>
        </w:trPr>
        <w:tc>
          <w:tcPr>
            <w:tcW w:w="5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26</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Connecticut</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8/31/2023</w:t>
            </w:r>
          </w:p>
        </w:tc>
        <w:tc>
          <w:tcPr>
            <w:tcW w:w="8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2/27/2026</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5,450,000</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5,450,000</w:t>
            </w:r>
          </w:p>
        </w:tc>
        <w:tc>
          <w:tcPr>
            <w:tcW w:w="820" w:type="dxa"/>
            <w:vAlign w:val="bottom"/>
            <w:tcBorders>
              <w:right w:val="single" w:sz="8" w:color="CCEEFF"/>
            </w:tcBorders>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(131,763)</w:t>
            </w:r>
          </w:p>
        </w:tc>
        <w:tc>
          <w:tcPr>
            <w:tcW w:w="920" w:type="dxa"/>
            <w:vAlign w:val="bottom"/>
            <w:tcBorders>
              <w:right w:val="single" w:sz="8" w:color="CCEEFF"/>
            </w:tcBorders>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5,318,237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14% Cash</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b w:val="1"/>
                <w:bCs w:val="1"/>
                <w:color w:val="auto"/>
              </w:rPr>
              <w:t>27</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0"/>
              </w:rPr>
              <w:t>Nebraska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8/15/2023</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6/30/2027</w:t>
            </w: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6,103,870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6,103,870</w:t>
            </w: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6,103,870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P+8.75% Cash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2"/>
        </w:trPr>
        <w:tc>
          <w:tcPr>
            <w:tcW w:w="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28</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Ohio</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9/13/2023</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3/13/2025</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2,466,705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2,466,705</w:t>
            </w:r>
          </w:p>
        </w:tc>
        <w:tc>
          <w:tcPr>
            <w:tcW w:w="8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2,466,705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 Cash</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P&amp;I</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3"/>
        </w:trPr>
        <w:tc>
          <w:tcPr>
            <w:tcW w:w="2260" w:type="dxa"/>
            <w:vAlign w:val="bottom"/>
            <w:tcBorders>
              <w:top w:val="single" w:sz="8" w:color="CCEEFF"/>
              <w:bottom w:val="single" w:sz="8" w:color="CCEEFF"/>
            </w:tcBorders>
            <w:gridSpan w:val="3"/>
          </w:tcPr>
          <w:p>
            <w:pPr>
              <w:spacing w:after="0" w:line="135" w:lineRule="exact"/>
              <w:rPr>
                <w:sz w:val="20"/>
                <w:szCs w:val="20"/>
                <w:color w:val="auto"/>
              </w:rPr>
            </w:pPr>
            <w:r>
              <w:rPr>
                <w:rFonts w:ascii="Arial" w:cs="Arial" w:eastAsia="Arial" w:hAnsi="Arial"/>
                <w:sz w:val="14"/>
                <w:szCs w:val="14"/>
                <w:b w:val="1"/>
                <w:bCs w:val="1"/>
                <w:color w:val="auto"/>
              </w:rPr>
              <w:t>Current expected credit losses</w:t>
            </w:r>
          </w:p>
        </w:tc>
        <w:tc>
          <w:tcPr>
            <w:tcW w:w="84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(5,112,195</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200" w:type="dxa"/>
            <w:vAlign w:val="bottom"/>
            <w:tcBorders>
              <w:top w:val="single" w:sz="8" w:color="CCEEFF"/>
              <w:bottom w:val="single" w:sz="8" w:color="CCEEFF"/>
            </w:tcBorders>
          </w:tcPr>
          <w:p>
            <w:pPr>
              <w:spacing w:after="0"/>
              <w:rPr>
                <w:sz w:val="12"/>
                <w:szCs w:val="12"/>
                <w:color w:val="auto"/>
              </w:rPr>
            </w:pPr>
          </w:p>
        </w:tc>
        <w:tc>
          <w:tcPr>
            <w:tcW w:w="920" w:type="dxa"/>
            <w:vAlign w:val="bottom"/>
            <w:tcBorders>
              <w:top w:val="single" w:sz="8" w:color="CCEEFF"/>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2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Total loans held at carrying value</w:t>
            </w:r>
          </w:p>
        </w:tc>
        <w:tc>
          <w:tcPr>
            <w:tcW w:w="84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355,941,661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341,813,501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(3,021,012</w:t>
            </w:r>
          </w:p>
        </w:tc>
        <w:tc>
          <w:tcPr>
            <w:tcW w:w="10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920" w:type="dxa"/>
            <w:vAlign w:val="bottom"/>
            <w:tcBorders>
              <w:right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333,680,294</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6"/>
              </w:rPr>
              <w:t>11,204,000</w:t>
            </w:r>
          </w:p>
        </w:tc>
        <w:tc>
          <w:tcPr>
            <w:tcW w:w="120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Wtd Average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loans originated prior to April 1, 2021 were purchased from affiliated entities at fair value plus accrued interest on or subsequent to April 1, 2021.</w:t>
      </w:r>
    </w:p>
    <w:p>
      <w:pPr>
        <w:spacing w:after="0" w:line="248" w:lineRule="exact"/>
        <w:rPr>
          <w:rFonts w:ascii="Arial" w:cs="Arial" w:eastAsia="Arial" w:hAnsi="Arial"/>
          <w:sz w:val="16"/>
          <w:szCs w:val="16"/>
          <w:color w:val="auto"/>
        </w:rPr>
      </w:pPr>
    </w:p>
    <w:p>
      <w:pPr>
        <w:ind w:left="460" w:right="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loans are subject to contractual extension options and may be subject to performance based on other conditions as stipulated in the loan agreement. Actual maturities may differ from contractual maturities stated herein as certain borrowers may have the right to prepay with or without a contractual prepayment penalty. The Company may also extend contractual maturities and amend other terms of the loans in connection with loan modifications.</w:t>
      </w:r>
    </w:p>
    <w:p>
      <w:pPr>
        <w:spacing w:after="0" w:line="186"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Commitment excludes future amounts to be advanced at sole discretion of the lender and reflects receipt of scheduled amortization payments as of September 30, 2023.</w:t>
      </w:r>
    </w:p>
    <w:p>
      <w:pPr>
        <w:spacing w:after="0" w:line="170" w:lineRule="exact"/>
        <w:rPr>
          <w:rFonts w:ascii="Arial" w:cs="Arial" w:eastAsia="Arial" w:hAnsi="Arial"/>
          <w:sz w:val="18"/>
          <w:szCs w:val="18"/>
          <w:color w:val="auto"/>
        </w:rPr>
      </w:pPr>
    </w:p>
    <w:p>
      <w:pPr>
        <w:ind w:left="460" w:right="22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 = prime rate and depicts floating rate loans that pay interest at the prime rate plus a specific percentage; “PIK” = paid-in-kind interest; subtotal represents weighted average interest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2" w:name="page13"/>
    <w:bookmarkEnd w:id="12"/>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P&amp;I = principal and interest. I/O = interest only. P&amp;I loans may include interest only periods for a portion of the loan term.</w:t>
      </w:r>
    </w:p>
    <w:p>
      <w:pPr>
        <w:spacing w:after="0" w:line="225" w:lineRule="exact"/>
        <w:rPr>
          <w:rFonts w:ascii="Arial" w:cs="Arial" w:eastAsia="Arial" w:hAnsi="Arial"/>
          <w:sz w:val="18"/>
          <w:szCs w:val="18"/>
          <w:color w:val="auto"/>
        </w:rPr>
      </w:pPr>
    </w:p>
    <w:p>
      <w:pPr>
        <w:ind w:left="452" w:hanging="452"/>
        <w:spacing w:after="0" w:line="253"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196"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3.25%</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4.75%</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5.50%</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6.25%</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7.00%</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7.50%</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8.00%</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8.25%</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floor of 4.00%</w:t>
      </w:r>
    </w:p>
    <w:p>
      <w:pPr>
        <w:spacing w:after="0" w:line="225"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Loan is subject to a prime rate cap of 5.85%</w:t>
      </w:r>
    </w:p>
    <w:p>
      <w:pPr>
        <w:spacing w:after="0" w:line="225" w:lineRule="exact"/>
        <w:rPr>
          <w:rFonts w:ascii="Arial" w:cs="Arial" w:eastAsia="Arial" w:hAnsi="Arial"/>
          <w:sz w:val="18"/>
          <w:szCs w:val="18"/>
          <w:color w:val="auto"/>
        </w:rPr>
      </w:pPr>
    </w:p>
    <w:p>
      <w:pPr>
        <w:ind w:left="452" w:right="40" w:hanging="452"/>
        <w:spacing w:after="0" w:line="263"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183" w:lineRule="exact"/>
        <w:rPr>
          <w:rFonts w:ascii="Arial" w:cs="Arial" w:eastAsia="Arial" w:hAnsi="Arial"/>
          <w:sz w:val="18"/>
          <w:szCs w:val="18"/>
          <w:color w:val="auto"/>
        </w:rPr>
      </w:pPr>
    </w:p>
    <w:p>
      <w:pPr>
        <w:ind w:left="452" w:right="120" w:hanging="452"/>
        <w:spacing w:after="0" w:line="277"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May 1, 2023, Loan #9 was placed on non-accrual status and continues to be on non-accrual as of September 30, 2023. Loan #9 is included on the consolidated balance sheet as a loan held for investment – related party (Note 7).</w:t>
      </w:r>
    </w:p>
    <w:p>
      <w:pPr>
        <w:spacing w:after="0" w:line="38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881" w:right="379" w:bottom="1440" w:gutter="0" w:footer="0" w:header="0"/>
        </w:sectPr>
      </w:pPr>
    </w:p>
    <w:bookmarkStart w:id="13" w:name="page14"/>
    <w:bookmarkEnd w:id="13"/>
    <w:p>
      <w:pPr>
        <w:ind w:right="140"/>
        <w:spacing w:after="0" w:line="308" w:lineRule="auto"/>
        <w:rPr>
          <w:sz w:val="20"/>
          <w:szCs w:val="20"/>
          <w:color w:val="auto"/>
        </w:rPr>
      </w:pPr>
      <w:r>
        <w:rPr>
          <w:rFonts w:ascii="Arial" w:cs="Arial" w:eastAsia="Arial" w:hAnsi="Arial"/>
          <w:sz w:val="17"/>
          <w:szCs w:val="17"/>
          <w:color w:val="auto"/>
        </w:rPr>
        <w:t>The following table presents aging analyses of past due loans by amortized cost, excluding the CECL reserve, as of September 30, 2023. As of September 30, 2023 and December 31, 2022, there were one and zero loans with principal greater than 90 days past due,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9"/>
          </w:tcPr>
          <w:p>
            <w:pPr>
              <w:ind w:left="620"/>
              <w:spacing w:after="0"/>
              <w:rPr>
                <w:sz w:val="20"/>
                <w:szCs w:val="20"/>
                <w:color w:val="auto"/>
              </w:rPr>
            </w:pPr>
            <w:r>
              <w:rPr>
                <w:rFonts w:ascii="Arial" w:cs="Arial" w:eastAsia="Arial" w:hAnsi="Arial"/>
                <w:sz w:val="18"/>
                <w:szCs w:val="18"/>
                <w:b w:val="1"/>
                <w:bCs w:val="1"/>
                <w:color w:val="auto"/>
              </w:rPr>
              <w:t>As of September 30, 2023</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5"/>
              </w:rPr>
              <w:t>Current</w:t>
            </w:r>
          </w:p>
        </w:tc>
        <w:tc>
          <w:tcPr>
            <w:tcW w:w="900" w:type="dxa"/>
            <w:vAlign w:val="bottom"/>
            <w:gridSpan w:val="2"/>
          </w:tcPr>
          <w:p>
            <w:pPr>
              <w:jc w:val="center"/>
              <w:ind w:left="70"/>
              <w:spacing w:after="0" w:line="198" w:lineRule="exact"/>
              <w:rPr>
                <w:sz w:val="20"/>
                <w:szCs w:val="20"/>
                <w:color w:val="auto"/>
              </w:rPr>
            </w:pPr>
            <w:r>
              <w:rPr>
                <w:rFonts w:ascii="Arial" w:cs="Arial" w:eastAsia="Arial" w:hAnsi="Arial"/>
                <w:sz w:val="18"/>
                <w:szCs w:val="18"/>
                <w:b w:val="1"/>
                <w:bCs w:val="1"/>
                <w:color w:val="auto"/>
                <w:w w:val="91"/>
              </w:rPr>
              <w:t>31-60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61-90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9"/>
              </w:rPr>
              <w:t>90+ Days</w:t>
            </w:r>
          </w:p>
        </w:tc>
        <w:tc>
          <w:tcPr>
            <w:tcW w:w="120" w:type="dxa"/>
            <w:vAlign w:val="bottom"/>
          </w:tcPr>
          <w:p>
            <w:pPr>
              <w:spacing w:after="0"/>
              <w:rPr>
                <w:sz w:val="17"/>
                <w:szCs w:val="17"/>
                <w:color w:val="auto"/>
              </w:rPr>
            </w:pPr>
          </w:p>
        </w:tc>
        <w:tc>
          <w:tcPr>
            <w:tcW w:w="102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Days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Days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89"/>
              </w:rPr>
              <w:t>Past</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180"/>
              <w:spacing w:after="0" w:line="181"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7"/>
        </w:trPr>
        <w:tc>
          <w:tcPr>
            <w:tcW w:w="3300" w:type="dxa"/>
            <w:vAlign w:val="bottom"/>
          </w:tcPr>
          <w:p>
            <w:pPr>
              <w:spacing w:after="0"/>
              <w:rPr>
                <w:sz w:val="24"/>
                <w:szCs w:val="24"/>
                <w:color w:val="auto"/>
              </w:rPr>
            </w:pPr>
          </w:p>
        </w:tc>
        <w:tc>
          <w:tcPr>
            <w:tcW w:w="1120" w:type="dxa"/>
            <w:vAlign w:val="bottom"/>
            <w:gridSpan w:val="2"/>
          </w:tcPr>
          <w:p>
            <w:pPr>
              <w:jc w:val="center"/>
              <w:ind w:right="100"/>
              <w:spacing w:after="0" w:line="270" w:lineRule="exact"/>
              <w:rPr>
                <w:sz w:val="20"/>
                <w:szCs w:val="20"/>
                <w:color w:val="auto"/>
              </w:rPr>
            </w:pPr>
            <w:r>
              <w:rPr>
                <w:rFonts w:ascii="Arial" w:cs="Arial" w:eastAsia="Arial" w:hAnsi="Arial"/>
                <w:sz w:val="18"/>
                <w:szCs w:val="18"/>
                <w:b w:val="1"/>
                <w:bCs w:val="1"/>
                <w:color w:val="auto"/>
                <w:w w:val="86"/>
              </w:rPr>
              <w:t>Loans</w:t>
            </w:r>
            <w:r>
              <w:rPr>
                <w:rFonts w:ascii="Arial" w:cs="Arial" w:eastAsia="Arial" w:hAnsi="Arial"/>
                <w:sz w:val="29"/>
                <w:szCs w:val="29"/>
                <w:b w:val="1"/>
                <w:bCs w:val="1"/>
                <w:color w:val="auto"/>
                <w:w w:val="86"/>
                <w:vertAlign w:val="superscript"/>
              </w:rPr>
              <w:t>(1)</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0"/>
              </w:rPr>
              <w:t>Past Due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Past Due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20"/>
              <w:spacing w:after="0" w:line="270" w:lineRule="exact"/>
              <w:rPr>
                <w:sz w:val="20"/>
                <w:szCs w:val="20"/>
                <w:color w:val="auto"/>
              </w:rPr>
            </w:pPr>
            <w:r>
              <w:rPr>
                <w:rFonts w:ascii="Arial" w:cs="Arial" w:eastAsia="Arial" w:hAnsi="Arial"/>
                <w:sz w:val="18"/>
                <w:szCs w:val="18"/>
                <w:b w:val="1"/>
                <w:bCs w:val="1"/>
                <w:color w:val="auto"/>
                <w:w w:val="85"/>
              </w:rPr>
              <w:t>Past Due</w:t>
            </w:r>
            <w:r>
              <w:rPr>
                <w:rFonts w:ascii="Arial" w:cs="Arial" w:eastAsia="Arial" w:hAnsi="Arial"/>
                <w:sz w:val="29"/>
                <w:szCs w:val="29"/>
                <w:b w:val="1"/>
                <w:bCs w:val="1"/>
                <w:color w:val="auto"/>
                <w:w w:val="85"/>
                <w:vertAlign w:val="superscript"/>
              </w:rPr>
              <w:t>(2)</w:t>
            </w: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line="270" w:lineRule="exact"/>
              <w:rPr>
                <w:sz w:val="20"/>
                <w:szCs w:val="20"/>
                <w:color w:val="auto"/>
              </w:rPr>
            </w:pPr>
            <w:r>
              <w:rPr>
                <w:rFonts w:ascii="Arial" w:cs="Arial" w:eastAsia="Arial" w:hAnsi="Arial"/>
                <w:sz w:val="18"/>
                <w:szCs w:val="18"/>
                <w:b w:val="1"/>
                <w:bCs w:val="1"/>
                <w:color w:val="auto"/>
                <w:w w:val="86"/>
              </w:rPr>
              <w:t>Accrual</w:t>
            </w:r>
            <w:r>
              <w:rPr>
                <w:rFonts w:ascii="Arial" w:cs="Arial" w:eastAsia="Arial" w:hAnsi="Arial"/>
                <w:sz w:val="29"/>
                <w:szCs w:val="29"/>
                <w:b w:val="1"/>
                <w:bCs w:val="1"/>
                <w:color w:val="auto"/>
                <w:w w:val="86"/>
                <w:vertAlign w:val="superscript"/>
              </w:rPr>
              <w:t>(2)</w:t>
            </w:r>
          </w:p>
        </w:tc>
        <w:tc>
          <w:tcPr>
            <w:tcW w:w="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Loans</w:t>
            </w:r>
          </w:p>
        </w:tc>
        <w:tc>
          <w:tcPr>
            <w:tcW w:w="0" w:type="dxa"/>
            <w:vAlign w:val="bottom"/>
          </w:tcPr>
          <w:p>
            <w:pPr>
              <w:spacing w:after="0"/>
              <w:rPr>
                <w:sz w:val="1"/>
                <w:szCs w:val="1"/>
                <w:color w:val="auto"/>
              </w:rPr>
            </w:pPr>
          </w:p>
        </w:tc>
      </w:tr>
      <w:tr>
        <w:trPr>
          <w:trHeight w:val="236"/>
        </w:trPr>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Loans</w:t>
            </w: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$ 322,513,760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16,278,729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16,278,729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16,278,729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$ 338,792,489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$ 322,513,760</w:t>
            </w:r>
          </w:p>
        </w:tc>
        <w:tc>
          <w:tcPr>
            <w:tcW w:w="90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16,278,729</w:t>
            </w: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16,278,729</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16,278,729</w:t>
            </w: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$ 338,792,489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Loans 1-30 days past due are included in the current loans.</w:t>
      </w:r>
    </w:p>
    <w:p>
      <w:pPr>
        <w:spacing w:after="0" w:line="225" w:lineRule="exact"/>
        <w:rPr>
          <w:rFonts w:ascii="Arial" w:cs="Arial" w:eastAsia="Arial" w:hAnsi="Arial"/>
          <w:sz w:val="18"/>
          <w:szCs w:val="18"/>
          <w:color w:val="auto"/>
        </w:rPr>
      </w:pPr>
    </w:p>
    <w:p>
      <w:pPr>
        <w:ind w:left="340" w:right="42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May 1, 2023, Loan #9 was placed on non-accrual status. On June 20, 2023, the Administrative Agent to Loan #9 issued an acceleration notice requesting immediate payment of all amounts outstanding and therefore is 90 days past due as of September 30,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8"/>
                <w:szCs w:val="18"/>
                <w:b w:val="1"/>
                <w:bCs w:val="1"/>
                <w:color w:val="auto"/>
                <w:w w:val="89"/>
              </w:rPr>
              <w:t>As of December 31, 2022</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60" w:type="dxa"/>
            <w:vAlign w:val="bottom"/>
          </w:tcPr>
          <w:p>
            <w:pPr>
              <w:spacing w:after="0"/>
              <w:rPr>
                <w:sz w:val="17"/>
                <w:szCs w:val="17"/>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Current</w:t>
            </w:r>
          </w:p>
        </w:tc>
        <w:tc>
          <w:tcPr>
            <w:tcW w:w="920" w:type="dxa"/>
            <w:vAlign w:val="bottom"/>
            <w:gridSpan w:val="2"/>
          </w:tcPr>
          <w:p>
            <w:pPr>
              <w:jc w:val="center"/>
              <w:ind w:left="50"/>
              <w:spacing w:after="0" w:line="198" w:lineRule="exact"/>
              <w:rPr>
                <w:sz w:val="20"/>
                <w:szCs w:val="20"/>
                <w:color w:val="auto"/>
              </w:rPr>
            </w:pPr>
            <w:r>
              <w:rPr>
                <w:rFonts w:ascii="Arial" w:cs="Arial" w:eastAsia="Arial" w:hAnsi="Arial"/>
                <w:sz w:val="18"/>
                <w:szCs w:val="18"/>
                <w:b w:val="1"/>
                <w:bCs w:val="1"/>
                <w:color w:val="auto"/>
                <w:w w:val="91"/>
              </w:rPr>
              <w:t>31-60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left="50"/>
              <w:spacing w:after="0" w:line="198" w:lineRule="exact"/>
              <w:rPr>
                <w:sz w:val="20"/>
                <w:szCs w:val="20"/>
                <w:color w:val="auto"/>
              </w:rPr>
            </w:pPr>
            <w:r>
              <w:rPr>
                <w:rFonts w:ascii="Arial" w:cs="Arial" w:eastAsia="Arial" w:hAnsi="Arial"/>
                <w:sz w:val="18"/>
                <w:szCs w:val="18"/>
                <w:b w:val="1"/>
                <w:bCs w:val="1"/>
                <w:color w:val="auto"/>
                <w:w w:val="91"/>
              </w:rPr>
              <w:t>61-90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90+ Days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Days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8"/>
              </w:rPr>
              <w:t>Days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89"/>
              </w:rPr>
              <w:t>Past</w:t>
            </w:r>
          </w:p>
        </w:tc>
        <w:tc>
          <w:tcPr>
            <w:tcW w:w="120" w:type="dxa"/>
            <w:vAlign w:val="bottom"/>
          </w:tcPr>
          <w:p>
            <w:pPr>
              <w:spacing w:after="0"/>
              <w:rPr>
                <w:sz w:val="15"/>
                <w:szCs w:val="15"/>
                <w:color w:val="auto"/>
              </w:rPr>
            </w:pPr>
          </w:p>
        </w:tc>
        <w:tc>
          <w:tcPr>
            <w:tcW w:w="780" w:type="dxa"/>
            <w:vAlign w:val="bottom"/>
          </w:tcPr>
          <w:p>
            <w:pPr>
              <w:jc w:val="right"/>
              <w:ind w:right="96"/>
              <w:spacing w:after="0" w:line="181" w:lineRule="exact"/>
              <w:rPr>
                <w:sz w:val="20"/>
                <w:szCs w:val="20"/>
                <w:color w:val="auto"/>
              </w:rPr>
            </w:pPr>
            <w:r>
              <w:rPr>
                <w:rFonts w:ascii="Arial" w:cs="Arial" w:eastAsia="Arial" w:hAnsi="Arial"/>
                <w:sz w:val="18"/>
                <w:szCs w:val="18"/>
                <w:b w:val="1"/>
                <w:bCs w:val="1"/>
                <w:color w:val="auto"/>
              </w:rPr>
              <w:t>Non-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jc w:val="center"/>
              <w:ind w:right="180"/>
              <w:spacing w:after="0" w:line="181"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7"/>
        </w:trPr>
        <w:tc>
          <w:tcPr>
            <w:tcW w:w="3360" w:type="dxa"/>
            <w:vAlign w:val="bottom"/>
          </w:tcPr>
          <w:p>
            <w:pPr>
              <w:spacing w:after="0"/>
              <w:rPr>
                <w:sz w:val="24"/>
                <w:szCs w:val="24"/>
                <w:color w:val="auto"/>
              </w:rPr>
            </w:pPr>
          </w:p>
        </w:tc>
        <w:tc>
          <w:tcPr>
            <w:tcW w:w="1120" w:type="dxa"/>
            <w:vAlign w:val="bottom"/>
            <w:gridSpan w:val="2"/>
          </w:tcPr>
          <w:p>
            <w:pPr>
              <w:ind w:left="180"/>
              <w:spacing w:after="0" w:line="270"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9"/>
                <w:szCs w:val="29"/>
                <w:b w:val="1"/>
                <w:bCs w:val="1"/>
                <w:color w:val="auto"/>
                <w:vertAlign w:val="superscript"/>
              </w:rPr>
              <w:t>(1)</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Past Due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Past Due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ind w:left="20"/>
              <w:spacing w:after="0" w:line="270" w:lineRule="exact"/>
              <w:rPr>
                <w:sz w:val="20"/>
                <w:szCs w:val="20"/>
                <w:color w:val="auto"/>
              </w:rPr>
            </w:pPr>
            <w:r>
              <w:rPr>
                <w:rFonts w:ascii="Arial" w:cs="Arial" w:eastAsia="Arial" w:hAnsi="Arial"/>
                <w:sz w:val="18"/>
                <w:szCs w:val="18"/>
                <w:b w:val="1"/>
                <w:bCs w:val="1"/>
                <w:color w:val="auto"/>
                <w:w w:val="95"/>
              </w:rPr>
              <w:t>Past Due</w:t>
            </w:r>
            <w:r>
              <w:rPr>
                <w:rFonts w:ascii="Arial" w:cs="Arial" w:eastAsia="Arial" w:hAnsi="Arial"/>
                <w:sz w:val="29"/>
                <w:szCs w:val="29"/>
                <w:b w:val="1"/>
                <w:bCs w:val="1"/>
                <w:color w:val="auto"/>
                <w:w w:val="95"/>
                <w:vertAlign w:val="superscript"/>
              </w:rPr>
              <w:t>(2)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Due</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Accrual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Loans</w:t>
            </w:r>
          </w:p>
        </w:tc>
        <w:tc>
          <w:tcPr>
            <w:tcW w:w="0" w:type="dxa"/>
            <w:vAlign w:val="bottom"/>
          </w:tcPr>
          <w:p>
            <w:pPr>
              <w:spacing w:after="0"/>
              <w:rPr>
                <w:sz w:val="1"/>
                <w:szCs w:val="1"/>
                <w:color w:val="auto"/>
              </w:rPr>
            </w:pPr>
          </w:p>
        </w:tc>
      </w:tr>
      <w:tr>
        <w:trPr>
          <w:trHeight w:val="236"/>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Loans</w:t>
            </w:r>
          </w:p>
        </w:tc>
        <w:tc>
          <w:tcPr>
            <w:tcW w:w="10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$ 339,273,538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$ 339,273,538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spacing w:after="0"/>
              <w:rPr>
                <w:sz w:val="20"/>
                <w:szCs w:val="20"/>
                <w:color w:val="auto"/>
              </w:rPr>
            </w:pPr>
            <w:r>
              <w:rPr>
                <w:rFonts w:ascii="Arial" w:cs="Arial" w:eastAsia="Arial" w:hAnsi="Arial"/>
                <w:sz w:val="18"/>
                <w:szCs w:val="18"/>
                <w:color w:val="auto"/>
                <w:w w:val="95"/>
              </w:rPr>
              <w:t>$ 339,273,538</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634"/>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$ 339,273,538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Loans 1-30 days past due are included in the current loans.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no loans past due as of January 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Non-Accrual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there were one and zero loans placed on non-accrual status.</w:t>
      </w:r>
    </w:p>
    <w:p>
      <w:pPr>
        <w:spacing w:after="0" w:line="225"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Loan #9 was placed on non-accrual status as of May 1, 2023 and has both an outstanding principal balance and carrying value of approximately $16.3 million and $15.9 million as of September 30, 2023 and December 31, 2022, respectively, and carries a reserve for current expected credit losses of approximately $1.3 million as of September 30, 2023.</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three and nine-month periods ended September 30, 2023, the Company recognized $0 and $1.3 million of interest income on this non-accrual loan.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67"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b w:val="1"/>
          <w:bCs w:val="1"/>
          <w:color w:val="auto"/>
        </w:rPr>
        <w:t>Rating</w:t>
      </w:r>
      <w:r>
        <w:rPr>
          <w:sz w:val="20"/>
          <w:szCs w:val="20"/>
          <w:color w:val="auto"/>
        </w:rPr>
        <w:tab/>
      </w:r>
      <w:r>
        <w:rPr>
          <w:rFonts w:ascii="Arial" w:cs="Arial" w:eastAsia="Arial" w:hAnsi="Arial"/>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1140" w:hanging="1132"/>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Very low risk</w:t>
      </w:r>
    </w:p>
    <w:p>
      <w:pPr>
        <w:spacing w:after="0" w:line="23" w:lineRule="exact"/>
        <w:rPr>
          <w:sz w:val="20"/>
          <w:szCs w:val="20"/>
          <w:color w:val="auto"/>
        </w:rPr>
      </w:pPr>
    </w:p>
    <w:p>
      <w:pPr>
        <w:ind w:left="1140" w:hanging="1132"/>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Moderate/average risk</w:t>
      </w:r>
    </w:p>
    <w:p>
      <w:pPr>
        <w:spacing w:after="0" w:line="9" w:lineRule="exact"/>
        <w:rPr>
          <w:sz w:val="20"/>
          <w:szCs w:val="20"/>
          <w:color w:val="auto"/>
        </w:rPr>
      </w:pPr>
    </w:p>
    <w:p>
      <w:pPr>
        <w:ind w:left="1140" w:hanging="1132"/>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Impaired/loss likely: a loan that has a high risk of realizing principal loss, has incurred principal loss or an impairment has been recorded</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September 30, 2023 to December 31, 2022 consider borrower specific credit history and performance and reflect a quarterly re-evaluation of overall current macroeconomic conditions affecting the Company’s borrowers. As interest rates have increased due to rising rates from the Federal Reserve Board, it has impacted borrowers’ ability to service their debt obligations on a global scale. This decline in risk ratings had an effect on the level of the current expected credit loss reserve though, other than the one loan placed on non-accrual status, the loans continued to perform as expected. For approximately 74.3% of the portfolio, the fair value of the underlying real estate collateral exceeded the amounts outstanding under the loans as of September 30, 2023. The remaining approximately 25.7%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 The amounts above exclude any apportionment of real estate collateral permissible under the applicable income and asset tests for REIT eligibility.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7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As of September 30, 2023 and December 31, 2022, the carrying value, excluding the current expected credit loss reserve (the “CECL Reserve”),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loans within each risk rating category by year of origination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Risk</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1"/>
          </w:tcPr>
          <w:p>
            <w:pPr>
              <w:jc w:val="right"/>
              <w:ind w:right="568"/>
              <w:spacing w:after="0"/>
              <w:rPr>
                <w:sz w:val="20"/>
                <w:szCs w:val="20"/>
                <w:color w:val="auto"/>
              </w:rPr>
            </w:pPr>
            <w:r>
              <w:rPr>
                <w:rFonts w:ascii="Arial" w:cs="Arial" w:eastAsia="Arial" w:hAnsi="Arial"/>
                <w:sz w:val="14"/>
                <w:szCs w:val="14"/>
                <w:b w:val="1"/>
                <w:bCs w:val="1"/>
                <w:color w:val="auto"/>
              </w:rPr>
              <w:t>As of September 30, 2023(1)(2)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308"/>
              <w:spacing w:after="0"/>
              <w:rPr>
                <w:sz w:val="20"/>
                <w:szCs w:val="20"/>
                <w:color w:val="auto"/>
              </w:rPr>
            </w:pPr>
            <w:r>
              <w:rPr>
                <w:rFonts w:ascii="Arial" w:cs="Arial" w:eastAsia="Arial" w:hAnsi="Arial"/>
                <w:sz w:val="14"/>
                <w:szCs w:val="14"/>
                <w:b w:val="1"/>
                <w:bCs w:val="1"/>
                <w:color w:val="auto"/>
              </w:rPr>
              <w:t>As of December 31, 2022(1)</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Rating</w:t>
            </w:r>
          </w:p>
        </w:tc>
        <w:tc>
          <w:tcPr>
            <w:tcW w:w="14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1</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10,273,497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37,991,401</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169,871</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48,434,769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274,406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274,406</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26,514,583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112,727,913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36,509,859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5"/>
              </w:rPr>
              <w:t>175,752,355</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94,467,449</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88,444,868</w:t>
            </w: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29,140,546</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2"/>
              </w:rPr>
              <w:t>212,052,863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8,570,575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5,130,537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58,875,151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72,576,263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30,415,113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83,131,444</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113,546,557</w:t>
            </w:r>
          </w:p>
        </w:tc>
        <w:tc>
          <w:tcPr>
            <w:tcW w:w="0" w:type="dxa"/>
            <w:vAlign w:val="bottom"/>
          </w:tcPr>
          <w:p>
            <w:pPr>
              <w:spacing w:after="0"/>
              <w:rPr>
                <w:sz w:val="1"/>
                <w:szCs w:val="1"/>
                <w:color w:val="auto"/>
              </w:rPr>
            </w:pPr>
          </w:p>
        </w:tc>
      </w:tr>
      <w:tr>
        <w:trPr>
          <w:trHeight w:val="148"/>
        </w:trPr>
        <w:tc>
          <w:tcPr>
            <w:tcW w:w="840" w:type="dxa"/>
            <w:vAlign w:val="bottom"/>
          </w:tcPr>
          <w:p>
            <w:pPr>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42,029,102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42,029,102</w:t>
            </w:r>
          </w:p>
        </w:tc>
        <w:tc>
          <w:tcPr>
            <w:tcW w:w="10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13,399,712</w:t>
            </w: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13,399,712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shd w:val="clear" w:color="auto" w:fill="CCEEFF"/>
          </w:tcPr>
          <w:p>
            <w:pPr>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45,358,655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155,849,851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137,583,983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28"/>
              <w:spacing w:after="0"/>
              <w:rPr>
                <w:sz w:val="20"/>
                <w:szCs w:val="20"/>
                <w:color w:val="auto"/>
              </w:rPr>
            </w:pPr>
            <w:r>
              <w:rPr>
                <w:rFonts w:ascii="Arial" w:cs="Arial" w:eastAsia="Arial" w:hAnsi="Arial"/>
                <w:sz w:val="14"/>
                <w:szCs w:val="14"/>
                <w:color w:val="auto"/>
                <w:w w:val="76"/>
              </w:rPr>
              <w:t>$</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338,792,489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124,882,562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185,250,430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29,140,546</w:t>
            </w:r>
          </w:p>
        </w:tc>
        <w:tc>
          <w:tcPr>
            <w:tcW w:w="74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w w:val="92"/>
              </w:rPr>
              <w:t>339,273,538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are presented by loan origination year with subsequent advances shown in the original year of origination.</w:t>
      </w:r>
    </w:p>
    <w:p>
      <w:pPr>
        <w:spacing w:after="0" w:line="22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Loan #9 placed on non-accrual status is included in risk rating category “4” and has a reserve for current expected credit losses of approximately $1.3 million as of September 30, 2023.</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Real estate collateral coverage is also a significant credit quality indicator, and real estate collateral coverage, excluding the CECL Reserve, was as follows as of September 30, 2023 and December 31,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2023 Real Estate Collateral Coverage (1)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4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&lt; 1.0x</w:t>
            </w:r>
          </w:p>
        </w:tc>
        <w:tc>
          <w:tcPr>
            <w:tcW w:w="1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5"/>
              </w:rPr>
              <w:t>1.0x-1.25x</w:t>
            </w: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92"/>
              </w:rPr>
              <w:t>1.25x-1.5x</w:t>
            </w: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9"/>
              </w:rPr>
              <w:t>1.50x-1.75x</w:t>
            </w: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2"/>
              </w:rPr>
              <w:t>1.75x-2.0x</w:t>
            </w: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&gt; 2.0x</w:t>
            </w: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r>
      <w:tr>
        <w:trPr>
          <w:trHeight w:val="216"/>
        </w:trPr>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Fixed-rate</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2,466,705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20,481,500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17,509,901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18,417,846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59,045,823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Floating-rate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83,612,873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36,803,211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54,645,036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14,722,749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25,893,537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64,069,260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279,746,666</w:t>
            </w:r>
          </w:p>
        </w:tc>
      </w:tr>
      <w:tr>
        <w:trPr>
          <w:trHeight w:val="27"/>
        </w:trPr>
        <w:tc>
          <w:tcPr>
            <w:tcW w:w="1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77"/>
        </w:trPr>
        <w:tc>
          <w:tcPr>
            <w:tcW w:w="14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86,079,578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36,803,211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75,126,536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32,232,650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44,311,383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64,239,131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338,792,489</w:t>
            </w:r>
          </w:p>
        </w:tc>
      </w:tr>
      <w:tr>
        <w:trPr>
          <w:trHeight w:val="21"/>
        </w:trPr>
        <w:tc>
          <w:tcPr>
            <w:tcW w:w="1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2"/>
        </w:trPr>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14"/>
          </w:tcPr>
          <w:p>
            <w:pPr>
              <w:jc w:val="right"/>
              <w:ind w:right="800"/>
              <w:spacing w:after="0"/>
              <w:rPr>
                <w:sz w:val="20"/>
                <w:szCs w:val="20"/>
                <w:color w:val="auto"/>
              </w:rPr>
            </w:pPr>
            <w:r>
              <w:rPr>
                <w:rFonts w:ascii="Arial" w:cs="Arial" w:eastAsia="Arial" w:hAnsi="Arial"/>
                <w:sz w:val="18"/>
                <w:szCs w:val="18"/>
                <w:b w:val="1"/>
                <w:bCs w:val="1"/>
                <w:color w:val="auto"/>
                <w:w w:val="91"/>
              </w:rPr>
              <w:t>As of December 31, 2022 Real Estate Collateral Coverage (1)</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&lt; 1.0x</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1.0x-1.25x</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1.25x-1.5x</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1.50x-1.75x</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1.75x-2.0x</w:t>
            </w:r>
          </w:p>
        </w:tc>
        <w:tc>
          <w:tcPr>
            <w:tcW w:w="16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&gt; 2.0x</w:t>
            </w:r>
          </w:p>
        </w:tc>
        <w:tc>
          <w:tcPr>
            <w:tcW w:w="160" w:type="dxa"/>
            <w:vAlign w:val="bottom"/>
          </w:tcPr>
          <w:p>
            <w:pPr>
              <w:spacing w:after="0"/>
              <w:rPr>
                <w:sz w:val="20"/>
                <w:szCs w:val="20"/>
                <w:color w:val="auto"/>
              </w:rPr>
            </w:pPr>
          </w:p>
        </w:tc>
        <w:tc>
          <w:tcPr>
            <w:tcW w:w="96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Fixed-rate</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20,406,737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17,203,138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20,089,663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57,699,538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Floating-rate</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63,963,105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78,211,454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13,399,712</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9,980,730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12,849,490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103,169,509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281,574,000</w:t>
            </w:r>
          </w:p>
        </w:tc>
      </w:tr>
      <w:tr>
        <w:trPr>
          <w:trHeight w:val="27"/>
        </w:trPr>
        <w:tc>
          <w:tcPr>
            <w:tcW w:w="1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14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63,963,105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78,211,454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33,806,449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27,183,868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12,849,490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123,259,172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339,273,538</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right="1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Real estate collateral coverage is calculated based upon most recent third-party appraised values. The Company generally obtains new appraisal of all material real estate collateral at least once annually.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CECL Reserve</w:t>
      </w:r>
    </w:p>
    <w:p>
      <w:pPr>
        <w:spacing w:after="0" w:line="2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spacing w:after="0" w:line="296" w:lineRule="auto"/>
        <w:rPr>
          <w:sz w:val="20"/>
          <w:szCs w:val="20"/>
          <w:color w:val="auto"/>
        </w:rPr>
      </w:pPr>
      <w:r>
        <w:rPr>
          <w:rFonts w:ascii="Arial" w:cs="Arial" w:eastAsia="Arial" w:hAnsi="Arial"/>
          <w:sz w:val="16"/>
          <w:szCs w:val="16"/>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three fiscal years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September 30, 2023, to which the Manager may apply a private company discount based on the Company’s current borrower profile.</w:t>
      </w:r>
    </w:p>
    <w:p>
      <w:pPr>
        <w:spacing w:after="0" w:line="17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During the three-month period ended September 30, 2023, the Company observed that valuation multiples of publicly traded companies in the industry improved as a result of macro-economic factors. Such factors include but are not limited to; expectations surrounding future interest rate hikes by the Federal Reserve and public announcements about proposed regulatory reform relating to a potential rescheduling of cannabis at the federal level. Management contemplates the impacts of these macro-economic factors during the forecast period when determining enterprise value and ultimately, the CECL reserve. Estimates may change in future periods based on available future macro-economic data and might result in a material change in the Company’s future estimates of expected credit losses for its loan portfolio.</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8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7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14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Activity related to the CECL Reserve for outstanding balances and unfunded commitments on the Company’s loans held at carrying value and loans receivable at carrying value as of and for the nine months ended September 30, 2023 and 2022 is presented in the table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73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29"/>
                <w:szCs w:val="29"/>
                <w:b w:val="1"/>
                <w:bCs w:val="1"/>
                <w:color w:val="auto"/>
                <w:vertAlign w:val="superscript"/>
              </w:rPr>
              <w:t>(1)</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Unfunded</w:t>
            </w:r>
            <w:r>
              <w:rPr>
                <w:rFonts w:ascii="Arial" w:cs="Arial" w:eastAsia="Arial" w:hAnsi="Arial"/>
                <w:sz w:val="29"/>
                <w:szCs w:val="29"/>
                <w:b w:val="1"/>
                <w:bCs w:val="1"/>
                <w:color w:val="auto"/>
                <w:vertAlign w:val="superscript"/>
              </w:rPr>
              <w:t>(2)</w:t>
            </w: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3,940,939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3"/>
              </w:rPr>
              <w:t>94,415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4,035,354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Provision for current expected credit losses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1,171,256</w:t>
            </w:r>
          </w:p>
        </w:tc>
        <w:tc>
          <w:tcPr>
            <w:tcW w:w="320" w:type="dxa"/>
            <w:vAlign w:val="bottom"/>
          </w:tcPr>
          <w:p>
            <w:pPr>
              <w:spacing w:after="0"/>
              <w:rPr>
                <w:sz w:val="19"/>
                <w:szCs w:val="19"/>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22,623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1,193,880</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2023</w:t>
            </w: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5,112,195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117,038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5,229,234</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73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Outstanding</w:t>
            </w:r>
            <w:r>
              <w:rPr>
                <w:rFonts w:ascii="Arial" w:cs="Arial" w:eastAsia="Arial" w:hAnsi="Arial"/>
                <w:sz w:val="29"/>
                <w:szCs w:val="29"/>
                <w:b w:val="1"/>
                <w:bCs w:val="1"/>
                <w:color w:val="auto"/>
                <w:vertAlign w:val="superscript"/>
              </w:rPr>
              <w:t>(1)</w:t>
            </w: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Unfunded</w:t>
            </w:r>
            <w:r>
              <w:rPr>
                <w:rFonts w:ascii="Arial" w:cs="Arial" w:eastAsia="Arial" w:hAnsi="Arial"/>
                <w:sz w:val="29"/>
                <w:szCs w:val="29"/>
                <w:b w:val="1"/>
                <w:bCs w:val="1"/>
                <w:color w:val="auto"/>
                <w:vertAlign w:val="superscript"/>
              </w:rPr>
              <w:t>(2)</w:t>
            </w: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3"/>
              </w:rPr>
              <w:t>13,407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Provision for current expected credit losses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1,363,391</w:t>
            </w:r>
          </w:p>
        </w:tc>
        <w:tc>
          <w:tcPr>
            <w:tcW w:w="320" w:type="dxa"/>
            <w:vAlign w:val="bottom"/>
          </w:tcPr>
          <w:p>
            <w:pPr>
              <w:spacing w:after="0"/>
              <w:rPr>
                <w:sz w:val="19"/>
                <w:szCs w:val="19"/>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40,501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1,403,892</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1,497,933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53,908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1,551,841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3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September 30, 2023 and December 31, 2022, the CECL Reserve related to outstanding balances on loans at carrying value is recorded within current expected credit loss reserve in the Company’s consolidated balance sheets.</w:t>
      </w:r>
    </w:p>
    <w:p>
      <w:pPr>
        <w:spacing w:after="0" w:line="170"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September 30, 2023 and December 31, 2022, the CECL Reserve related to unfunded commitments on loans at carrying value is recorded within accounts payable and other liabilities in the Company’s consolidated balance sheets.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made an accounting policy election to exclude accrued interest receivable, ($2,226,902 and $1,204,412 as of September 30, 2023 and December 31, 2022, respectively) included in Interest Receivable on its consolidated balance sheet,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the one loan on non-accrual, the Company ceased accruing interest on the first date of delinquency, based on expectation of its ability to collect all amounts then due from the borrower. As a result, there was no accrued interest to write-off when the loan was placed on non-accrual.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INTEREST RECEIVABLE</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6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the interest receivable by the Company as of September 30, 2023 and December 31, 2022:</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7"/>
              </w:rPr>
              <w:t>As of</w:t>
            </w: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2,195,375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Unused fees receivable</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31,527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interest receivable</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2,226,902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1,204,412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aging analyses of past due loans by class as of September 30, 2023 and December 31, 2022,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As of September 30,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31-60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61-90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9"/>
              </w:rPr>
              <w:t>90+ Days</w:t>
            </w:r>
          </w:p>
        </w:tc>
        <w:tc>
          <w:tcPr>
            <w:tcW w:w="80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5"/>
                <w:szCs w:val="15"/>
                <w:color w:val="auto"/>
              </w:rPr>
            </w:pPr>
          </w:p>
        </w:tc>
        <w:tc>
          <w:tcPr>
            <w:tcW w:w="1020" w:type="dxa"/>
            <w:vAlign w:val="bottom"/>
            <w:gridSpan w:val="2"/>
          </w:tcPr>
          <w:p>
            <w:pPr>
              <w:jc w:val="center"/>
              <w:ind w:right="360"/>
              <w:spacing w:after="0" w:line="181" w:lineRule="exact"/>
              <w:rPr>
                <w:sz w:val="20"/>
                <w:szCs w:val="20"/>
                <w:color w:val="auto"/>
              </w:rPr>
            </w:pPr>
            <w:r>
              <w:rPr>
                <w:rFonts w:ascii="Arial" w:cs="Arial" w:eastAsia="Arial" w:hAnsi="Arial"/>
                <w:sz w:val="18"/>
                <w:szCs w:val="18"/>
                <w:b w:val="1"/>
                <w:bCs w:val="1"/>
                <w:color w:val="auto"/>
                <w:w w:val="88"/>
              </w:rPr>
              <w:t>Days</w:t>
            </w:r>
          </w:p>
        </w:tc>
        <w:tc>
          <w:tcPr>
            <w:tcW w:w="1280" w:type="dxa"/>
            <w:vAlign w:val="bottom"/>
            <w:gridSpan w:val="3"/>
          </w:tcPr>
          <w:p>
            <w:pPr>
              <w:jc w:val="center"/>
              <w:ind w:right="200"/>
              <w:spacing w:after="0" w:line="181" w:lineRule="exact"/>
              <w:rPr>
                <w:sz w:val="20"/>
                <w:szCs w:val="20"/>
                <w:color w:val="auto"/>
              </w:rPr>
            </w:pPr>
            <w:r>
              <w:rPr>
                <w:rFonts w:ascii="Arial" w:cs="Arial" w:eastAsia="Arial" w:hAnsi="Arial"/>
                <w:sz w:val="18"/>
                <w:szCs w:val="18"/>
                <w:b w:val="1"/>
                <w:bCs w:val="1"/>
                <w:color w:val="auto"/>
                <w:w w:val="89"/>
              </w:rPr>
              <w:t>Past Due (and</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80"/>
              <w:spacing w:after="0" w:line="181"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5"/>
                <w:szCs w:val="15"/>
                <w:color w:val="auto"/>
              </w:rPr>
            </w:pPr>
          </w:p>
        </w:tc>
        <w:tc>
          <w:tcPr>
            <w:tcW w:w="860" w:type="dxa"/>
            <w:vAlign w:val="bottom"/>
            <w:gridSpan w:val="3"/>
          </w:tcPr>
          <w:p>
            <w:pPr>
              <w:ind w:left="8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9"/>
                <w:szCs w:val="29"/>
                <w:b w:val="1"/>
                <w:bCs w:val="1"/>
                <w:color w:val="auto"/>
                <w:vertAlign w:val="superscript"/>
              </w:rPr>
              <w:t>(1)</w:t>
            </w: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Past Due</w:t>
            </w: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accruing)</w:t>
            </w:r>
          </w:p>
        </w:tc>
        <w:tc>
          <w:tcPr>
            <w:tcW w:w="1120" w:type="dxa"/>
            <w:vAlign w:val="bottom"/>
            <w:gridSpan w:val="3"/>
          </w:tcPr>
          <w:p>
            <w:pPr>
              <w:jc w:val="center"/>
              <w:ind w:right="220"/>
              <w:spacing w:after="0" w:line="270" w:lineRule="exact"/>
              <w:rPr>
                <w:sz w:val="20"/>
                <w:szCs w:val="20"/>
                <w:color w:val="auto"/>
              </w:rPr>
            </w:pPr>
            <w:r>
              <w:rPr>
                <w:rFonts w:ascii="Arial" w:cs="Arial" w:eastAsia="Arial" w:hAnsi="Arial"/>
                <w:sz w:val="18"/>
                <w:szCs w:val="18"/>
                <w:b w:val="1"/>
                <w:bCs w:val="1"/>
                <w:color w:val="auto"/>
                <w:w w:val="86"/>
              </w:rPr>
              <w:t>Accrual</w:t>
            </w:r>
            <w:r>
              <w:rPr>
                <w:rFonts w:ascii="Arial" w:cs="Arial" w:eastAsia="Arial" w:hAnsi="Arial"/>
                <w:sz w:val="29"/>
                <w:szCs w:val="29"/>
                <w:b w:val="1"/>
                <w:bCs w:val="1"/>
                <w:color w:val="auto"/>
                <w:w w:val="86"/>
                <w:vertAlign w:val="superscript"/>
              </w:rPr>
              <w:t>(2)</w:t>
            </w: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Past Due</w:t>
            </w:r>
          </w:p>
        </w:tc>
        <w:tc>
          <w:tcPr>
            <w:tcW w:w="140" w:type="dxa"/>
            <w:vAlign w:val="bottom"/>
          </w:tcPr>
          <w:p>
            <w:pPr>
              <w:spacing w:after="0"/>
              <w:rPr>
                <w:sz w:val="24"/>
                <w:szCs w:val="24"/>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1,940,419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2,226,902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1,940,419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269,710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16,773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286,483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2,226,902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As of December 31, 2022</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17"/>
                <w:szCs w:val="17"/>
                <w:color w:val="auto"/>
              </w:rPr>
            </w:pPr>
          </w:p>
        </w:tc>
        <w:tc>
          <w:tcPr>
            <w:tcW w:w="7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31-60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61-90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9"/>
              </w:rPr>
              <w:t>90+ Days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88"/>
              </w:rPr>
              <w:t>Days</w:t>
            </w:r>
          </w:p>
        </w:tc>
        <w:tc>
          <w:tcPr>
            <w:tcW w:w="100" w:type="dxa"/>
            <w:vAlign w:val="bottom"/>
          </w:tcPr>
          <w:p>
            <w:pPr>
              <w:spacing w:after="0"/>
              <w:rPr>
                <w:sz w:val="15"/>
                <w:szCs w:val="15"/>
                <w:color w:val="auto"/>
              </w:rPr>
            </w:pPr>
          </w:p>
        </w:tc>
        <w:tc>
          <w:tcPr>
            <w:tcW w:w="102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88"/>
              </w:rPr>
              <w:t>Days</w:t>
            </w:r>
          </w:p>
        </w:tc>
        <w:tc>
          <w:tcPr>
            <w:tcW w:w="1280" w:type="dxa"/>
            <w:vAlign w:val="bottom"/>
            <w:gridSpan w:val="3"/>
          </w:tcPr>
          <w:p>
            <w:pPr>
              <w:jc w:val="center"/>
              <w:ind w:right="200"/>
              <w:spacing w:after="0" w:line="181" w:lineRule="exact"/>
              <w:rPr>
                <w:sz w:val="20"/>
                <w:szCs w:val="20"/>
                <w:color w:val="auto"/>
              </w:rPr>
            </w:pPr>
            <w:r>
              <w:rPr>
                <w:rFonts w:ascii="Arial" w:cs="Arial" w:eastAsia="Arial" w:hAnsi="Arial"/>
                <w:sz w:val="18"/>
                <w:szCs w:val="18"/>
                <w:b w:val="1"/>
                <w:bCs w:val="1"/>
                <w:color w:val="auto"/>
                <w:w w:val="89"/>
              </w:rPr>
              <w:t>Past Due (and</w:t>
            </w:r>
          </w:p>
        </w:tc>
        <w:tc>
          <w:tcPr>
            <w:tcW w:w="800" w:type="dxa"/>
            <w:vAlign w:val="bottom"/>
          </w:tcPr>
          <w:p>
            <w:pPr>
              <w:jc w:val="center"/>
              <w:ind w:left="10"/>
              <w:spacing w:after="0" w:line="181" w:lineRule="exact"/>
              <w:rPr>
                <w:sz w:val="20"/>
                <w:szCs w:val="20"/>
                <w:color w:val="auto"/>
              </w:rPr>
            </w:pPr>
            <w:r>
              <w:rPr>
                <w:rFonts w:ascii="Arial" w:cs="Arial" w:eastAsia="Arial" w:hAnsi="Arial"/>
                <w:sz w:val="18"/>
                <w:szCs w:val="18"/>
                <w:b w:val="1"/>
                <w:bCs w:val="1"/>
                <w:color w:val="auto"/>
                <w:w w:val="92"/>
              </w:rPr>
              <w:t>Non-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480"/>
              <w:spacing w:after="0" w:line="181"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5"/>
                <w:szCs w:val="15"/>
                <w:color w:val="auto"/>
              </w:rPr>
            </w:pPr>
          </w:p>
        </w:tc>
        <w:tc>
          <w:tcPr>
            <w:tcW w:w="860" w:type="dxa"/>
            <w:vAlign w:val="bottom"/>
            <w:gridSpan w:val="3"/>
          </w:tcPr>
          <w:p>
            <w:pPr>
              <w:ind w:left="8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40"/>
              <w:spacing w:after="0" w:line="270" w:lineRule="exact"/>
              <w:rPr>
                <w:sz w:val="20"/>
                <w:szCs w:val="20"/>
                <w:color w:val="auto"/>
              </w:rPr>
            </w:pPr>
            <w:r>
              <w:rPr>
                <w:rFonts w:ascii="Arial" w:cs="Arial" w:eastAsia="Arial" w:hAnsi="Arial"/>
                <w:sz w:val="18"/>
                <w:szCs w:val="18"/>
                <w:b w:val="1"/>
                <w:bCs w:val="1"/>
                <w:color w:val="auto"/>
              </w:rPr>
              <w:t>Loans</w:t>
            </w:r>
            <w:r>
              <w:rPr>
                <w:rFonts w:ascii="Arial" w:cs="Arial" w:eastAsia="Arial" w:hAnsi="Arial"/>
                <w:sz w:val="29"/>
                <w:szCs w:val="29"/>
                <w:b w:val="1"/>
                <w:bCs w:val="1"/>
                <w:color w:val="auto"/>
                <w:vertAlign w:val="superscript"/>
              </w:rPr>
              <w:t>(1)</w:t>
            </w:r>
          </w:p>
        </w:tc>
        <w:tc>
          <w:tcPr>
            <w:tcW w:w="10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Past Due</w:t>
            </w: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Past Due</w:t>
            </w:r>
          </w:p>
        </w:tc>
        <w:tc>
          <w:tcPr>
            <w:tcW w:w="12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accruing)</w:t>
            </w:r>
          </w:p>
        </w:tc>
        <w:tc>
          <w:tcPr>
            <w:tcW w:w="80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Accrual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5"/>
              </w:rPr>
              <w:t>Past Due</w:t>
            </w:r>
          </w:p>
        </w:tc>
        <w:tc>
          <w:tcPr>
            <w:tcW w:w="140" w:type="dxa"/>
            <w:vAlign w:val="bottom"/>
          </w:tcPr>
          <w:p>
            <w:pPr>
              <w:spacing w:after="0"/>
              <w:rPr>
                <w:sz w:val="24"/>
                <w:szCs w:val="24"/>
                <w:color w:val="auto"/>
              </w:rPr>
            </w:pPr>
          </w:p>
        </w:tc>
        <w:tc>
          <w:tcPr>
            <w:tcW w:w="860" w:type="dxa"/>
            <w:vAlign w:val="bottom"/>
            <w:gridSpan w:val="3"/>
          </w:tcPr>
          <w:p>
            <w:pPr>
              <w:ind w:left="8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36"/>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1,203,088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1,204,412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1,203,088</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1,204,412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Loans 1-30 days past due are included in the current loans. Amounts are presented on a gross and net basis, including the effects of any interest reserves for non-accrual loans.</w:t>
      </w:r>
    </w:p>
    <w:p>
      <w:pPr>
        <w:spacing w:after="0" w:line="170" w:lineRule="exact"/>
        <w:rPr>
          <w:rFonts w:ascii="Arial" w:cs="Arial" w:eastAsia="Arial" w:hAnsi="Arial"/>
          <w:sz w:val="18"/>
          <w:szCs w:val="18"/>
          <w:color w:val="auto"/>
        </w:rPr>
      </w:pPr>
    </w:p>
    <w:p>
      <w:pPr>
        <w:ind w:left="340" w:right="100" w:hanging="332"/>
        <w:spacing w:after="0" w:line="286"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May 1, 2023, Loan #9 was placed on non-accrual status with an outstanding principal amount of approximately $16.3 million. For the period from May 1, 2023, through September 30, 2023, the Company ceased the accrual and recognition of all interest. As of September 30, 2023, Loan #9 has principal greater than 90 days past due, however there is $0 of accrued interest receivable relating to Loan #9.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INTEREST RESERVE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2023 and December 31, 2022, the Company had two loans and three loans, respectively, that included a prepaid interest reserve.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interest reserves as of September 30, 2023 and December 31,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As of</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w:t>
            </w:r>
          </w:p>
        </w:tc>
        <w:tc>
          <w:tcPr>
            <w:tcW w:w="12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CCEEFF"/>
            </w:tcBorders>
          </w:tcPr>
          <w:p>
            <w:pPr>
              <w:spacing w:after="0"/>
              <w:rPr>
                <w:sz w:val="20"/>
                <w:szCs w:val="20"/>
                <w:color w:val="auto"/>
              </w:rPr>
            </w:pPr>
          </w:p>
        </w:tc>
        <w:tc>
          <w:tcPr>
            <w:tcW w:w="5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reserves</w:t>
            </w:r>
          </w:p>
        </w:tc>
        <w:tc>
          <w:tcPr>
            <w:tcW w:w="5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1,868,193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New reserves</w:t>
            </w: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1,007,910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9,049,834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Reserves disbursed</w:t>
            </w:r>
          </w:p>
        </w:tc>
        <w:tc>
          <w:tcPr>
            <w:tcW w:w="5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(2,377,839)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(13,818,194)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Ending reserve</w:t>
            </w:r>
          </w:p>
        </w:tc>
        <w:tc>
          <w:tcPr>
            <w:tcW w:w="5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498,264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1,868,193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320" w:type="dxa"/>
            <w:vAlign w:val="bottom"/>
            <w:vMerge w:val="restart"/>
          </w:tcPr>
          <w:p>
            <w:pPr>
              <w:jc w:val="right"/>
              <w:ind w:right="2970"/>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4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2021, in connection with the Company’s acquisition of its wholly-owned financing subsidiary, CAL, the Company was assigned a secured revolving credit facility (the “Revolving Loan”). The Revolving Loan had an original aggregate borrowing base of up to $10,000,000 and bore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December 16, 2021, CAL entered into an amended and restated Revolving Loan agreement (the “First Amendment and Restatement”). The First Amendment and Restatement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and Restatement also extended the maturity date from February 12, 2023 to the earlier of (i) December 16, 2023 and (ii) the date on which the Revolving Loan is terminated pursuant to the terms of the Revolving Loan agreement. The Company has the option to extend the initial term for an additional one-year term, provided no events of default exist and the Company provides the required notice of the extension pursuant to the First Amendment and Restatement. The Company incurred debt issuance costs of $859,500 related to the First Amendment and Restatement, which were capitalized and are subsequently being amortized through maturity.</w:t>
      </w:r>
    </w:p>
    <w:p>
      <w:pPr>
        <w:spacing w:after="0" w:line="18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May 12, 2022, CAL entered into a second amended and restated Revolving Loan agreement (the “Second Amendment and Restatement”). The Second Amendment and Restatement increased the loan commitment from $45,000,000 to $65,000,000. No other material terms of the Revolving Loan were modified as a result of the execution of the Second Amendment and Restatement. The Company incurred debt issuance costs of $177,261 related to the Second Amendment and Restatement, which were capitalized and are subsequently amortized through maturity. The Revolving Loan incurs unused fees at a rate of 0.25% per annum which began on July 1, 2022 pursuant to the Second Amendment and Restatement.</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November 7, 2022, CAL entered into a third amended and restated Revolving Loan agreement (the “Third Amendment and Restatement”). The Third Amendment and Restatement increased the loan commitment from $65,000,000 to $92,500,000. No other material terms of the Revolving Loan were modified as a result of the execution of the Third Amendment and Restatement. The Company incurred debt issuance costs of $323,779 related to the Third Amendment and Restatement, which were capitalized and are subsequently being amortized through maturity.</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February 27, 2023, CAL entered into an amendment to the Third Amendment and Restatement (the “Amendment”). The Amendment extended the contractual maturity date of the Revolving Loan until December 16, 2024 and the Company retained its option to extend the initial term for an additional one-year period, provided no events of default exist and the Company provides 365 days’ notice of the extension pursuant to the Amendment. No other material terms of the Revolving Loan were modified as a result of the execution of the Amendment. The Company incurred debt issuance costs of $2,988 related to the Amendment, which were capitalized and are subsequently amortized through maturity.</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30, 2023, CAL entered into a Fourth Amended and Restated Loan and Security Agreement (the “Fourth Amendment and Restatement”). The Fourth Amendment and Restatement increased the loan commitment from $92.5 million to $100.0 million. No other material terms of the Revolving Loan were modified as a result of the execution of the Fourth Amendment. The Company incurred debt issuance costs of $109,291 related to the Amendment, which were capitalized and are subsequently amortized through maturity.</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September 30, 2023, the Company is in compliance with all financial covenants with respect to the Revolving Loan.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9" w:name="page20"/>
    <w:bookmarkEnd w:id="19"/>
    <w:p>
      <w:pPr>
        <w:ind w:right="560"/>
        <w:spacing w:after="0" w:line="263" w:lineRule="auto"/>
        <w:rPr>
          <w:sz w:val="20"/>
          <w:szCs w:val="20"/>
          <w:color w:val="auto"/>
        </w:rPr>
      </w:pPr>
      <w:r>
        <w:rPr>
          <w:rFonts w:ascii="Arial" w:cs="Arial" w:eastAsia="Arial" w:hAnsi="Arial"/>
          <w:sz w:val="18"/>
          <w:szCs w:val="18"/>
          <w:color w:val="auto"/>
        </w:rPr>
        <w:t>As of September 30, 2023 and December 31, 2022, unamortized debt issuance costs related to the Revolving Loan, including all amendments and amendments and restatements thereto, as applicable, of $516,261 and $805,596, respectively, are recorded in other receivables and assets, net on the consolidated balance sheets.</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of and for the nine months ended September 30, 2023, the Company had net borrowings of $5.0 million against the Revolving Loan. As of September 30, 2023, the Company had $37.0 million available under the Revolving Loan. Additionally, as of September 30, 2023, $176.9 million of loans held for investment, at principal, are pledged as collateral in the borrowing base of the Revolving Loan.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a summary of interest expense incurred during the three and nine months ended September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Three months</w:t>
            </w:r>
          </w:p>
        </w:tc>
        <w:tc>
          <w:tcPr>
            <w:tcW w:w="10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Nine months</w:t>
            </w:r>
          </w:p>
        </w:tc>
        <w:tc>
          <w:tcPr>
            <w:tcW w:w="20" w:type="dxa"/>
            <w:vAlign w:val="bottom"/>
          </w:tcPr>
          <w:p>
            <w:pPr>
              <w:spacing w:after="0"/>
              <w:rPr>
                <w:sz w:val="18"/>
                <w:szCs w:val="18"/>
                <w:color w:val="auto"/>
              </w:rPr>
            </w:pPr>
          </w:p>
        </w:tc>
        <w:tc>
          <w:tcPr>
            <w:tcW w:w="11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Nine months</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ended</w:t>
            </w:r>
          </w:p>
        </w:tc>
        <w:tc>
          <w:tcPr>
            <w:tcW w:w="2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rPr>
              <w:t>September 30,</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6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interest expense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3,588,712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Unused fee expense</w:t>
            </w: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26,174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7,667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67,875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138,549</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405,778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379,644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interest expense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1,449,143</w:t>
            </w:r>
          </w:p>
        </w:tc>
        <w:tc>
          <w:tcPr>
            <w:tcW w:w="3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861,348</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4,062,365</w:t>
            </w:r>
          </w:p>
        </w:tc>
        <w:tc>
          <w:tcPr>
            <w:tcW w:w="200" w:type="dxa"/>
            <w:vAlign w:val="bottom"/>
            <w:gridSpan w:val="2"/>
          </w:tcPr>
          <w:p>
            <w:pPr>
              <w:jc w:val="right"/>
              <w:ind w:right="50"/>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1,383,172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Agreement</w:t>
      </w:r>
    </w:p>
    <w:p>
      <w:pPr>
        <w:spacing w:after="0" w:line="22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spacing w:after="0" w:line="1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nine months ended September 30, 2023, the Base Management Fee payable was reduced by Outside Fees in the amount of $0 and $130,000, respectively. For the three and nine months ended September 30, 2022, the Base Management Fee payable was reduced by Outside Fees in the amount of $192,751 and $1,275,001, respectively.</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and nine months ended September 30, 2023 was $545,966 and $2,532,026 respectively. Incentive compensation for the three and nine months ended September 30, 2022 was $519,223 and $1,500,129,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right="40"/>
        <w:spacing w:after="0" w:line="270" w:lineRule="auto"/>
        <w:rPr>
          <w:sz w:val="20"/>
          <w:szCs w:val="20"/>
          <w:color w:val="auto"/>
        </w:rPr>
      </w:pPr>
      <w:r>
        <w:rPr>
          <w:rFonts w:ascii="Arial" w:cs="Arial" w:eastAsia="Arial" w:hAnsi="Arial"/>
          <w:sz w:val="17"/>
          <w:szCs w:val="17"/>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summarizes the related party fees and expenses incurred by the Company and amounts payable to the Manager for the three and nine months ended September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0"/>
              </w:rPr>
              <w:t>For the three months ended</w:t>
            </w:r>
          </w:p>
        </w:tc>
        <w:tc>
          <w:tcPr>
            <w:tcW w:w="12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42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Affiliate Payments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earned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1,055,421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1,020,949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3,137,033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3,041,359</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Less: Outside Fees earned</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(192,751)</w:t>
            </w:r>
          </w:p>
        </w:tc>
        <w:tc>
          <w:tcPr>
            <w:tcW w:w="120" w:type="dxa"/>
            <w:vAlign w:val="bottom"/>
          </w:tcPr>
          <w:p>
            <w:pPr>
              <w:spacing w:after="0"/>
              <w:rPr>
                <w:sz w:val="20"/>
                <w:szCs w:val="20"/>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(130,000)</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(1,275,001)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Base management fees, net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1,055,421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7"/>
              </w:rPr>
              <w:t>3,007,033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Incentive fees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545,966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519,223</w:t>
            </w:r>
          </w:p>
        </w:tc>
        <w:tc>
          <w:tcPr>
            <w:tcW w:w="120" w:type="dxa"/>
            <w:vAlign w:val="bottom"/>
          </w:tcPr>
          <w:p>
            <w:pPr>
              <w:spacing w:after="0"/>
              <w:rPr>
                <w:sz w:val="20"/>
                <w:szCs w:val="20"/>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2,532,026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1,500,129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management and incentive fees earned</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1,601,387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7"/>
              </w:rPr>
              <w:t>5,539,059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3,266,487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 reimbursable to Manager</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1,144,907</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980,949</w:t>
            </w:r>
          </w:p>
        </w:tc>
        <w:tc>
          <w:tcPr>
            <w:tcW w:w="12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3,533,493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2,132,419</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2,746,294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2,328,370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9,072,552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5,398,906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General administrative expenses reimbursable to the Manager are included in the related party payable line item of the consolidated balance sheets as of September 30, 2023 and December 31, 2022. Total amounts payable to the Manager as of September 30, 2023 and December 31, 2022 were approximately $3.3 million and $4.7 million, respectively, which included bonuses accrued of $0.8 million which are not reimbursed to the Manager until paid.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Co-Investment in Loans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September 30, 2023 and December 31, 2022, 20 and 15 of the Company’s loans were co-invested by affiliates of the Company, respectively.</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investments in loans, the Company may receive the option to assign the right (the “Assigned Right”) to acquire warrants and/or equity of the borrower. The Company may sell the Assigned Right, and the sale may be to an affiliate of the Company. The proceeds from the sale of Assigned Rights are accounted for as additional original issue discount and accreted over the life of the related loans. During the nine months ended September 30, 2023, the Company sold an Assigned Right amounting to $237,885. There were no sales of Assigned Rights for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transactions with related parties</w:t>
      </w:r>
    </w:p>
    <w:p>
      <w:pPr>
        <w:spacing w:after="0" w:line="22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On January 24, 2023, the Company purchased a senior secured loan from an affiliate under common control with our Manager. The purchase price of approximately $19.3 million was approved by the audit committee of the Board. The fair value approximated the carrying value of the loan of $19.0 million, plus accrued and unpaid interest through the purchase date of $0.3 million.</w:t>
      </w:r>
    </w:p>
    <w:p>
      <w:pPr>
        <w:spacing w:after="0" w:line="18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On March 31, 2023, the Company sold a senior secured loan to a syndicate of co-lenders, including a third party and two affiliates under common control with our Manager. The total selling price of approximately $14.2 million was approved by the audit committee of the Board. The fair value approximated the carrying value of the loan of $13.4 million plus accrued unpaid interest of $0.8 million through the sale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Loan held for investment – related party</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w:t>
      </w:r>
    </w:p>
    <w:p>
      <w:pPr>
        <w:spacing w:after="0" w:line="188"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highlight w:val="white"/>
        </w:rPr>
        <w:t xml:space="preserve">The </w:t>
      </w:r>
      <w:r>
        <w:rPr>
          <w:rFonts w:ascii="Arial" w:cs="Arial" w:eastAsia="Arial" w:hAnsi="Arial"/>
          <w:sz w:val="17"/>
          <w:szCs w:val="17"/>
          <w:color w:val="auto"/>
        </w:rPr>
        <w:t>Agent subsequently pursued a Uniform Commercial Code (“UCC”) sale of the membership interests of the borrower’s subsidiaries which were</w:t>
      </w:r>
      <w:r>
        <w:rPr>
          <w:rFonts w:ascii="Arial" w:cs="Arial" w:eastAsia="Arial" w:hAnsi="Arial"/>
          <w:sz w:val="17"/>
          <w:szCs w:val="17"/>
          <w:color w:val="auto"/>
          <w:highlight w:val="white"/>
        </w:rPr>
        <w:t xml:space="preserve"> </w:t>
      </w:r>
      <w:r>
        <w:rPr>
          <w:rFonts w:ascii="Arial" w:cs="Arial" w:eastAsia="Arial" w:hAnsi="Arial"/>
          <w:sz w:val="17"/>
          <w:szCs w:val="17"/>
          <w:color w:val="auto"/>
        </w:rPr>
        <w:t>pledged as collateral. On August 10, 2023, the Agent was the highest bidder in a public auction of the membership interests and took ownership of the membership interests. The Agent intends to sell the assets in satisfaction of the loan for the benefit of the lenders.</w:t>
      </w:r>
    </w:p>
    <w:p>
      <w:pPr>
        <w:spacing w:after="0" w:line="16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described in Note 3, Loan #9 remains on non-accrual status and the Company will continue to cease further recognition of income until such events of default are cured or obligations are repaid. As of September 30, 2023, Loan #9 is held on the consolidated balance sheet as a loan held for investment – related party with a carrying value of approximately $16.3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September 30, 2023 and December 31, 2022, the Company had the following unfunded commitments on existing loans.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original loan commitments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355,941,661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351,367,706</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Arial" w:cs="Arial" w:eastAsia="Arial" w:hAnsi="Arial"/>
                <w:sz w:val="18"/>
                <w:szCs w:val="18"/>
                <w:color w:val="auto"/>
              </w:rPr>
              <w:t>Less: drawn commitments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(344,737,661)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(336,323,706)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undrawn commitments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11,204,000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15,044,000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Refer to “Note 3 - Loans Held for Investment, Net” for further information regarding the CECL Reserve attributed to unfunded commitments. Total original loan commitments includes the impact of principal payments received since origination of the loan and future amounts to be advanced at sole discretion of the lender.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material commitments as of September 30, 2023: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87"/>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2024</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2026</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Thereafter</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Undrawn commitment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11,204,000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80" w:type="dxa"/>
            <w:vAlign w:val="bottom"/>
          </w:tcPr>
          <w:p>
            <w:pPr>
              <w:spacing w:after="0"/>
              <w:rPr>
                <w:sz w:val="20"/>
                <w:szCs w:val="20"/>
                <w:color w:val="auto"/>
              </w:rPr>
            </w:pPr>
            <w:r>
              <w:rPr>
                <w:rFonts w:ascii="Arial" w:cs="Arial" w:eastAsia="Arial" w:hAnsi="Arial"/>
                <w:sz w:val="18"/>
                <w:szCs w:val="18"/>
                <w:color w:val="auto"/>
              </w:rPr>
              <w:t>Revolving loan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63,000,000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63,000,000</w:t>
            </w:r>
          </w:p>
        </w:tc>
        <w:tc>
          <w:tcPr>
            <w:tcW w:w="0" w:type="dxa"/>
            <w:vAlign w:val="bottom"/>
          </w:tcPr>
          <w:p>
            <w:pPr>
              <w:spacing w:after="0"/>
              <w:rPr>
                <w:sz w:val="1"/>
                <w:szCs w:val="1"/>
                <w:color w:val="auto"/>
              </w:rPr>
            </w:pPr>
          </w:p>
        </w:tc>
      </w:tr>
      <w:tr>
        <w:trPr>
          <w:trHeight w:val="27"/>
        </w:trPr>
        <w:tc>
          <w:tcPr>
            <w:tcW w:w="17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vMerge w:val="continue"/>
            <w:shd w:val="clear" w:color="auto" w:fill="CCEEFF"/>
          </w:tcPr>
          <w:p>
            <w:pPr>
              <w:spacing w:after="0"/>
              <w:rPr>
                <w:sz w:val="21"/>
                <w:szCs w:val="21"/>
                <w:color w:val="auto"/>
              </w:rPr>
            </w:pPr>
          </w:p>
        </w:tc>
        <w:tc>
          <w:tcPr>
            <w:tcW w:w="106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70,000,000</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74,204,000</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Company from time to time may be a party to litigation in the normal course of business. As of September 30, 2023, the Company is not aware of any legal claims that could materially impact its business, financial condition, or results of operations.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ind w:right="140"/>
        <w:spacing w:after="0" w:line="257" w:lineRule="auto"/>
        <w:rPr>
          <w:sz w:val="20"/>
          <w:szCs w:val="20"/>
          <w:color w:val="auto"/>
        </w:rPr>
      </w:pPr>
      <w:r>
        <w:rPr>
          <w:rFonts w:ascii="Arial" w:cs="Arial" w:eastAsia="Arial" w:hAnsi="Arial"/>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January 5, 2022, the underwriters of the Company’s initial public offering (the “IPO”)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On February 15, 2023, the Company completed a registered direct offering of 395,779 shares of common stock at a price of $15.16 per share, raising net proceeds of approximately $6.0 million. The Company sold shares of common stock directly, without the use of underwriters or placement agents, to institutional investors registered pursuant to its effective shelf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has established an equity incentive compensation plan (the “2021 Plan”). The Board authorized the adoption of the 2021 Plan and the Compensation Committee of the Board approved restricted stock award grants of 98,440 shares of common stock during the quarter ended December 31, 2021. The Compensation Committee appointed by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2023 and December 31, 2022,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spacing w:after="0" w:line="188"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December 31, 2022, restricted stock award grants of 24,880 shares of common stock were granted to members of the Board. Pursuant to each respective award agreement, the restricted stock awards (“RSA’s”) vest annually in equal installments over a three-year period beginning on the first anniversary of the date of the grant. Upon vesting, the vested restricted stock awards are exchanged for an equal number of the Company’s common stock.</w:t>
      </w:r>
    </w:p>
    <w:p>
      <w:pPr>
        <w:spacing w:after="0" w:line="14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For the period from January 1, 2023 to September 30, 2023, restricted stock award grants of 323,452 were granted to employees of our Manager, respectively. Pursuant to the respective award agreements, the RSA’s vest annually in equal installments over a three-year period beginning on the first anniversary of the date of the grant. Upon vesting, the vested restricted stock awards are exchanged for an equal number of the Company’s common stock.</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ind w:right="140"/>
        <w:spacing w:after="0" w:line="277" w:lineRule="auto"/>
        <w:rPr>
          <w:sz w:val="20"/>
          <w:szCs w:val="20"/>
          <w:color w:val="auto"/>
        </w:rPr>
      </w:pPr>
      <w:r>
        <w:rPr>
          <w:rFonts w:ascii="Arial" w:cs="Arial" w:eastAsia="Arial" w:hAnsi="Arial"/>
          <w:sz w:val="18"/>
          <w:szCs w:val="18"/>
          <w:color w:val="auto"/>
        </w:rPr>
        <w:t>There were 1,147 and 13,438 shares forfeited during the nine months ended September 30, 2023 and 2022, respectively. As individual awards and options become fully vested, stock-based compensation expense is adjusted to recognize actual forfeitures.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Based on the closing market price of our common stock on September 30, 2023, the aggregate intrinsic value of our restricted stock awards was as follows:</w:t>
      </w:r>
    </w:p>
    <w:p>
      <w:pPr>
        <w:spacing w:after="0" w:line="244"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As of September 30,</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8760"/>
        <w:spacing w:after="0"/>
        <w:tabs>
          <w:tab w:leader="none" w:pos="10300" w:val="left"/>
        </w:tabs>
        <w:rPr>
          <w:sz w:val="20"/>
          <w:szCs w:val="20"/>
          <w:color w:val="auto"/>
        </w:rPr>
      </w:pPr>
      <w:r>
        <w:rPr>
          <w:rFonts w:ascii="Arial" w:cs="Arial" w:eastAsia="Arial" w:hAnsi="Arial"/>
          <w:sz w:val="18"/>
          <w:szCs w:val="18"/>
          <w:b w:val="1"/>
          <w:bCs w:val="1"/>
          <w:color w:val="auto"/>
        </w:rPr>
        <w:t>Outstanding</w:t>
      </w:r>
      <w:r>
        <w:rPr>
          <w:sz w:val="20"/>
          <w:szCs w:val="20"/>
          <w:color w:val="auto"/>
        </w:rPr>
        <w:tab/>
      </w:r>
      <w:r>
        <w:rPr>
          <w:rFonts w:ascii="Arial" w:cs="Arial" w:eastAsia="Arial" w:hAnsi="Arial"/>
          <w:sz w:val="18"/>
          <w:szCs w:val="18"/>
          <w:b w:val="1"/>
          <w:bCs w:val="1"/>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tabs>
          <w:tab w:leader="none" w:pos="8660" w:val="left"/>
          <w:tab w:leader="none" w:pos="9060" w:val="left"/>
          <w:tab w:leader="none" w:pos="10000" w:val="left"/>
          <w:tab w:leader="none" w:pos="10520" w:val="left"/>
        </w:tabs>
        <w:rPr>
          <w:sz w:val="20"/>
          <w:szCs w:val="20"/>
          <w:color w:val="auto"/>
        </w:rPr>
      </w:pPr>
      <w:r>
        <w:rPr>
          <w:rFonts w:ascii="Arial" w:cs="Arial" w:eastAsia="Arial" w:hAnsi="Arial"/>
          <w:sz w:val="18"/>
          <w:szCs w:val="18"/>
          <w:b w:val="1"/>
          <w:bCs w:val="1"/>
          <w:color w:val="auto"/>
        </w:rPr>
        <w:t>Aggregate intrinsic value</w:t>
      </w:r>
      <w:r>
        <w:rPr>
          <w:sz w:val="20"/>
          <w:szCs w:val="20"/>
          <w:color w:val="auto"/>
        </w:rPr>
        <w:tab/>
      </w:r>
      <w:r>
        <w:rPr>
          <w:rFonts w:ascii="Arial" w:cs="Arial" w:eastAsia="Arial" w:hAnsi="Arial"/>
          <w:sz w:val="34"/>
          <w:szCs w:val="34"/>
          <w:color w:val="auto"/>
          <w:vertAlign w:val="subscript"/>
        </w:rPr>
        <w:t>$</w:t>
      </w:r>
      <w:r>
        <w:rPr>
          <w:rFonts w:ascii="Arial" w:cs="Arial" w:eastAsia="Arial" w:hAnsi="Arial"/>
          <w:sz w:val="34"/>
          <w:szCs w:val="34"/>
          <w:color w:val="auto"/>
        </w:rPr>
        <w:tab/>
      </w:r>
      <w:r>
        <w:rPr>
          <w:rFonts w:ascii="Arial" w:cs="Arial" w:eastAsia="Arial" w:hAnsi="Arial"/>
          <w:sz w:val="34"/>
          <w:szCs w:val="34"/>
          <w:color w:val="auto"/>
          <w:vertAlign w:val="subscript"/>
        </w:rPr>
        <w:t>5,632,476</w:t>
      </w:r>
      <w:r>
        <w:rPr>
          <w:rFonts w:ascii="Arial" w:cs="Arial" w:eastAsia="Arial" w:hAnsi="Arial"/>
          <w:sz w:val="34"/>
          <w:szCs w:val="34"/>
          <w:color w:val="auto"/>
        </w:rPr>
        <w:tab/>
      </w:r>
      <w:r>
        <w:rPr>
          <w:rFonts w:ascii="Arial" w:cs="Arial" w:eastAsia="Arial" w:hAnsi="Arial"/>
          <w:sz w:val="34"/>
          <w:szCs w:val="34"/>
          <w:color w:val="auto"/>
          <w:vertAlign w:val="subscript"/>
        </w:rPr>
        <w:t>$</w:t>
      </w:r>
      <w:r>
        <w:rPr>
          <w:sz w:val="20"/>
          <w:szCs w:val="20"/>
          <w:color w:val="auto"/>
        </w:rPr>
        <w:tab/>
      </w:r>
      <w:r>
        <w:rPr>
          <w:rFonts w:ascii="Arial" w:cs="Arial" w:eastAsia="Arial" w:hAnsi="Arial"/>
          <w:sz w:val="24"/>
          <w:szCs w:val="24"/>
          <w:color w:val="auto"/>
          <w:vertAlign w:val="subscript"/>
        </w:rPr>
        <w:t>705,956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26035</wp:posOffset>
            </wp:positionV>
            <wp:extent cx="156019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4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summarizes the restricted stock activity for the Company’s directors and officers and employees of the Manager during the nine months ended September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Nine months</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Grant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Fair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 Share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323,452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2023</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382,641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81" w:right="339" w:bottom="1440" w:gutter="0" w:footer="0" w:header="0"/>
        </w:sectPr>
      </w:pPr>
    </w:p>
    <w:p>
      <w:pPr>
        <w:jc w:val="center"/>
        <w:ind w:left="870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left="864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Arial" w:cs="Arial" w:eastAsia="Arial" w:hAnsi="Arial"/>
          <w:sz w:val="18"/>
          <w:szCs w:val="18"/>
          <w:b w:val="1"/>
          <w:bCs w:val="1"/>
          <w:color w:val="auto"/>
        </w:rPr>
        <w:t>Grant</w:t>
      </w:r>
    </w:p>
    <w:p>
      <w:pPr>
        <w:spacing w:after="0" w:line="27" w:lineRule="exact"/>
        <w:rPr>
          <w:sz w:val="20"/>
          <w:szCs w:val="20"/>
          <w:color w:val="auto"/>
        </w:rPr>
      </w:pPr>
    </w:p>
    <w:p>
      <w:pPr>
        <w:jc w:val="center"/>
        <w:ind w:right="320"/>
        <w:spacing w:after="0"/>
        <w:rPr>
          <w:sz w:val="20"/>
          <w:szCs w:val="20"/>
          <w:color w:val="auto"/>
        </w:rPr>
      </w:pPr>
      <w:r>
        <w:rPr>
          <w:rFonts w:ascii="Arial" w:cs="Arial" w:eastAsia="Arial" w:hAnsi="Arial"/>
          <w:sz w:val="17"/>
          <w:szCs w:val="17"/>
          <w:b w:val="1"/>
          <w:bCs w:val="1"/>
          <w:color w:val="auto"/>
        </w:rPr>
        <w:t>Date Fair</w:t>
      </w:r>
    </w:p>
    <w:p>
      <w:pPr>
        <w:spacing w:after="0" w:line="21" w:lineRule="exact"/>
        <w:rPr>
          <w:sz w:val="20"/>
          <w:szCs w:val="20"/>
          <w:color w:val="auto"/>
        </w:rPr>
      </w:pPr>
    </w:p>
    <w:p>
      <w:pPr>
        <w:ind w:left="20" w:right="280" w:firstLine="136"/>
        <w:spacing w:after="0" w:line="294" w:lineRule="auto"/>
        <w:rPr>
          <w:sz w:val="20"/>
          <w:szCs w:val="20"/>
          <w:color w:val="auto"/>
        </w:rPr>
      </w:pPr>
      <w:r>
        <w:rPr>
          <w:rFonts w:ascii="Arial" w:cs="Arial" w:eastAsia="Arial" w:hAnsi="Arial"/>
          <w:sz w:val="16"/>
          <w:szCs w:val="16"/>
          <w:b w:val="1"/>
          <w:bCs w:val="1"/>
          <w:color w:val="auto"/>
        </w:rPr>
        <w:t>Value per Share</w:t>
      </w:r>
    </w:p>
    <w:p>
      <w:pPr>
        <w:spacing w:after="0" w:line="1" w:lineRule="exact"/>
        <w:rPr>
          <w:sz w:val="20"/>
          <w:szCs w:val="20"/>
          <w:color w:val="auto"/>
        </w:rPr>
      </w:pPr>
    </w:p>
    <w:p>
      <w:pPr>
        <w:sectPr>
          <w:pgSz w:w="11900" w:h="16838" w:orient="portrait"/>
          <w:cols w:equalWidth="0" w:num="2">
            <w:col w:w="9800" w:space="380"/>
            <w:col w:w="106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2021</w:t>
            </w:r>
          </w:p>
        </w:tc>
        <w:tc>
          <w:tcPr>
            <w:tcW w:w="13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98,440</w:t>
            </w:r>
          </w:p>
        </w:tc>
        <w:tc>
          <w:tcPr>
            <w:tcW w:w="40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Unvested Balance at September 30, 2022</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85,002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Restricted stock compensation expense is based on the Company’s stock price at the date of the grant and is amortized over the vesting period. Forfeitures are recognized as they occur. The share-based compensation expense for the Company was $942,605 and $328,356 for the nine months ended September 30, 2023 and 2022, respectively. The unamortized share-based compensation expense for the Company was approximately $5,067,401 and $1,078,216 as of September 30, 2023 and 2022, respectively, which the Company expects to recognize over the remaining weighted-average term of 2.5 years.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At-the-Market Offering Program (“ATM” Program”)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20, 2023, the Company entered into an At-the-Market Sales Agreement (the “Sales Agreement”) with BTIG, LLC, Compass Point Research &amp; Trading, LLC and Oppenheimer &amp; Co. Inc. (each a “Sales Agent” and together the “Sales Agents”) under which the Company may, from time to time, offer and sell shares of common stock, having an aggregate offering price of up to $75.0 million. Under the terms of the Sales Agreement, the Company has agreed to pay the Sales Agents a commission of up to 3.0%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quarter ended June 30, 2023, the Company sold an aggregate of 79,862 shares of the Company’s common stock under the Sales Agreement at an average price of $15.78 per share, generating net proceeds of approximately $1.2 million. During the quarter ended September 30, 2023, the Company did not sell shares of its common stock under the Sales Agreement.</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September 30, 2023, the shares of common stock sold pursuant to the registered direct offering in February 2023 and under the ATM Program are the only offerings that have been initiated under the Shelf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information sets forth the computations of basic earnings per common share for the three and nine months ended September 30, 2023 and 2022,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For the three</w:t>
            </w:r>
          </w:p>
        </w:tc>
        <w:tc>
          <w:tcPr>
            <w:tcW w:w="20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For the nine</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6"/>
              </w:rPr>
              <w:t>months ended</w:t>
            </w:r>
          </w:p>
        </w:tc>
        <w:tc>
          <w:tcPr>
            <w:tcW w:w="200" w:type="dxa"/>
            <w:vAlign w:val="bottom"/>
          </w:tcPr>
          <w:p>
            <w:pPr>
              <w:spacing w:after="0"/>
              <w:rPr>
                <w:sz w:val="18"/>
                <w:szCs w:val="18"/>
                <w:color w:val="auto"/>
              </w:rPr>
            </w:pPr>
          </w:p>
        </w:tc>
        <w:tc>
          <w:tcPr>
            <w:tcW w:w="23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months ended</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3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36"/>
        </w:trPr>
        <w:tc>
          <w:tcPr>
            <w:tcW w:w="59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9,976,998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9,768,969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29,312,725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25,036,760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Divided by: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of common stock outstanding</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18,175,467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17,657,913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18,052,293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17,652,367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 weighted average shares of common stock outstanding</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18,562,930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17,752,290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18,269,171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17,747,612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0.55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w:t>
            </w:r>
          </w:p>
        </w:tc>
      </w:t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0.54</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w:t>
            </w:r>
          </w:p>
        </w:tc>
      </w:tr>
    </w:tbl>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were no anti-dilutive shares excluded from the computations of earnings per common share for the three and nine months ended September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and nine months ended September 30, 2023, we did not incur excise tax expense. The income tax provision for the Company was $0 for the three and nine months ended September 30, 2023.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As of September 30, 2023 and December 31, 2022, the Company does not have any unrecognized tax benefits.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6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complies with the disclosure requirements in FASB ASC Topic 820-10, Fair Value Measurement (“ASC 820-10”), which expands the application of fair value accounting. ASC 820-10 defines fair value, establishes a framework for measuring fair value in accordance with GAAP and expands disclosure requirements for fair value measurements. ASC 820-10 determines fair value to be the price that would be received to sell an asset or paid to transfer a liability in an orderly transaction between market participants on the measurement date. ASC 820-10 specifies a hierarchy of valuation techniques based on the inputs used in measuring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820-10, the inputs used to measure fair value are summarized in the three broad levels listed below:</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5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2—Prices are determined using other significant observable inputs. Observable inputs are inputs that other market participants would use in pricing a security. These may include quoted prices for similar securities, interest rates, prepayment speeds, credit risk and others.</w:t>
      </w:r>
    </w:p>
    <w:p>
      <w:pPr>
        <w:spacing w:after="0" w:line="78" w:lineRule="exact"/>
        <w:rPr>
          <w:rFonts w:ascii="Arial" w:cs="Arial" w:eastAsia="Arial" w:hAnsi="Arial"/>
          <w:sz w:val="17"/>
          <w:szCs w:val="17"/>
          <w:color w:val="auto"/>
        </w:rPr>
      </w:pPr>
    </w:p>
    <w:p>
      <w:pPr>
        <w:ind w:left="660" w:right="14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Level 3—Prices are determined using significant unobservable inputs. In situations where quoted prices or observable inputs are unavailable (for example, when there is little or no market activity for an investment at the end of the period), unobservable inputs may be used.</w:t>
      </w:r>
    </w:p>
    <w:p>
      <w:pPr>
        <w:spacing w:after="0" w:line="5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financial assets and liabilities measured at fair value on a recurring basis as of September 30,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0"/>
              </w:rPr>
              <w:t>As of September 30, 2023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9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at fair value</w:t>
            </w: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3,469,340</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3,469,340</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financial assets and liabilities measured at fair value on a recurring basis as of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of September 30, 2023 and December 31, 2022, the carrying values and fair values of the Company’s financial assets and liabilities recorded at amortized cost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3960" w:type="dxa"/>
            <w:vAlign w:val="bottom"/>
            <w:gridSpan w:val="8"/>
          </w:tcPr>
          <w:p>
            <w:pPr>
              <w:jc w:val="right"/>
              <w:ind w:right="1120"/>
              <w:spacing w:after="0"/>
              <w:rPr>
                <w:sz w:val="20"/>
                <w:szCs w:val="20"/>
                <w:color w:val="auto"/>
              </w:rPr>
            </w:pPr>
            <w:r>
              <w:rPr>
                <w:rFonts w:ascii="Arial" w:cs="Arial" w:eastAsia="Arial" w:hAnsi="Arial"/>
                <w:sz w:val="18"/>
                <w:szCs w:val="18"/>
                <w:b w:val="1"/>
                <w:bCs w:val="1"/>
                <w:color w:val="auto"/>
              </w:rPr>
              <w:t>As of September 30, 2023</w:t>
            </w:r>
          </w:p>
        </w:tc>
        <w:tc>
          <w:tcPr>
            <w:tcW w:w="140" w:type="dxa"/>
            <w:vAlign w:val="bottom"/>
          </w:tcPr>
          <w:p>
            <w:pPr>
              <w:spacing w:after="0"/>
              <w:rPr>
                <w:sz w:val="20"/>
                <w:szCs w:val="20"/>
                <w:color w:val="auto"/>
              </w:rPr>
            </w:pPr>
          </w:p>
        </w:tc>
        <w:tc>
          <w:tcPr>
            <w:tcW w:w="2400" w:type="dxa"/>
            <w:vAlign w:val="bottom"/>
            <w:gridSpan w:val="5"/>
          </w:tcPr>
          <w:p>
            <w:pPr>
              <w:ind w:left="140"/>
              <w:spacing w:after="0"/>
              <w:rPr>
                <w:sz w:val="20"/>
                <w:szCs w:val="20"/>
                <w:color w:val="auto"/>
              </w:rPr>
            </w:pPr>
            <w:r>
              <w:rPr>
                <w:rFonts w:ascii="Arial" w:cs="Arial" w:eastAsia="Arial" w:hAnsi="Arial"/>
                <w:sz w:val="18"/>
                <w:szCs w:val="18"/>
                <w:b w:val="1"/>
                <w:bCs w:val="1"/>
                <w:color w:val="auto"/>
              </w:rPr>
              <w:t>As of December 31, 2022</w:t>
            </w:r>
          </w:p>
        </w:tc>
      </w:tr>
      <w:tr>
        <w:trPr>
          <w:trHeight w:val="198"/>
        </w:trPr>
        <w:tc>
          <w:tcPr>
            <w:tcW w:w="4740" w:type="dxa"/>
            <w:vAlign w:val="bottom"/>
          </w:tcPr>
          <w:p>
            <w:pPr>
              <w:spacing w:after="0"/>
              <w:rPr>
                <w:sz w:val="17"/>
                <w:szCs w:val="17"/>
                <w:color w:val="auto"/>
              </w:rPr>
            </w:pPr>
          </w:p>
        </w:tc>
        <w:tc>
          <w:tcPr>
            <w:tcW w:w="1260" w:type="dxa"/>
            <w:vAlign w:val="bottom"/>
            <w:tcBorders>
              <w:top w:val="single" w:sz="8" w:color="auto"/>
            </w:tcBorders>
            <w:gridSpan w:val="2"/>
          </w:tcPr>
          <w:p>
            <w:pPr>
              <w:ind w:left="180"/>
              <w:spacing w:after="0" w:line="198" w:lineRule="exact"/>
              <w:rPr>
                <w:sz w:val="20"/>
                <w:szCs w:val="20"/>
                <w:color w:val="auto"/>
              </w:rPr>
            </w:pPr>
            <w:r>
              <w:rPr>
                <w:rFonts w:ascii="Arial" w:cs="Arial" w:eastAsia="Arial" w:hAnsi="Arial"/>
                <w:sz w:val="18"/>
                <w:szCs w:val="18"/>
                <w:b w:val="1"/>
                <w:bCs w:val="1"/>
                <w:color w:val="auto"/>
              </w:rPr>
              <w:t>Level in</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Hierarchy</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Financial assets:</w:t>
            </w: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338,792,489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334,835,555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339,273,538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329,237,824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8,702,157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8,702,157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5,715,827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5,715,827</w:t>
            </w:r>
          </w:p>
        </w:tc>
      </w:tr>
      <w:tr>
        <w:trPr>
          <w:trHeight w:val="216"/>
        </w:trPr>
        <w:tc>
          <w:tcPr>
            <w:tcW w:w="4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receivable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2,226,902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2,226,902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1,204,412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1,204,412</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receivables and assets,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946,077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946,077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1,018,212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1,018,212</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3,284,900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3,284,900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Revolving loan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63,000,000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62,483,739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58,000,000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57,194,404</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liabilities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1,187,591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1,187,591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1,058,128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1,058,128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reserve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498,264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498,264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1,868,193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1,868,193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1,601,387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1,601,387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3,295,600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3,295,600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Related party payables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1,668,783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1,668,783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1,397,515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1,397,515</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8,568,252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8,568,252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13,618,591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13,618,591</w:t>
            </w:r>
          </w:p>
        </w:tc>
      </w:tr>
    </w:tbl>
    <w:p>
      <w:pPr>
        <w:spacing w:after="0" w:line="20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loans are held for investment and are substantially secured by real estate, equipment, licenses and other assets of the borrowers to the extent permitted by the applicable laws and the regulations governing such borrowers. The aggregate fair value of the Company’s loan portfolio was $334,835,555 and $329,237,824, with gross unrecognized holding (losses)/gains of $3,956,935 and $10,035,714 as of September 30, 2023 and December 31, 2022,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227"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Arial" w:cs="Arial" w:eastAsia="Arial" w:hAnsi="Arial"/>
                <w:sz w:val="18"/>
                <w:szCs w:val="18"/>
                <w:b w:val="1"/>
                <w:bCs w:val="1"/>
                <w:color w:val="auto"/>
              </w:rPr>
              <w:t>13. DIVIDENDS AND DISTRIBUTIONS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680" w:type="dxa"/>
            <w:vAlign w:val="bottom"/>
            <w:gridSpan w:val="12"/>
          </w:tcPr>
          <w:p>
            <w:pPr>
              <w:spacing w:after="0"/>
              <w:rPr>
                <w:sz w:val="20"/>
                <w:szCs w:val="20"/>
                <w:color w:val="auto"/>
              </w:rPr>
            </w:pPr>
            <w:r>
              <w:rPr>
                <w:rFonts w:ascii="Arial" w:cs="Arial" w:eastAsia="Arial" w:hAnsi="Arial"/>
                <w:sz w:val="18"/>
                <w:szCs w:val="18"/>
                <w:color w:val="auto"/>
                <w:w w:val="93"/>
              </w:rPr>
              <w:t>The following table summarizes the Company’s dividends declared during the nine months ended September 30, 2023 and 2022.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Taxable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Section</w:t>
            </w:r>
          </w:p>
        </w:tc>
      </w:tr>
      <w:tr>
        <w:trPr>
          <w:trHeight w:val="216"/>
        </w:trPr>
        <w:tc>
          <w:tcPr>
            <w:tcW w:w="328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Record</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Payment</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Ordinary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Return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199A</w:t>
            </w:r>
          </w:p>
        </w:tc>
      </w:tr>
      <w:tr>
        <w:trPr>
          <w:trHeight w:val="241"/>
        </w:trPr>
        <w:tc>
          <w:tcPr>
            <w:tcW w:w="328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Dividends</w:t>
            </w:r>
          </w:p>
        </w:tc>
      </w:tr>
      <w:tr>
        <w:trPr>
          <w:trHeight w:val="249"/>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4/14/2023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6/30/2023</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7/14/2023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9/29/2023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10/13/2023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1.41</w:t>
            </w:r>
          </w:p>
        </w:tc>
        <w:tc>
          <w:tcPr>
            <w:tcW w:w="8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4"/>
        </w:trPr>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Taxable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Section</w:t>
            </w:r>
          </w:p>
        </w:tc>
      </w:tr>
      <w:tr>
        <w:trPr>
          <w:trHeight w:val="216"/>
        </w:trPr>
        <w:tc>
          <w:tcPr>
            <w:tcW w:w="32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Payment</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2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Ordinary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Return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199A</w:t>
            </w:r>
          </w:p>
        </w:tc>
      </w:tr>
      <w:tr>
        <w:trPr>
          <w:trHeight w:val="241"/>
        </w:trPr>
        <w:tc>
          <w:tcPr>
            <w:tcW w:w="328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Income</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Dividends</w:t>
            </w:r>
          </w:p>
        </w:tc>
      </w:tr>
      <w:tr>
        <w:trPr>
          <w:trHeight w:val="249"/>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4/14/2022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6/30/2022</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7/15/2022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9/30/2022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10/14/2022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Activity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period from October 1, 2023 through November 8, 2023, the Company funded approximately $11.7 million of principal of which $10.6 million and $1.1 million were funded to existing borrowers and new borrowers,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Loan</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During the period from October 1, 2023, through November 8, 2023, the Company borrowed $11.0 million on the Revolving Loan. As of November 8, 2023, outstanding borrowings and remaining availability on the Revolving Loan were $74.0 million and $26.0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Dividend</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October 13, 2023, the Company paid its regular quarterly dividend of $0.47 per common share relating to the third quarter of 2023 to stockholders of record as of the close of business on September 29, 2023. The total amount of the cash dividend payment was approximately $8.5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8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 and projected operating results;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Manager to locate suitable loan opportunities for us, monitor and actively manage our loan portfolio, and implement our investment strategy;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allocation of loan opportunities to us by our Manager;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inflation on our operating results;</w:t>
      </w:r>
    </w:p>
    <w:p>
      <w:pPr>
        <w:spacing w:after="0" w:line="225" w:lineRule="exact"/>
        <w:rPr>
          <w:rFonts w:ascii="Arial" w:cs="Arial" w:eastAsia="Arial" w:hAnsi="Arial"/>
          <w:sz w:val="18"/>
          <w:szCs w:val="18"/>
          <w:color w:val="auto"/>
        </w:rPr>
      </w:pPr>
    </w:p>
    <w:p>
      <w:pPr>
        <w:ind w:left="980" w:right="42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estimated growth in and evolving market dynamics of the cannabis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cannabis cultivation and processing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shifts in public opinion regarding cannabis;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state of the U.S. economy generally or in specific geographic regions;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trends and economic recoveries;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our cash flows, if any, from our loans;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financing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expected leverage;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value of our loans;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expected investment and underwriting process;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rates of default or decreased recovery rates on our loans;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degree to which any interest rate or other hedging strategies may or may not protect us from interest rate volatility;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interest rates and impacts of such changes on our results of operations, cash flows, and the market value of our loans;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rate mismatches between our loans and our borrowings used to fund such loans;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8" w:name="page29"/>
    <w:bookmarkEnd w:id="28"/>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departure of any of the executive officers or key personnel supporting and assisting us from our Manager or its affiliates;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impact of and changes in governmental regulations, tax law and rates, accounting guidance, and similar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our exclusion or exemption from registration under the Investment Company Act;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real estate investment trust (“REIT”) for U.S. federal income tax purposes;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estimates relating to our ability to make distributions to our stockholders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understanding of our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trends in our industry, interest rates, real estate values, the securities markets or the general economy;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of the other risks, uncertainties and other factors we identify in our annual report on Form 10-K or this quarterly report on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are a commercial mortgage real estate investment trust.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also invest in companies or properties that are not related to the cannabis industry that provide return characteristics consistent with our investment objective.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9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$50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one to two year maturities are generally interest only loans.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ind w:firstLine="648"/>
        <w:spacing w:after="0" w:line="293" w:lineRule="auto"/>
        <w:rPr>
          <w:sz w:val="20"/>
          <w:szCs w:val="20"/>
          <w:color w:val="auto"/>
        </w:rPr>
      </w:pPr>
      <w:r>
        <w:rPr>
          <w:rFonts w:ascii="Arial" w:cs="Arial" w:eastAsia="Arial" w:hAnsi="Arial"/>
          <w:sz w:val="16"/>
          <w:szCs w:val="16"/>
          <w:color w:val="auto"/>
        </w:rPr>
        <w:t>Our loans are secured by real estate and, in addition, when lending to owner-operators in the cannabis industry, other collateral, such as equipment, receivables, licenses or other assets of the borrowers to the extent permitted by applicable laws and regulations. In addition, we seek to impose strict loan covenants and seek personal or corporate guarantees for additional protection. As of September 30, 2023 and December 31, 2022, 26.3% and 13.6%, respectively, of the principal of loans held in our portfolio are backed by personal or corporate guarantees. We aim to maintain a portfolio diversified across jurisdictions and across verticals, including cultivators, processors, dispensaries, as well as ancillary businesses. In addition, we may invest in borrowers that have equity securities that are publicly traded on the Canadian Stock Exchange (“CSE”) in Canada and/or over-the-counter in the United States.</w:t>
      </w:r>
    </w:p>
    <w:p>
      <w:pPr>
        <w:spacing w:after="0" w:line="16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September 30, 2023, our portfolio is comprised primarily of first mortgages to established multi-state or single-state cannabis operators or property owners. In addition, we own approximately $3.5 million, at fair value, of publicly-traded corporate bonds issued by a cannabis operator. We consider cannabis operators to be established if they are state-licensed and are deemed to be operational 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9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right="200" w:firstLine="648"/>
        <w:spacing w:after="0" w:line="311" w:lineRule="auto"/>
        <w:rPr>
          <w:sz w:val="20"/>
          <w:szCs w:val="20"/>
          <w:color w:val="auto"/>
        </w:rPr>
      </w:pPr>
      <w:r>
        <w:rPr>
          <w:rFonts w:ascii="Arial" w:cs="Arial" w:eastAsia="Arial" w:hAnsi="Arial"/>
          <w:sz w:val="16"/>
          <w:szCs w:val="16"/>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4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generate revenue primarily in the form of interest income on loans. As of September 30, 2023 and December 31, 2022, approximately 81.1% and 83.1%, respectively, of our portfolio was comprised of floating rate loans, and 18.9% and 16.9% of our portfolio was comprised of fixed rate loans, respectively. The floating rate loans described above are variable based upon the Prime Rate plus an applicable margin, and in many cases, a Prime Rate floor.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gridSpan w:val="2"/>
          </w:tcPr>
          <w:p>
            <w:pPr>
              <w:ind w:left="660"/>
              <w:spacing w:after="0"/>
              <w:rPr>
                <w:sz w:val="20"/>
                <w:szCs w:val="20"/>
                <w:color w:val="auto"/>
              </w:rPr>
            </w:pPr>
            <w:r>
              <w:rPr>
                <w:rFonts w:ascii="Arial" w:cs="Arial" w:eastAsia="Arial" w:hAnsi="Arial"/>
                <w:sz w:val="18"/>
                <w:szCs w:val="18"/>
                <w:color w:val="auto"/>
                <w:w w:val="94"/>
              </w:rPr>
              <w:t>The Prime Rate during the nine months ended September 30, 2023 and the year ended December 31, 2022 was as follows: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80"/>
        </w:trPr>
        <w:tc>
          <w:tcPr>
            <w:tcW w:w="9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Effective Date</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Rate</w:t>
            </w:r>
            <w:r>
              <w:rPr>
                <w:rFonts w:ascii="Arial" w:cs="Arial" w:eastAsia="Arial" w:hAnsi="Arial"/>
                <w:sz w:val="29"/>
                <w:szCs w:val="29"/>
                <w:b w:val="1"/>
                <w:bCs w:val="1"/>
                <w:color w:val="auto"/>
                <w:vertAlign w:val="superscript"/>
              </w:rPr>
              <w:t>(1)</w:t>
            </w:r>
          </w:p>
        </w:tc>
        <w:tc>
          <w:tcPr>
            <w:tcW w:w="160" w:type="dxa"/>
            <w:vAlign w:val="bottom"/>
            <w:tcBorders>
              <w:bottom w:val="single" w:sz="8" w:color="CCEEFF"/>
            </w:tcBorders>
          </w:tcPr>
          <w:p>
            <w:pPr>
              <w:spacing w:after="0"/>
              <w:rPr>
                <w:sz w:val="24"/>
                <w:szCs w:val="24"/>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July 27, 2023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May 4, 2023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23, 2023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February 2, 2023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15, 2022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November 3, 2022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July 28, 2022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16, 2022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r>
      <w:tr>
        <w:trPr>
          <w:trHeight w:val="216"/>
        </w:trPr>
        <w:tc>
          <w:tcPr>
            <w:tcW w:w="9980" w:type="dxa"/>
            <w:vAlign w:val="bottom"/>
            <w:gridSpan w:val="2"/>
          </w:tcPr>
          <w:p>
            <w:pPr>
              <w:spacing w:after="0"/>
              <w:rPr>
                <w:sz w:val="20"/>
                <w:szCs w:val="20"/>
                <w:color w:val="auto"/>
              </w:rPr>
            </w:pPr>
            <w:r>
              <w:rPr>
                <w:rFonts w:ascii="Arial" w:cs="Arial" w:eastAsia="Arial" w:hAnsi="Arial"/>
                <w:sz w:val="18"/>
                <w:szCs w:val="18"/>
                <w:color w:val="auto"/>
              </w:rPr>
              <w:t>May 5, 2022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17, 2022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rPr>
              <w:t>March 15, 2020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r>
    </w:tbl>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w:t>
        <w:tab/>
        <w:t>Rate obtained from the Wall Street Journal’s “Bonds, Rates &amp; Yields” table.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ind w:firstLine="648"/>
        <w:spacing w:after="0" w:line="253" w:lineRule="auto"/>
        <w:rPr>
          <w:sz w:val="20"/>
          <w:szCs w:val="20"/>
          <w:color w:val="auto"/>
        </w:rPr>
      </w:pPr>
      <w:r>
        <w:rPr>
          <w:rFonts w:ascii="Arial" w:cs="Arial" w:eastAsia="Arial" w:hAnsi="Arial"/>
          <w:sz w:val="18"/>
          <w:szCs w:val="18"/>
          <w:color w:val="auto"/>
        </w:rPr>
        <w:t>Interest on our loans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18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organizational and offering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quarterly valuation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loans and valuing loans (including third-party valuation firms);</w:t>
      </w:r>
    </w:p>
    <w:p>
      <w:pPr>
        <w:spacing w:after="0" w:line="225"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fees and expenses associated with investor relations and marketing efforts (including attendance at investment conferences and similar events);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accounting and audit fees and expenses from our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exchange listing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notices;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preparing government filings, including periodic and current reports with the SEC.</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spacing w:after="0" w:line="18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w:t>
      </w:r>
    </w:p>
    <w:p>
      <w:pPr>
        <w:spacing w:after="0" w:line="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and nine months ended September 30, 2023, we did not incur excise tax expense.</w:t>
      </w:r>
    </w:p>
    <w:p>
      <w:pPr>
        <w:spacing w:after="0" w:line="17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September 30, 2023. Based on our evaluation, there is no reserve for any uncertain income tax positions. Accrued interest and penalties, if any, are included within other liabilities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our Operating Results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Interest Rates and Effect on Net Interest Income</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2" w:name="page33"/>
    <w:bookmarkEnd w:id="32"/>
    <w:p>
      <w:pPr>
        <w:ind w:right="120" w:firstLine="648"/>
        <w:spacing w:after="0" w:line="291" w:lineRule="auto"/>
        <w:rPr>
          <w:sz w:val="20"/>
          <w:szCs w:val="20"/>
          <w:color w:val="auto"/>
        </w:rPr>
      </w:pPr>
      <w:r>
        <w:rPr>
          <w:rFonts w:ascii="Arial" w:cs="Arial" w:eastAsia="Arial" w:hAnsi="Arial"/>
          <w:sz w:val="16"/>
          <w:szCs w:val="16"/>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w:t>
      </w:r>
    </w:p>
    <w:p>
      <w:pPr>
        <w:ind w:firstLine="8"/>
        <w:spacing w:after="0" w:line="271" w:lineRule="auto"/>
        <w:tabs>
          <w:tab w:leader="none" w:pos="2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Cap Risk</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9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These factors could lower our net interest income or cause a net loss during periods of rising interest rates, which would harm our financial condition, cash flows and results of operations. As of September 30, 2023, 84% of our floating rate loans, based on principal outstanding have interest rate floors, and one loan is subject to an interest rate cap (Note 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Mismatch Risk</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8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continue to capitalize on these opportunities and growing the size of our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During the Third Quarter of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Updates to Our Loan Portfolio during the Third Quarter of 2023</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Agent subsequently pursued a Uniform Commercial Code (“UCC”)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described in Note 3, Loan #9 remains on non-accrual status and the Company will continue to cease further recognition of income until such events of default are cured or obligations are repaid. As of September 30, 2023, Loan #9 is held on the consolidated balance sheet as a loan held for investment – related party with a carrying value of approximately $16.3 million and a reserve for current expected credit losses of approximately $1.3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Updates to Our Loan Portfolio</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During the period from October 1, 2023 to November 8, 2023, we funded approximately $4.0 million to the borrower of Loan #18 and $5.2 million to the borrower of Loan #27.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Per Share</w:t>
      </w:r>
    </w:p>
    <w:p>
      <w:pPr>
        <w:spacing w:after="0" w:line="225"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During the three months ended September 30, 2023, we declared an ordinary cash dividend of $0.47 per share of our common stock, relating to the third quarter of 2023, which was paid on October 13, 2023 to stockholders of record as of the close of business on September 29, 2023. The total amount of the cash dividend payment was approximately $8.5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payment of this dividend is not indicative of our ability to pay such dividends in the future.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2023 and 2022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89"/>
              </w:rPr>
              <w:t>For the 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500" w:type="dxa"/>
            <w:vAlign w:val="bottom"/>
            <w:gridSpan w:val="3"/>
          </w:tcPr>
          <w:p>
            <w:pPr>
              <w:ind w:left="700"/>
              <w:spacing w:after="0"/>
              <w:rPr>
                <w:sz w:val="20"/>
                <w:szCs w:val="20"/>
                <w:color w:val="auto"/>
              </w:rPr>
            </w:pPr>
            <w:r>
              <w:rPr>
                <w:rFonts w:ascii="Arial" w:cs="Arial" w:eastAsia="Arial" w:hAnsi="Arial"/>
                <w:sz w:val="18"/>
                <w:szCs w:val="18"/>
                <w:b w:val="1"/>
                <w:bCs w:val="1"/>
                <w:color w:val="auto"/>
              </w:rPr>
              <w:t>Variance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15,183,450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13,795,097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1,388,353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(1,449,143)</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(861,348)</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(587,795)</w:t>
            </w: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13,734,307</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12,933,749</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800,558</w:t>
            </w:r>
          </w:p>
        </w:tc>
        <w:tc>
          <w:tcPr>
            <w:tcW w:w="2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Management and incentive fees,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1,601,387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1,347,421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253,966</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1,251,307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1,076,798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174,509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491,107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348,785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142,322</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540,426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84,891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455,535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7"/>
        </w:trPr>
        <w:tc>
          <w:tcPr>
            <w:tcW w:w="5940" w:type="dxa"/>
            <w:vAlign w:val="bottom"/>
          </w:tcPr>
          <w:p>
            <w:pPr>
              <w:ind w:left="180"/>
              <w:spacing w:after="0"/>
              <w:rPr>
                <w:sz w:val="20"/>
                <w:szCs w:val="20"/>
                <w:color w:val="auto"/>
              </w:rPr>
            </w:pPr>
            <w:r>
              <w:rPr>
                <w:rFonts w:ascii="Arial" w:cs="Arial" w:eastAsia="Arial" w:hAnsi="Arial"/>
                <w:sz w:val="18"/>
                <w:szCs w:val="18"/>
                <w:color w:val="auto"/>
              </w:rPr>
              <w:t>(Reversal)/provision for current expected credit losses</w:t>
            </w: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(41,351)</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306,885</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(348,236)</w:t>
            </w:r>
          </w:p>
        </w:tc>
        <w:tc>
          <w:tcPr>
            <w:tcW w:w="3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6"/>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3,164,780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Change in unrealized gain on debt securities, at fair value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85,567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85,567</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before income taxes</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9,976,998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9,768,969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208,029</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9,976,998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9,768,969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208,029</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80" w:right="400" w:hanging="324"/>
        <w:spacing w:after="0" w:line="291"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 income increased by approximately $1.4 million, or 10%, during the quarter ended September 30, 2023, compared to the quarter ended September 30, 2022. The increase was driven primarily by an increase in the Prime Rate from 6.25% as of September 30, 2022, to</w:t>
      </w:r>
    </w:p>
    <w:p>
      <w:pPr>
        <w:ind w:left="980" w:right="220"/>
        <w:spacing w:after="0" w:line="255" w:lineRule="auto"/>
        <w:rPr>
          <w:rFonts w:ascii="Arial" w:cs="Arial" w:eastAsia="Arial" w:hAnsi="Arial"/>
          <w:sz w:val="16"/>
          <w:szCs w:val="16"/>
          <w:color w:val="auto"/>
        </w:rPr>
      </w:pPr>
      <w:r>
        <w:rPr>
          <w:rFonts w:ascii="Arial" w:cs="Arial" w:eastAsia="Arial" w:hAnsi="Arial"/>
          <w:sz w:val="18"/>
          <w:szCs w:val="18"/>
          <w:color w:val="auto"/>
        </w:rPr>
        <w:t>8.50% as of September 30, 2023, impacting approximately 81.1% of the Company’s loans, as of September 30, 2023, which bear a floating rate. Additionally, we recognized approximately $288 thousand of income from fees during the quarter ended September 30, 2023 as compared to $196 thousand for the same period in 2022.</w:t>
      </w:r>
    </w:p>
    <w:p>
      <w:pPr>
        <w:spacing w:after="0" w:line="189" w:lineRule="exact"/>
        <w:rPr>
          <w:rFonts w:ascii="Arial" w:cs="Arial" w:eastAsia="Arial" w:hAnsi="Arial"/>
          <w:sz w:val="16"/>
          <w:szCs w:val="16"/>
          <w:color w:val="auto"/>
        </w:rPr>
      </w:pPr>
    </w:p>
    <w:p>
      <w:pPr>
        <w:jc w:val="both"/>
        <w:ind w:left="980" w:right="60" w:hanging="324"/>
        <w:spacing w:after="0" w:line="27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interest income increased approximately $0.8 million or 6%, over the comparative period. The increase was attributable to the increase in interest income described above, offset by a corresponding increase in interest expense driven by the timing of borrowings and increase in the Prime Rate as noted above given the Revolving Loan bears interest at the Prime Rate plus an Applicable Margin. The outstanding balance on the Revolving Loan was $63.0 million and $53.0 million, as of September 30, 2023 and 2022, respectively.</w:t>
      </w:r>
    </w:p>
    <w:p>
      <w:pPr>
        <w:spacing w:after="0" w:line="171" w:lineRule="exact"/>
        <w:rPr>
          <w:rFonts w:ascii="Arial" w:cs="Arial" w:eastAsia="Arial" w:hAnsi="Arial"/>
          <w:sz w:val="17"/>
          <w:szCs w:val="17"/>
          <w:color w:val="auto"/>
        </w:rPr>
      </w:pPr>
    </w:p>
    <w:p>
      <w:pPr>
        <w:ind w:left="980" w:right="120" w:hanging="324"/>
        <w:spacing w:after="0" w:line="275"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incurred base management and incentive fees payable to our Manager of approximately $1.6 million for the three months ended September 30, 2023, as compared to approximately $1.3 million for the three months ended September 30, 2022. The increase was primarily attributable to greater assets under management, which was offset by fewer origination fee offsets in the three months ended September 30, 2023 of approximately $0, compared to approximately $193 thousand for the three months ended September 30, 2022, as well as an increase in weighted average equity as defined by the Management Agreement for the comparable period.</w:t>
      </w:r>
    </w:p>
    <w:p>
      <w:pPr>
        <w:spacing w:after="0" w:line="176" w:lineRule="exact"/>
        <w:rPr>
          <w:rFonts w:ascii="Arial" w:cs="Arial" w:eastAsia="Arial" w:hAnsi="Arial"/>
          <w:sz w:val="17"/>
          <w:szCs w:val="17"/>
          <w:color w:val="auto"/>
        </w:rPr>
      </w:pPr>
    </w:p>
    <w:p>
      <w:pPr>
        <w:ind w:left="980" w:right="120" w:hanging="324"/>
        <w:spacing w:after="0" w:line="259"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administrative expenses and professional fees increased by approximately $317 thousand for the three months ended September 30, 2023, as compared to the three months ended September 30, 2022. The increase was primarily due to an increase in overhead reimbursements for costs incurred by the Manager on behalf of the Company which were $1.1 million for the three months ended September 30, 2023 compared to $1.0 million for the three months ended September 30, 2022.</w:t>
      </w:r>
    </w:p>
    <w:p>
      <w:pPr>
        <w:spacing w:after="0" w:line="186" w:lineRule="exact"/>
        <w:rPr>
          <w:rFonts w:ascii="Arial" w:cs="Arial" w:eastAsia="Arial" w:hAnsi="Arial"/>
          <w:sz w:val="18"/>
          <w:szCs w:val="18"/>
          <w:color w:val="auto"/>
        </w:rPr>
      </w:pPr>
    </w:p>
    <w:p>
      <w:pPr>
        <w:jc w:val="both"/>
        <w:ind w:left="980" w:right="6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based compensation increased by $0.5 million for the three months ended September 30, 2023, as compared to the three months ended September 30, 2022. The increase over the comparable period was driven by the grant of 323,452 restricted stock awards to employees of our Manager during the nine months ended September 30, 2023.</w:t>
      </w:r>
    </w:p>
    <w:p>
      <w:pPr>
        <w:spacing w:after="0" w:line="183" w:lineRule="exact"/>
        <w:rPr>
          <w:rFonts w:ascii="Arial" w:cs="Arial" w:eastAsia="Arial" w:hAnsi="Arial"/>
          <w:sz w:val="18"/>
          <w:szCs w:val="18"/>
          <w:color w:val="auto"/>
        </w:rPr>
      </w:pPr>
    </w:p>
    <w:p>
      <w:pPr>
        <w:ind w:left="980" w:right="40" w:hanging="324"/>
        <w:spacing w:after="0" w:line="269"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Reversal for current expected credit losses was $41 thousand in the three months ended September 30, 2023 as compared to a provision of $307 thousand in the three months ended September 30, 2022, resulting from changes in risk ratings from September 30, 2022 to September 30, 2023, which are due to both borrower specific credit changes, and quarterly re-evaluations of overall current macroeconomic conditions affecting our borrowers and the industry. Changes in portfolio risk composition, and other loan specific factors such as shorter average remaining loan terms and loan repayments during the three months ended September 30, 2023 also contributed to the reversal in the third quarter of 2023. Additionally, during the three-month period ended September 30, 2023, the Company observed that valuation multiples of publicly traded companies in the industry improved as a result of macro-economic factors. Such factors include but are not limited to; expectations surrounding future interest rate hikes by the Federal Reserve and public announcements about proposed regulatory reform relating to a potential rescheduling of cannabis at the federal level. Management contemplates the impacts of these macro-economic factors during the forecast period when determining enterprise value and ultimately, the CECL reserve. Estimates may change in future periods based on available future macro-economic data and might result in a material change in the Company’s future estimates of expected credit losses for its loan portfolio.</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78" w:gutter="0" w:footer="0" w:header="0"/>
        </w:sectPr>
      </w:pPr>
    </w:p>
    <w:bookmarkStart w:id="35" w:name="page36"/>
    <w:bookmarkEnd w:id="35"/>
    <w:p>
      <w:pPr>
        <w:ind w:left="980" w:right="120"/>
        <w:spacing w:after="0" w:line="285" w:lineRule="auto"/>
        <w:rPr>
          <w:sz w:val="20"/>
          <w:szCs w:val="20"/>
          <w:color w:val="auto"/>
        </w:rPr>
      </w:pPr>
      <w:r>
        <w:rPr>
          <w:rFonts w:ascii="Arial" w:cs="Arial" w:eastAsia="Arial" w:hAnsi="Arial"/>
          <w:sz w:val="16"/>
          <w:szCs w:val="16"/>
          <w:color w:val="auto"/>
        </w:rPr>
        <w:t>The current expected credit loss reserve represents approximately 150 basis points of our aggregate loan commitments held at carrying value of approximately $5.1 million which was bifurcated between (i) the current expected credit loss reserve (contra-asset) related to outstanding balances on loans held at carrying value of approximately $5.1 million and (ii) a liability for unfunded commitments of $0.1 million as of September 30, 2023, as compared to approximately 44 basis points as of September 30, 2022, and was bifurcated between (i) the current expected credit loss reserve (contra-asset) related to outstanding balances on loans held at carrying value of approximately $1.5 million and</w:t>
      </w:r>
    </w:p>
    <w:p>
      <w:pPr>
        <w:spacing w:after="0" w:line="2" w:lineRule="exact"/>
        <w:rPr>
          <w:sz w:val="20"/>
          <w:szCs w:val="20"/>
          <w:color w:val="auto"/>
        </w:rPr>
      </w:pPr>
    </w:p>
    <w:p>
      <w:pPr>
        <w:ind w:left="980" w:right="20"/>
        <w:spacing w:after="0" w:line="253" w:lineRule="auto"/>
        <w:tabs>
          <w:tab w:leader="none" w:pos="1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liability for unfunded commitments of $54 thousand.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2023 and 2022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0"/>
              </w:rPr>
              <w:t>For the nine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500" w:type="dxa"/>
            <w:vAlign w:val="bottom"/>
            <w:gridSpan w:val="3"/>
          </w:tcPr>
          <w:p>
            <w:pPr>
              <w:ind w:left="700"/>
              <w:spacing w:after="0"/>
              <w:rPr>
                <w:sz w:val="20"/>
                <w:szCs w:val="20"/>
                <w:color w:val="auto"/>
              </w:rPr>
            </w:pPr>
            <w:r>
              <w:rPr>
                <w:rFonts w:ascii="Arial" w:cs="Arial" w:eastAsia="Arial" w:hAnsi="Arial"/>
                <w:sz w:val="18"/>
                <w:szCs w:val="18"/>
                <w:b w:val="1"/>
                <w:bCs w:val="1"/>
                <w:color w:val="auto"/>
              </w:rPr>
              <w:t>Variance</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7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46,369,976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35,478,178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10,891,798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(4,062,365)</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(1,383,172)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(2,679,193)</w:t>
            </w:r>
          </w:p>
        </w:tc>
        <w:tc>
          <w:tcPr>
            <w:tcW w:w="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42,307,611</w:t>
            </w:r>
          </w:p>
        </w:tc>
        <w:tc>
          <w:tcPr>
            <w:tcW w:w="2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34,095,006</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8,212,605</w:t>
            </w:r>
          </w:p>
        </w:tc>
        <w:tc>
          <w:tcPr>
            <w:tcW w:w="2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Management and incentive fees, net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5,539,059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3,266,487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2,272,572</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3,833,733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2,410,151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1,423,582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1,598,376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1,649,360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(50,984)</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942,605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328,356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614,249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r>
              <w:rPr>
                <w:rFonts w:ascii="Arial" w:cs="Arial" w:eastAsia="Arial" w:hAnsi="Arial"/>
                <w:sz w:val="18"/>
                <w:szCs w:val="18"/>
                <w:color w:val="auto"/>
              </w:rPr>
              <w:t>Provision/(reversal) for current expected credit losses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1,193,880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1,403,892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(210,012)</w:t>
            </w:r>
          </w:p>
        </w:tc>
        <w:tc>
          <w:tcPr>
            <w:tcW w:w="3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13,107,653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9,058,246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4,049,407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Change in unrealized gain on debt securities, at fair value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112,767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112,767</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before income taxes</w:t>
            </w: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29,312,725</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25,036,760</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4,275,965</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w:t>
            </w:r>
          </w:p>
        </w:tc>
        <w:tc>
          <w:tcPr>
            <w:tcW w:w="2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29,312,725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25,036,760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4,275,965</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160" w:hanging="324"/>
        <w:spacing w:after="0" w:line="25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increased by approximately $10.9 million, or 31%, during the nine months ended September 30, 2023, compared to the nine months ended September 30, 2022. The increase was driven primarily by an increase in the Prime Rate discussed above, impacting approximately 81.1% of the Company’s loans, which bear a floating rate as of September 30, 2023, compared to 59.7% as of September 30, 2022. Additionally, we recognized approximately $2.0 million of income from fees during the nine months ended September 30, 2023 as compared to $0.6 million for the same period in 2022.</w:t>
      </w:r>
    </w:p>
    <w:p>
      <w:pPr>
        <w:spacing w:after="0" w:line="187"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expense increased approximately $2.7 million over the comparative period resulting from timing of borrowings and amounts outstanding under the Revolving Loan, but primarily due to the series of Prime Rate increases from 6.25% to 8.50% as of September 30, 2023. Additionally, the Company increased the availability under the Revolving Loan from $65.0 million as of September 30, 2022 to $100.0 million as of September 30, 2023, resulting in an increase to unused fee interest expense (25 basis points of amounts outstanding) over the comparative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ind w:left="980" w:hanging="324"/>
        <w:spacing w:after="0" w:line="296"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incurred base management and incentive fees payable to our Manager of approximately $5.5 million for the nine months ended September 30, 2023, as compared to approximately $3.3 million for the nine months ended September 30, 2022, an increase of approximately $2.3 million. The increase was primarily attributable to greater assets under management, which was offset by fewer origination fee offsets in the nine months ended September 30, 2023 of approximately $0.1 million, compared to approximately $1.3 million for the nine months ended September 30, 2022 as well as an increase in weighted average equity as defined by the Management Agreement over the comparable period.</w:t>
      </w:r>
    </w:p>
    <w:p>
      <w:pPr>
        <w:spacing w:after="0" w:line="161" w:lineRule="exact"/>
        <w:rPr>
          <w:rFonts w:ascii="Arial" w:cs="Arial" w:eastAsia="Arial" w:hAnsi="Arial"/>
          <w:sz w:val="16"/>
          <w:szCs w:val="16"/>
          <w:color w:val="auto"/>
        </w:rPr>
      </w:pPr>
    </w:p>
    <w:p>
      <w:pPr>
        <w:ind w:left="980" w:right="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and administrative expenses and professional fees increased by approximately $1.4 million for the nine months ended September 30, 2023, as compared to the nine months ended September 30, 2022. The increase was primarily due to an increase in overhead reimbursements for costs incurred by the Manager of $3.5 million for the nine months ended September 30, 2023 compared to $2.1 million for the same period in 2022, offset by a decrease in professional fees of $0.1 million.</w:t>
      </w:r>
    </w:p>
    <w:p>
      <w:pPr>
        <w:spacing w:after="0" w:line="186" w:lineRule="exact"/>
        <w:rPr>
          <w:rFonts w:ascii="Arial" w:cs="Arial" w:eastAsia="Arial" w:hAnsi="Arial"/>
          <w:sz w:val="18"/>
          <w:szCs w:val="18"/>
          <w:color w:val="auto"/>
        </w:rPr>
      </w:pPr>
    </w:p>
    <w:p>
      <w:pPr>
        <w:jc w:val="both"/>
        <w:ind w:left="980" w:right="220" w:hanging="324"/>
        <w:spacing w:after="0" w:line="26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Stock based compensation increased by $0.6 million for the nine months ended September 30, 2023, as compared to the nine months ended September 30, 2022. The increase was driven by the grant of 323,452 restricted stock awards to employees of our Manager during the nine months ended September 30, 2023.</w:t>
      </w:r>
    </w:p>
    <w:p>
      <w:pPr>
        <w:spacing w:after="0" w:line="183" w:lineRule="exact"/>
        <w:rPr>
          <w:rFonts w:ascii="Arial" w:cs="Arial" w:eastAsia="Arial" w:hAnsi="Arial"/>
          <w:sz w:val="18"/>
          <w:szCs w:val="18"/>
          <w:color w:val="auto"/>
        </w:rPr>
      </w:pPr>
    </w:p>
    <w:p>
      <w:pPr>
        <w:ind w:left="980" w:right="60" w:hanging="324"/>
        <w:spacing w:after="0" w:line="29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Provision for current expected credit losses decreased by 0.2 million in the nine months ended September 30, 2023 as compared to the nine months ended September 30, 2022, primarily due to changes in risk ratings from September 30, 2022 to September 30, 2023 which are due to both borrower specific credit changes, and quarterly re-evaluations of overall current macroeconomic conditions affecting our borrowers and the industry. Changes in portfolio risk composition resulting from principal paydowns and new fundings, also contributed to the decrease, with reserves on new 2023 originations representing a smaller portion of the reserve than loans originated in prior years. This is the result of improvement in enterprise valuations of our borrowers, driven by valuation multiples of comparable companies increasing during the nine months ended September 30, 2023 as compared to the nine months ended September 30, 2022.</w:t>
      </w:r>
    </w:p>
    <w:p>
      <w:pPr>
        <w:spacing w:after="0" w:line="166" w:lineRule="exact"/>
        <w:rPr>
          <w:rFonts w:ascii="Arial" w:cs="Arial" w:eastAsia="Arial" w:hAnsi="Arial"/>
          <w:sz w:val="16"/>
          <w:szCs w:val="16"/>
          <w:color w:val="auto"/>
        </w:rPr>
      </w:pPr>
    </w:p>
    <w:p>
      <w:pPr>
        <w:ind w:left="980"/>
        <w:spacing w:after="0" w:line="293" w:lineRule="auto"/>
        <w:rPr>
          <w:rFonts w:ascii="Arial" w:cs="Arial" w:eastAsia="Arial" w:hAnsi="Arial"/>
          <w:sz w:val="16"/>
          <w:szCs w:val="16"/>
          <w:color w:val="auto"/>
        </w:rPr>
      </w:pPr>
      <w:r>
        <w:rPr>
          <w:rFonts w:ascii="Arial" w:cs="Arial" w:eastAsia="Arial" w:hAnsi="Arial"/>
          <w:sz w:val="16"/>
          <w:szCs w:val="16"/>
          <w:color w:val="auto"/>
        </w:rPr>
        <w:t>The current expected credit loss reserve represents approximately 150 basis points of our aggregate loan commitments held at carrying value of approximately $5.1 million which was bifurcated between (i) the current expected credit loss reserve (contra-asset) related to outstanding balances on loans held at carrying value of approximately $5.1 million and (ii) a liability for unfunded commitments of $0.1 million.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As of September 30, 2023 and December 31, 2022, our portfolio included 27 and 22 loans held for investment, of approximately $338.8 million and $339.3 million at carrying value, respectively, prior to the reserve for current expected credit losses. The aggregate originated commitment under these loans was approximately $355.9 million and $351.4 million and outstanding principal was approximately $341.8 million and $343.0 million as of September 30, 2023 and December 31, 2022, respectively. As of September 30, 2023 and December 31, 2022, our loan portfolio had a weighted-average yield-to-maturity internal rate of return (“YTM IRR”) of 19.3% and 19.7%,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16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As of September 30, 2023 and December 31, 2022, approximately 81.1% and 83.1%, respectively, of our portfolio was comprised of floating rate loans that pay interest at the Prime Rate plus an applicable margin and were subject to a Prime Rate floor. The Prime Rate was 3.25% for the period from January 1, 2022 through March 16, 2022, increased to 3.50% effective March 17, 2022, increased to 4.00% effective May 5, 2022, increased to 4.75% effective June 16, 2022, increased to 5.50% effective July 28, 2022, increased to 6.25% effective September 22, 2022, increased to 7.00% effective November 3, 2022, increased to 7.50% effective December 15, 2022, increased to 7.75% effective February 2, 2023, increased to 8.00% effective March 23, 2023, increased to 8.25% effective May 4, 2023 and increased again to 8.50% effective July 27, 2023. The below summarizes our portfolio as of September 30, 2023:</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Initial</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98"/>
              </w:rPr>
              <w:t>Original</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89"/>
              </w:rPr>
              <w:t>Percent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2"/>
                <w:szCs w:val="12"/>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8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rPr>
              <w:t>Carrying</w:t>
            </w:r>
          </w:p>
        </w:tc>
        <w:tc>
          <w:tcPr>
            <w:tcW w:w="78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Future</w:t>
            </w:r>
          </w:p>
        </w:tc>
        <w:tc>
          <w:tcPr>
            <w:tcW w:w="13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Periodic</w:t>
            </w:r>
          </w:p>
        </w:tc>
        <w:tc>
          <w:tcPr>
            <w:tcW w:w="60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rPr>
              <w:t>YTM</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Loan</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Funding</w:t>
            </w: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2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Issue</w:t>
            </w:r>
          </w:p>
        </w:tc>
        <w:tc>
          <w:tcPr>
            <w:tcW w:w="920" w:type="dxa"/>
            <w:vAlign w:val="bottom"/>
            <w:gridSpan w:val="2"/>
            <w:vMerge w:val="continue"/>
          </w:tcPr>
          <w:p>
            <w:pPr>
              <w:spacing w:after="0"/>
              <w:rPr>
                <w:sz w:val="12"/>
                <w:szCs w:val="12"/>
                <w:color w:val="auto"/>
              </w:rPr>
            </w:pPr>
          </w:p>
        </w:tc>
        <w:tc>
          <w:tcPr>
            <w:tcW w:w="780" w:type="dxa"/>
            <w:vAlign w:val="bottom"/>
            <w:gridSpan w:val="2"/>
          </w:tcPr>
          <w:p>
            <w:pPr>
              <w:jc w:val="center"/>
              <w:ind w:right="88"/>
              <w:spacing w:after="0" w:line="149" w:lineRule="exact"/>
              <w:rPr>
                <w:sz w:val="20"/>
                <w:szCs w:val="20"/>
                <w:color w:val="auto"/>
              </w:rPr>
            </w:pPr>
            <w:r>
              <w:rPr>
                <w:rFonts w:ascii="Arial" w:cs="Arial" w:eastAsia="Arial" w:hAnsi="Arial"/>
                <w:sz w:val="14"/>
                <w:szCs w:val="14"/>
                <w:b w:val="1"/>
                <w:bCs w:val="1"/>
                <w:color w:val="auto"/>
                <w:w w:val="99"/>
              </w:rPr>
              <w:t>Our Loan</w:t>
            </w:r>
          </w:p>
        </w:tc>
        <w:tc>
          <w:tcPr>
            <w:tcW w:w="820" w:type="dxa"/>
            <w:vAlign w:val="bottom"/>
            <w:gridSpan w:val="2"/>
            <w:vMerge w:val="continue"/>
          </w:tcPr>
          <w:p>
            <w:pPr>
              <w:spacing w:after="0"/>
              <w:rPr>
                <w:sz w:val="12"/>
                <w:szCs w:val="12"/>
                <w:color w:val="auto"/>
              </w:rPr>
            </w:pPr>
          </w:p>
        </w:tc>
        <w:tc>
          <w:tcPr>
            <w:tcW w:w="13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Interest Rate (4)</w:t>
            </w:r>
          </w:p>
        </w:tc>
        <w:tc>
          <w:tcPr>
            <w:tcW w:w="92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Date (1)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Date (2)</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Commitment (3)</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82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(Discount)</w:t>
            </w:r>
          </w:p>
        </w:tc>
        <w:tc>
          <w:tcPr>
            <w:tcW w:w="92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0"/>
              </w:rPr>
              <w:t>Value</w:t>
            </w:r>
          </w:p>
        </w:tc>
        <w:tc>
          <w:tcPr>
            <w:tcW w:w="78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3"/>
              </w:rPr>
              <w:t>Portfolio</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Fundings</w:t>
            </w:r>
          </w:p>
        </w:tc>
        <w:tc>
          <w:tcPr>
            <w:tcW w:w="1340" w:type="dxa"/>
            <w:vAlign w:val="bottom"/>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Payment (5)</w:t>
            </w:r>
          </w:p>
        </w:tc>
        <w:tc>
          <w:tcPr>
            <w:tcW w:w="6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7"/>
              </w:rPr>
              <w:t>IRR (6)</w:t>
            </w:r>
          </w:p>
        </w:tc>
        <w:tc>
          <w:tcPr>
            <w:tcW w:w="0" w:type="dxa"/>
            <w:vAlign w:val="bottom"/>
          </w:tcPr>
          <w:p>
            <w:pPr>
              <w:spacing w:after="0"/>
              <w:rPr>
                <w:sz w:val="1"/>
                <w:szCs w:val="1"/>
                <w:color w:val="auto"/>
              </w:rPr>
            </w:pPr>
          </w:p>
        </w:tc>
      </w:tr>
      <w:tr>
        <w:trPr>
          <w:trHeight w:val="27"/>
        </w:trPr>
        <w:tc>
          <w:tcPr>
            <w:tcW w:w="460" w:type="dxa"/>
            <w:vAlign w:val="bottom"/>
            <w:tcBorders>
              <w:right w:val="single" w:sz="8" w:color="CCEEFF"/>
            </w:tcBorders>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340" w:type="dxa"/>
            <w:vAlign w:val="bottom"/>
            <w:tcBorders>
              <w:right w:val="single" w:sz="8" w:color="CCEEFF"/>
            </w:tcBorders>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Various</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10/27/2022</w:t>
            </w:r>
          </w:p>
        </w:tc>
        <w:tc>
          <w:tcPr>
            <w:tcW w:w="8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10/30/2026</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30,000,000</w:t>
            </w:r>
          </w:p>
        </w:tc>
        <w:tc>
          <w:tcPr>
            <w:tcW w:w="9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3"/>
              </w:rPr>
              <w:t>$  30,000,000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  (692,213)</w:t>
            </w:r>
          </w:p>
        </w:tc>
        <w:tc>
          <w:tcPr>
            <w:tcW w:w="100" w:type="dxa"/>
            <w:vAlign w:val="bottom"/>
            <w:vMerge w:val="continue"/>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  29,307,787</w:t>
            </w:r>
          </w:p>
        </w:tc>
        <w:tc>
          <w:tcPr>
            <w:tcW w:w="100" w:type="dxa"/>
            <w:vAlign w:val="bottom"/>
            <w:vMerge w:val="continue"/>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700" w:type="dxa"/>
            <w:vAlign w:val="bottom"/>
            <w:shd w:val="clear" w:color="auto" w:fill="CCEEFF"/>
          </w:tcPr>
          <w:p>
            <w:pPr>
              <w:ind w:left="660"/>
              <w:spacing w:after="0"/>
              <w:rPr>
                <w:sz w:val="20"/>
                <w:szCs w:val="20"/>
                <w:color w:val="auto"/>
              </w:rPr>
            </w:pPr>
            <w:r>
              <w:rPr>
                <w:rFonts w:ascii="Arial" w:cs="Arial" w:eastAsia="Arial" w:hAnsi="Arial"/>
                <w:sz w:val="8"/>
                <w:szCs w:val="8"/>
                <w:color w:val="auto"/>
                <w:w w:val="73"/>
              </w:rPr>
              <w:t>-</w:t>
            </w:r>
          </w:p>
        </w:tc>
        <w:tc>
          <w:tcPr>
            <w:tcW w:w="120" w:type="dxa"/>
            <w:vAlign w:val="bottom"/>
            <w:vMerge w:val="continue"/>
            <w:shd w:val="clear" w:color="auto" w:fill="CCEEFF"/>
          </w:tcPr>
          <w:p>
            <w:pPr>
              <w:spacing w:after="0"/>
              <w:rPr>
                <w:sz w:val="12"/>
                <w:szCs w:val="12"/>
                <w:color w:val="auto"/>
              </w:rPr>
            </w:pPr>
          </w:p>
        </w:tc>
        <w:tc>
          <w:tcPr>
            <w:tcW w:w="13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P+6.5% Cash (10)</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I/O</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30"/>
        </w:trPr>
        <w:tc>
          <w:tcPr>
            <w:tcW w:w="460" w:type="dxa"/>
            <w:vAlign w:val="bottom"/>
          </w:tcPr>
          <w:p>
            <w:pPr>
              <w:spacing w:after="0" w:line="130" w:lineRule="exact"/>
              <w:rPr>
                <w:sz w:val="20"/>
                <w:szCs w:val="20"/>
                <w:color w:val="auto"/>
              </w:rPr>
            </w:pPr>
            <w:r>
              <w:rPr>
                <w:rFonts w:ascii="Arial" w:cs="Arial" w:eastAsia="Arial" w:hAnsi="Arial"/>
                <w:sz w:val="14"/>
                <w:szCs w:val="14"/>
                <w:b w:val="1"/>
                <w:bCs w:val="1"/>
                <w:color w:val="auto"/>
              </w:rPr>
              <w:t>2</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9"/>
              </w:rPr>
              <w:t>Michigan</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3"/>
              </w:rPr>
              <w:t>1/13/2022</w:t>
            </w:r>
          </w:p>
        </w:tc>
        <w:tc>
          <w:tcPr>
            <w:tcW w:w="800" w:type="dxa"/>
            <w:vAlign w:val="bottom"/>
          </w:tcPr>
          <w:p>
            <w:pPr>
              <w:jc w:val="center"/>
              <w:spacing w:after="0" w:line="130" w:lineRule="exact"/>
              <w:rPr>
                <w:sz w:val="20"/>
                <w:szCs w:val="20"/>
                <w:color w:val="auto"/>
              </w:rPr>
            </w:pPr>
            <w:r>
              <w:rPr>
                <w:rFonts w:ascii="Arial" w:cs="Arial" w:eastAsia="Arial" w:hAnsi="Arial"/>
                <w:sz w:val="14"/>
                <w:szCs w:val="14"/>
                <w:color w:val="auto"/>
                <w:w w:val="94"/>
              </w:rPr>
              <w:t>12/31/2024</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Arial" w:cs="Arial" w:eastAsia="Arial" w:hAnsi="Arial"/>
                <w:sz w:val="14"/>
                <w:szCs w:val="14"/>
                <w:color w:val="auto"/>
                <w:w w:val="92"/>
              </w:rPr>
              <w:t>P+6.65% Cash,</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35,891,668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38,400,627</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(101,451)</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38,299,176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11.3%</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6"/>
              </w:rPr>
              <w:t>3.25% PIK (16)</w:t>
            </w:r>
          </w:p>
        </w:tc>
        <w:tc>
          <w:tcPr>
            <w:tcW w:w="9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2"/>
        </w:trPr>
        <w:tc>
          <w:tcPr>
            <w:tcW w:w="46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vertAlign w:val="subscript"/>
              </w:rPr>
              <w:t>3</w:t>
            </w:r>
            <w:r>
              <w:rPr>
                <w:rFonts w:ascii="Arial" w:cs="Arial" w:eastAsia="Arial" w:hAnsi="Arial"/>
                <w:sz w:val="9"/>
                <w:szCs w:val="9"/>
                <w:b w:val="1"/>
                <w:bCs w:val="1"/>
                <w:color w:val="auto"/>
              </w:rPr>
              <w:t>(17)</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Various</w:t>
            </w:r>
          </w:p>
        </w:tc>
        <w:tc>
          <w:tcPr>
            <w:tcW w:w="8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3/25/2021</w:t>
            </w:r>
          </w:p>
        </w:tc>
        <w:tc>
          <w:tcPr>
            <w:tcW w:w="80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11/29/2024</w:t>
            </w:r>
          </w:p>
        </w:tc>
        <w:tc>
          <w:tcPr>
            <w:tcW w:w="180" w:type="dxa"/>
            <w:vAlign w:val="bottom"/>
            <w:shd w:val="clear" w:color="auto" w:fill="CCEEFF"/>
          </w:tcPr>
          <w:p>
            <w:pPr>
              <w:spacing w:after="0"/>
              <w:rPr>
                <w:sz w:val="12"/>
                <w:szCs w:val="12"/>
                <w:color w:val="auto"/>
              </w:rPr>
            </w:pPr>
          </w:p>
        </w:tc>
        <w:tc>
          <w:tcPr>
            <w:tcW w:w="9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20,105,628</w:t>
            </w:r>
          </w:p>
        </w:tc>
        <w:tc>
          <w:tcPr>
            <w:tcW w:w="9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20,524,482</w:t>
            </w:r>
          </w:p>
        </w:tc>
        <w:tc>
          <w:tcPr>
            <w:tcW w:w="82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(307,143)</w:t>
            </w:r>
          </w:p>
        </w:tc>
        <w:tc>
          <w:tcPr>
            <w:tcW w:w="92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rPr>
              <w:t>20,217,339</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P+10.38% Cash,</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P&amp;I</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55"/>
        </w:trPr>
        <w:tc>
          <w:tcPr>
            <w:tcW w:w="460" w:type="dxa"/>
            <w:vAlign w:val="bottom"/>
            <w:tcBorders>
              <w:right w:val="single" w:sz="8" w:color="CCEEFF"/>
            </w:tcBorders>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tcBorders>
              <w:right w:val="single" w:sz="8" w:color="CCEEFF"/>
            </w:tcBorders>
            <w:vMerge w:val="continue"/>
            <w:shd w:val="clear" w:color="auto" w:fill="CCEEFF"/>
          </w:tcPr>
          <w:p>
            <w:pPr>
              <w:spacing w:after="0"/>
              <w:rPr>
                <w:sz w:val="13"/>
                <w:szCs w:val="13"/>
                <w:color w:val="auto"/>
              </w:rPr>
            </w:pPr>
          </w:p>
        </w:tc>
        <w:tc>
          <w:tcPr>
            <w:tcW w:w="920" w:type="dxa"/>
            <w:vAlign w:val="bottom"/>
            <w:tcBorders>
              <w:right w:val="single" w:sz="8" w:color="CCEEFF"/>
            </w:tcBorders>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340" w:type="dxa"/>
            <w:vAlign w:val="bottom"/>
            <w:tcBorders>
              <w:right w:val="single" w:sz="8" w:color="CCEEFF"/>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6"/>
              </w:rPr>
              <w:t>2.75% PIK (7)</w:t>
            </w:r>
          </w:p>
        </w:tc>
        <w:tc>
          <w:tcPr>
            <w:tcW w:w="9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4</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Arizona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4/19/2021</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12/31/2023</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14,120,000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14,722,749</w:t>
            </w: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14,722,749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P+11.75% Cash (14)</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I/O</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8"/>
        </w:trPr>
        <w:tc>
          <w:tcPr>
            <w:tcW w:w="4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5</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Massachusetts</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4/19/2021</w:t>
            </w:r>
          </w:p>
        </w:tc>
        <w:tc>
          <w:tcPr>
            <w:tcW w:w="8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4/30/2025</w:t>
            </w:r>
          </w:p>
        </w:tc>
        <w:tc>
          <w:tcPr>
            <w:tcW w:w="1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3,500,000</w:t>
            </w:r>
          </w:p>
        </w:tc>
        <w:tc>
          <w:tcPr>
            <w:tcW w:w="9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3,197,120</w:t>
            </w: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3,197,120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204,000</w:t>
            </w:r>
          </w:p>
        </w:tc>
        <w:tc>
          <w:tcPr>
            <w:tcW w:w="13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P+12.25% Cash (7)</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8"/>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6</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8/20/2021</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2/20/2024</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6,000,000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4,264,421</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(1,499)</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4,262,922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1,500,000</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P+9% Cash (7)</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30"/>
        </w:trPr>
        <w:tc>
          <w:tcPr>
            <w:tcW w:w="46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7</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Illinois,</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8/24/2021</w:t>
            </w:r>
          </w:p>
        </w:tc>
        <w:tc>
          <w:tcPr>
            <w:tcW w:w="8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6/30/2025</w:t>
            </w:r>
          </w:p>
        </w:tc>
        <w:tc>
          <w:tcPr>
            <w:tcW w:w="1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P+6% Cash, 2% PIK</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P&amp;I</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Arizona</w:t>
            </w:r>
          </w:p>
        </w:tc>
        <w:tc>
          <w:tcPr>
            <w:tcW w:w="8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25,000,000</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20,913,172</w:t>
            </w:r>
          </w:p>
        </w:tc>
        <w:tc>
          <w:tcPr>
            <w:tcW w:w="8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(150,172)</w:t>
            </w: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20,763,000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rPr>
              <w:t>(11)</w:t>
            </w:r>
          </w:p>
        </w:tc>
        <w:tc>
          <w:tcPr>
            <w:tcW w:w="9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30"/>
        </w:trPr>
        <w:tc>
          <w:tcPr>
            <w:tcW w:w="460" w:type="dxa"/>
            <w:vAlign w:val="bottom"/>
          </w:tcPr>
          <w:p>
            <w:pPr>
              <w:spacing w:after="0" w:line="130" w:lineRule="exact"/>
              <w:rPr>
                <w:sz w:val="20"/>
                <w:szCs w:val="20"/>
                <w:color w:val="auto"/>
              </w:rPr>
            </w:pPr>
            <w:r>
              <w:rPr>
                <w:rFonts w:ascii="Arial" w:cs="Arial" w:eastAsia="Arial" w:hAnsi="Arial"/>
                <w:sz w:val="14"/>
                <w:szCs w:val="14"/>
                <w:b w:val="1"/>
                <w:bCs w:val="1"/>
                <w:color w:val="auto"/>
              </w:rPr>
              <w:t>8</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6"/>
              </w:rPr>
              <w:t>West Virginia</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5"/>
              </w:rPr>
              <w:t>9/1/2021</w:t>
            </w:r>
          </w:p>
        </w:tc>
        <w:tc>
          <w:tcPr>
            <w:tcW w:w="800" w:type="dxa"/>
            <w:vAlign w:val="bottom"/>
          </w:tcPr>
          <w:p>
            <w:pPr>
              <w:jc w:val="center"/>
              <w:spacing w:after="0" w:line="130" w:lineRule="exact"/>
              <w:rPr>
                <w:sz w:val="20"/>
                <w:szCs w:val="20"/>
                <w:color w:val="auto"/>
              </w:rPr>
            </w:pPr>
            <w:r>
              <w:rPr>
                <w:rFonts w:ascii="Arial" w:cs="Arial" w:eastAsia="Arial" w:hAnsi="Arial"/>
                <w:sz w:val="14"/>
                <w:szCs w:val="14"/>
                <w:color w:val="auto"/>
                <w:w w:val="91"/>
              </w:rPr>
              <w:t>9/1/2024</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Arial" w:cs="Arial" w:eastAsia="Arial" w:hAnsi="Arial"/>
                <w:sz w:val="14"/>
                <w:szCs w:val="14"/>
                <w:color w:val="auto"/>
                <w:w w:val="91"/>
              </w:rPr>
              <w:t>P+9.25% Cash, 2%</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9,500,000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11,086,045</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(58,421)</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11,027,624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7"/>
              </w:rPr>
              <w:t>PIK (15)</w:t>
            </w:r>
          </w:p>
        </w:tc>
        <w:tc>
          <w:tcPr>
            <w:tcW w:w="9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42"/>
        </w:trPr>
        <w:tc>
          <w:tcPr>
            <w:tcW w:w="46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6"/>
                <w:szCs w:val="16"/>
                <w:b w:val="1"/>
                <w:bCs w:val="1"/>
                <w:color w:val="auto"/>
                <w:vertAlign w:val="subscript"/>
              </w:rPr>
              <w:t>9</w:t>
            </w:r>
            <w:r>
              <w:rPr>
                <w:rFonts w:ascii="Arial" w:cs="Arial" w:eastAsia="Arial" w:hAnsi="Arial"/>
                <w:sz w:val="9"/>
                <w:szCs w:val="9"/>
                <w:b w:val="1"/>
                <w:bCs w:val="1"/>
                <w:color w:val="auto"/>
              </w:rPr>
              <w:t>(18)</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Pennsylvania</w:t>
            </w:r>
          </w:p>
        </w:tc>
        <w:tc>
          <w:tcPr>
            <w:tcW w:w="8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9/3/2021</w:t>
            </w:r>
          </w:p>
        </w:tc>
        <w:tc>
          <w:tcPr>
            <w:tcW w:w="80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6/30/2024</w:t>
            </w:r>
          </w:p>
        </w:tc>
        <w:tc>
          <w:tcPr>
            <w:tcW w:w="180" w:type="dxa"/>
            <w:vAlign w:val="bottom"/>
            <w:shd w:val="clear" w:color="auto" w:fill="CCEEFF"/>
          </w:tcPr>
          <w:p>
            <w:pPr>
              <w:spacing w:after="0"/>
              <w:rPr>
                <w:sz w:val="12"/>
                <w:szCs w:val="12"/>
                <w:color w:val="auto"/>
              </w:rPr>
            </w:pPr>
          </w:p>
        </w:tc>
        <w:tc>
          <w:tcPr>
            <w:tcW w:w="9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15,000,000</w:t>
            </w:r>
          </w:p>
        </w:tc>
        <w:tc>
          <w:tcPr>
            <w:tcW w:w="9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16,278,729</w:t>
            </w:r>
          </w:p>
        </w:tc>
        <w:tc>
          <w:tcPr>
            <w:tcW w:w="82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4"/>
                <w:szCs w:val="14"/>
                <w:color w:val="auto"/>
              </w:rPr>
              <w:t>16,278,729</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P+10.75% Cash, 3%</w:t>
            </w:r>
          </w:p>
        </w:tc>
        <w:tc>
          <w:tcPr>
            <w:tcW w:w="920" w:type="dxa"/>
            <w:vAlign w:val="bottom"/>
            <w:tcBorders>
              <w:right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P&amp;I</w:t>
            </w:r>
          </w:p>
        </w:tc>
        <w:tc>
          <w:tcPr>
            <w:tcW w:w="6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55"/>
        </w:trPr>
        <w:tc>
          <w:tcPr>
            <w:tcW w:w="460" w:type="dxa"/>
            <w:vAlign w:val="bottom"/>
            <w:tcBorders>
              <w:right w:val="single" w:sz="8" w:color="CCEEFF"/>
            </w:tcBorders>
            <w:shd w:val="clear" w:color="auto" w:fill="CCEEFF"/>
          </w:tcPr>
          <w:p>
            <w:pPr>
              <w:spacing w:after="0"/>
              <w:rPr>
                <w:sz w:val="13"/>
                <w:szCs w:val="13"/>
                <w:color w:val="auto"/>
              </w:rPr>
            </w:pPr>
          </w:p>
        </w:tc>
        <w:tc>
          <w:tcPr>
            <w:tcW w:w="92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tcBorders>
              <w:right w:val="single" w:sz="8" w:color="CCEEFF"/>
            </w:tcBorders>
            <w:vMerge w:val="continue"/>
            <w:shd w:val="clear" w:color="auto" w:fill="CCEEFF"/>
          </w:tcPr>
          <w:p>
            <w:pPr>
              <w:spacing w:after="0"/>
              <w:rPr>
                <w:sz w:val="13"/>
                <w:szCs w:val="13"/>
                <w:color w:val="auto"/>
              </w:rPr>
            </w:pPr>
          </w:p>
        </w:tc>
        <w:tc>
          <w:tcPr>
            <w:tcW w:w="920" w:type="dxa"/>
            <w:vAlign w:val="bottom"/>
            <w:tcBorders>
              <w:right w:val="single" w:sz="8" w:color="CCEEFF"/>
            </w:tcBorders>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340" w:type="dxa"/>
            <w:vAlign w:val="bottom"/>
            <w:tcBorders>
              <w:right w:val="single" w:sz="8" w:color="CCEEFF"/>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rPr>
              <w:t>PIK (7)</w:t>
            </w:r>
          </w:p>
        </w:tc>
        <w:tc>
          <w:tcPr>
            <w:tcW w:w="92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10</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Michigan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9/30/2021</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9/30/2024</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470,411</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169,871</w:t>
            </w: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169,871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89"/>
              </w:rPr>
              <w:t>11% Cash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30"/>
        </w:trPr>
        <w:tc>
          <w:tcPr>
            <w:tcW w:w="46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11</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Maryland</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9/30/2021</w:t>
            </w:r>
          </w:p>
        </w:tc>
        <w:tc>
          <w:tcPr>
            <w:tcW w:w="8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9/30/2024</w:t>
            </w:r>
          </w:p>
        </w:tc>
        <w:tc>
          <w:tcPr>
            <w:tcW w:w="1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P+8.75% Cash, 2%</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I/O</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32,000,000</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33,142,423</w:t>
            </w:r>
          </w:p>
        </w:tc>
        <w:tc>
          <w:tcPr>
            <w:tcW w:w="8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(357,973)</w:t>
            </w: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32,784,450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PIK (7)</w:t>
            </w:r>
          </w:p>
        </w:tc>
        <w:tc>
          <w:tcPr>
            <w:tcW w:w="9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8"/>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12</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Various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11/8/2021</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4"/>
              </w:rPr>
              <w:t>10/31/2024</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13,574,667</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8,710,222</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(68,215)</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8,642,007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1"/>
              </w:rPr>
              <w:t>P+9% Cash (12)</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30"/>
        </w:trPr>
        <w:tc>
          <w:tcPr>
            <w:tcW w:w="46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13</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Michigan</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11/22/2021</w:t>
            </w:r>
          </w:p>
        </w:tc>
        <w:tc>
          <w:tcPr>
            <w:tcW w:w="8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11/1/2024</w:t>
            </w:r>
          </w:p>
        </w:tc>
        <w:tc>
          <w:tcPr>
            <w:tcW w:w="1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P+6% Cash, 1.5%</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I/O</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13,100,000</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13,004,225</w:t>
            </w:r>
          </w:p>
        </w:tc>
        <w:tc>
          <w:tcPr>
            <w:tcW w:w="8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(74,165)</w:t>
            </w: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12,930,060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PIK (11)</w:t>
            </w:r>
          </w:p>
        </w:tc>
        <w:tc>
          <w:tcPr>
            <w:tcW w:w="9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30"/>
        </w:trPr>
        <w:tc>
          <w:tcPr>
            <w:tcW w:w="460" w:type="dxa"/>
            <w:vAlign w:val="bottom"/>
          </w:tcPr>
          <w:p>
            <w:pPr>
              <w:spacing w:after="0" w:line="130" w:lineRule="exact"/>
              <w:rPr>
                <w:sz w:val="20"/>
                <w:szCs w:val="20"/>
                <w:color w:val="auto"/>
              </w:rPr>
            </w:pPr>
            <w:r>
              <w:rPr>
                <w:rFonts w:ascii="Arial" w:cs="Arial" w:eastAsia="Arial" w:hAnsi="Arial"/>
                <w:sz w:val="14"/>
                <w:szCs w:val="14"/>
                <w:b w:val="1"/>
                <w:bCs w:val="1"/>
                <w:color w:val="auto"/>
              </w:rPr>
              <w:t>14</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w w:val="92"/>
              </w:rPr>
              <w:t>Various</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4"/>
              </w:rPr>
              <w:t>12/27/2021</w:t>
            </w:r>
          </w:p>
        </w:tc>
        <w:tc>
          <w:tcPr>
            <w:tcW w:w="800" w:type="dxa"/>
            <w:vAlign w:val="bottom"/>
          </w:tcPr>
          <w:p>
            <w:pPr>
              <w:jc w:val="center"/>
              <w:spacing w:after="0" w:line="130" w:lineRule="exact"/>
              <w:rPr>
                <w:sz w:val="20"/>
                <w:szCs w:val="20"/>
                <w:color w:val="auto"/>
              </w:rPr>
            </w:pPr>
            <w:r>
              <w:rPr>
                <w:rFonts w:ascii="Arial" w:cs="Arial" w:eastAsia="Arial" w:hAnsi="Arial"/>
                <w:sz w:val="14"/>
                <w:szCs w:val="14"/>
                <w:color w:val="auto"/>
                <w:w w:val="94"/>
              </w:rPr>
              <w:t>12/27/2026</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Arial" w:cs="Arial" w:eastAsia="Arial" w:hAnsi="Arial"/>
                <w:sz w:val="14"/>
                <w:szCs w:val="14"/>
                <w:color w:val="auto"/>
                <w:w w:val="90"/>
              </w:rPr>
              <w:t>P+12.25% Cash,</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5,125,000</w:t>
            </w: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5,125,000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Pr>
          <w:p>
            <w:pPr>
              <w:jc w:val="center"/>
              <w:spacing w:after="0"/>
              <w:rPr>
                <w:sz w:val="20"/>
                <w:szCs w:val="20"/>
                <w:color w:val="auto"/>
              </w:rPr>
            </w:pPr>
            <w:r>
              <w:rPr>
                <w:rFonts w:ascii="Arial" w:cs="Arial" w:eastAsia="Arial" w:hAnsi="Arial"/>
                <w:sz w:val="14"/>
                <w:szCs w:val="14"/>
                <w:color w:val="auto"/>
                <w:w w:val="98"/>
              </w:rPr>
              <w:t>2.5% PIK (8)</w:t>
            </w:r>
          </w:p>
        </w:tc>
        <w:tc>
          <w:tcPr>
            <w:tcW w:w="9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8"/>
        </w:trPr>
        <w:tc>
          <w:tcPr>
            <w:tcW w:w="4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16</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Florida</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12/30/2021</w:t>
            </w:r>
          </w:p>
        </w:tc>
        <w:tc>
          <w:tcPr>
            <w:tcW w:w="8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12/31/2024</w:t>
            </w:r>
          </w:p>
        </w:tc>
        <w:tc>
          <w:tcPr>
            <w:tcW w:w="1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13,000,000</w:t>
            </w:r>
          </w:p>
        </w:tc>
        <w:tc>
          <w:tcPr>
            <w:tcW w:w="9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4,887,500</w:t>
            </w:r>
          </w:p>
        </w:tc>
        <w:tc>
          <w:tcPr>
            <w:tcW w:w="8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(23,849)</w:t>
            </w:r>
          </w:p>
        </w:tc>
        <w:tc>
          <w:tcPr>
            <w:tcW w:w="9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4,863,651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5,500,000</w:t>
            </w:r>
          </w:p>
        </w:tc>
        <w:tc>
          <w:tcPr>
            <w:tcW w:w="13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P+9.25% Cash (7)</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I/O</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8"/>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17</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Florida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1/18/2022</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1/31/2025</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15,000,000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15,000,000</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(168,338)</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14,831,662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P+4.75% Cash (10)</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30"/>
        </w:trPr>
        <w:tc>
          <w:tcPr>
            <w:tcW w:w="46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18</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Ohio</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2/3/2022</w:t>
            </w:r>
          </w:p>
        </w:tc>
        <w:tc>
          <w:tcPr>
            <w:tcW w:w="8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2/28/2025</w:t>
            </w:r>
          </w:p>
        </w:tc>
        <w:tc>
          <w:tcPr>
            <w:tcW w:w="1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P+1.75% Cash, 5%</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P&amp;I</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11,662,050</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13,000,915</w:t>
            </w:r>
          </w:p>
        </w:tc>
        <w:tc>
          <w:tcPr>
            <w:tcW w:w="8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(112,166)</w:t>
            </w: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12,888,749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PIK(11)</w:t>
            </w:r>
          </w:p>
        </w:tc>
        <w:tc>
          <w:tcPr>
            <w:tcW w:w="9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19</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Florida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3/11/2022</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8/29/2025</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20,000,000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20,537,025</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(55,525)</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20,481,500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216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   11% Cash, 3% PIK</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8"/>
        </w:trPr>
        <w:tc>
          <w:tcPr>
            <w:tcW w:w="4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Missouri</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5/9/2022</w:t>
            </w:r>
          </w:p>
        </w:tc>
        <w:tc>
          <w:tcPr>
            <w:tcW w:w="8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5/30/2025</w:t>
            </w:r>
          </w:p>
        </w:tc>
        <w:tc>
          <w:tcPr>
            <w:tcW w:w="1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17,000,000</w:t>
            </w:r>
          </w:p>
        </w:tc>
        <w:tc>
          <w:tcPr>
            <w:tcW w:w="9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17,602,435</w:t>
            </w:r>
          </w:p>
        </w:tc>
        <w:tc>
          <w:tcPr>
            <w:tcW w:w="8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(92,534)</w:t>
            </w:r>
          </w:p>
        </w:tc>
        <w:tc>
          <w:tcPr>
            <w:tcW w:w="9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17,509,901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2160" w:type="dxa"/>
            <w:vAlign w:val="bottom"/>
            <w:tcBorders>
              <w:right w:val="single" w:sz="8" w:color="CCEEFF"/>
            </w:tcBorders>
            <w:gridSpan w:val="3"/>
            <w:shd w:val="clear" w:color="auto" w:fill="CCEEFF"/>
          </w:tcPr>
          <w:p>
            <w:pPr>
              <w:ind w:left="660"/>
              <w:spacing w:after="0" w:line="149" w:lineRule="exact"/>
              <w:rPr>
                <w:sz w:val="20"/>
                <w:szCs w:val="20"/>
                <w:color w:val="auto"/>
              </w:rPr>
            </w:pPr>
            <w:r>
              <w:rPr>
                <w:rFonts w:ascii="Arial" w:cs="Arial" w:eastAsia="Arial" w:hAnsi="Arial"/>
                <w:sz w:val="14"/>
                <w:szCs w:val="14"/>
                <w:color w:val="auto"/>
              </w:rPr>
              <w:t>-   11% Cash, 2% PIK</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30"/>
        </w:trPr>
        <w:tc>
          <w:tcPr>
            <w:tcW w:w="460" w:type="dxa"/>
            <w:vAlign w:val="bottom"/>
          </w:tcPr>
          <w:p>
            <w:pPr>
              <w:spacing w:after="0" w:line="130" w:lineRule="exact"/>
              <w:rPr>
                <w:sz w:val="20"/>
                <w:szCs w:val="20"/>
                <w:color w:val="auto"/>
              </w:rPr>
            </w:pPr>
            <w:r>
              <w:rPr>
                <w:rFonts w:ascii="Arial" w:cs="Arial" w:eastAsia="Arial" w:hAnsi="Arial"/>
                <w:sz w:val="14"/>
                <w:szCs w:val="14"/>
                <w:b w:val="1"/>
                <w:bCs w:val="1"/>
                <w:color w:val="auto"/>
              </w:rPr>
              <w:t>21</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Illinois</w:t>
            </w:r>
          </w:p>
        </w:tc>
        <w:tc>
          <w:tcPr>
            <w:tcW w:w="820" w:type="dxa"/>
            <w:vAlign w:val="bottom"/>
          </w:tcPr>
          <w:p>
            <w:pPr>
              <w:jc w:val="center"/>
              <w:spacing w:after="0" w:line="130" w:lineRule="exact"/>
              <w:rPr>
                <w:sz w:val="20"/>
                <w:szCs w:val="20"/>
                <w:color w:val="auto"/>
              </w:rPr>
            </w:pPr>
            <w:r>
              <w:rPr>
                <w:rFonts w:ascii="Arial" w:cs="Arial" w:eastAsia="Arial" w:hAnsi="Arial"/>
                <w:sz w:val="14"/>
                <w:szCs w:val="14"/>
                <w:color w:val="auto"/>
                <w:w w:val="95"/>
              </w:rPr>
              <w:t>7/1/2022</w:t>
            </w:r>
          </w:p>
        </w:tc>
        <w:tc>
          <w:tcPr>
            <w:tcW w:w="800" w:type="dxa"/>
            <w:vAlign w:val="bottom"/>
          </w:tcPr>
          <w:p>
            <w:pPr>
              <w:jc w:val="center"/>
              <w:spacing w:after="0" w:line="130" w:lineRule="exact"/>
              <w:rPr>
                <w:sz w:val="20"/>
                <w:szCs w:val="20"/>
                <w:color w:val="auto"/>
              </w:rPr>
            </w:pPr>
            <w:r>
              <w:rPr>
                <w:rFonts w:ascii="Arial" w:cs="Arial" w:eastAsia="Arial" w:hAnsi="Arial"/>
                <w:sz w:val="14"/>
                <w:szCs w:val="14"/>
                <w:color w:val="auto"/>
                <w:w w:val="93"/>
              </w:rPr>
              <w:t>7/29/2026</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center"/>
              <w:spacing w:after="0" w:line="130" w:lineRule="exact"/>
              <w:rPr>
                <w:sz w:val="20"/>
                <w:szCs w:val="20"/>
                <w:color w:val="auto"/>
              </w:rPr>
            </w:pPr>
            <w:r>
              <w:rPr>
                <w:rFonts w:ascii="Arial" w:cs="Arial" w:eastAsia="Arial" w:hAnsi="Arial"/>
                <w:sz w:val="14"/>
                <w:szCs w:val="14"/>
                <w:color w:val="auto"/>
                <w:w w:val="92"/>
              </w:rPr>
              <w:t>P+8.5% Cash, 3%</w:t>
            </w:r>
          </w:p>
        </w:tc>
        <w:tc>
          <w:tcPr>
            <w:tcW w:w="920" w:type="dxa"/>
            <w:vAlign w:val="bottom"/>
          </w:tcPr>
          <w:p>
            <w:pPr>
              <w:jc w:val="center"/>
              <w:spacing w:after="0" w:line="130" w:lineRule="exact"/>
              <w:rPr>
                <w:sz w:val="20"/>
                <w:szCs w:val="20"/>
                <w:color w:val="auto"/>
              </w:rPr>
            </w:pPr>
            <w:r>
              <w:rPr>
                <w:rFonts w:ascii="Arial" w:cs="Arial" w:eastAsia="Arial" w:hAnsi="Arial"/>
                <w:sz w:val="14"/>
                <w:szCs w:val="14"/>
                <w:color w:val="auto"/>
              </w:rPr>
              <w:t>P&amp;I</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9,000,000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5,192,975</w:t>
            </w:r>
          </w:p>
        </w:tc>
        <w:tc>
          <w:tcPr>
            <w:tcW w:w="820" w:type="dxa"/>
            <w:vAlign w:val="bottom"/>
            <w:gridSpan w:val="2"/>
          </w:tcPr>
          <w:p>
            <w:pPr>
              <w:jc w:val="right"/>
              <w:ind w:right="19"/>
              <w:spacing w:after="0"/>
              <w:rPr>
                <w:sz w:val="20"/>
                <w:szCs w:val="20"/>
                <w:color w:val="auto"/>
              </w:rPr>
            </w:pPr>
            <w:r>
              <w:rPr>
                <w:rFonts w:ascii="Arial" w:cs="Arial" w:eastAsia="Arial" w:hAnsi="Arial"/>
                <w:sz w:val="14"/>
                <w:szCs w:val="14"/>
                <w:color w:val="auto"/>
              </w:rPr>
              <w:t>(62,438)</w:t>
            </w:r>
          </w:p>
        </w:tc>
        <w:tc>
          <w:tcPr>
            <w:tcW w:w="920" w:type="dxa"/>
            <w:vAlign w:val="bottom"/>
            <w:gridSpan w:val="2"/>
          </w:tcPr>
          <w:p>
            <w:pPr>
              <w:jc w:val="right"/>
              <w:ind w:right="59"/>
              <w:spacing w:after="0"/>
              <w:rPr>
                <w:sz w:val="20"/>
                <w:szCs w:val="20"/>
                <w:color w:val="auto"/>
              </w:rPr>
            </w:pPr>
            <w:r>
              <w:rPr>
                <w:rFonts w:ascii="Arial" w:cs="Arial" w:eastAsia="Arial" w:hAnsi="Arial"/>
                <w:sz w:val="14"/>
                <w:szCs w:val="14"/>
                <w:color w:val="auto"/>
              </w:rPr>
              <w:t>5,130,537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4,000,000</w:t>
            </w:r>
          </w:p>
        </w:tc>
        <w:tc>
          <w:tcPr>
            <w:tcW w:w="1340" w:type="dxa"/>
            <w:vAlign w:val="bottom"/>
          </w:tcPr>
          <w:p>
            <w:pPr>
              <w:jc w:val="center"/>
              <w:spacing w:after="0"/>
              <w:rPr>
                <w:sz w:val="20"/>
                <w:szCs w:val="20"/>
                <w:color w:val="auto"/>
              </w:rPr>
            </w:pPr>
            <w:r>
              <w:rPr>
                <w:rFonts w:ascii="Arial" w:cs="Arial" w:eastAsia="Arial" w:hAnsi="Arial"/>
                <w:sz w:val="14"/>
                <w:szCs w:val="14"/>
                <w:color w:val="auto"/>
                <w:w w:val="97"/>
              </w:rPr>
              <w:t>PIK</w:t>
            </w:r>
          </w:p>
        </w:tc>
        <w:tc>
          <w:tcPr>
            <w:tcW w:w="9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30"/>
        </w:trPr>
        <w:tc>
          <w:tcPr>
            <w:tcW w:w="460" w:type="dxa"/>
            <w:vAlign w:val="bottom"/>
            <w:tcBorders>
              <w:right w:val="single" w:sz="8" w:color="CCEEFF"/>
            </w:tcBorders>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22</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7"/>
              </w:rPr>
              <w:t>Maryland</w:t>
            </w:r>
          </w:p>
        </w:tc>
        <w:tc>
          <w:tcPr>
            <w:tcW w:w="8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1/24/2023</w:t>
            </w:r>
          </w:p>
        </w:tc>
        <w:tc>
          <w:tcPr>
            <w:tcW w:w="80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1/24/2026</w:t>
            </w:r>
          </w:p>
        </w:tc>
        <w:tc>
          <w:tcPr>
            <w:tcW w:w="180" w:type="dxa"/>
            <w:vAlign w:val="bottom"/>
            <w:shd w:val="clear" w:color="auto" w:fill="CCEEFF"/>
          </w:tcPr>
          <w:p>
            <w:pPr>
              <w:spacing w:after="0"/>
              <w:rPr>
                <w:sz w:val="11"/>
                <w:szCs w:val="11"/>
                <w:color w:val="auto"/>
              </w:rPr>
            </w:pPr>
          </w:p>
        </w:tc>
        <w:tc>
          <w:tcPr>
            <w:tcW w:w="940" w:type="dxa"/>
            <w:vAlign w:val="bottom"/>
            <w:tcBorders>
              <w:right w:val="single" w:sz="8" w:color="CCEEFF"/>
            </w:tcBorders>
            <w:shd w:val="clear" w:color="auto" w:fill="CCEEFF"/>
          </w:tcPr>
          <w:p>
            <w:pPr>
              <w:spacing w:after="0"/>
              <w:rPr>
                <w:sz w:val="11"/>
                <w:szCs w:val="11"/>
                <w:color w:val="auto"/>
              </w:rPr>
            </w:pPr>
          </w:p>
        </w:tc>
        <w:tc>
          <w:tcPr>
            <w:tcW w:w="92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P+5.75% Cash, 1.4%</w:t>
            </w:r>
          </w:p>
        </w:tc>
        <w:tc>
          <w:tcPr>
            <w:tcW w:w="920" w:type="dxa"/>
            <w:vAlign w:val="bottom"/>
            <w:tcBorders>
              <w:right w:val="single" w:sz="8" w:color="CCEEFF"/>
            </w:tcBorders>
            <w:shd w:val="clear" w:color="auto" w:fill="CCEEFF"/>
          </w:tcPr>
          <w:p>
            <w:pPr>
              <w:jc w:val="center"/>
              <w:spacing w:after="0" w:line="130" w:lineRule="exact"/>
              <w:rPr>
                <w:sz w:val="20"/>
                <w:szCs w:val="20"/>
                <w:color w:val="auto"/>
              </w:rPr>
            </w:pPr>
            <w:r>
              <w:rPr>
                <w:rFonts w:ascii="Arial" w:cs="Arial" w:eastAsia="Arial" w:hAnsi="Arial"/>
                <w:sz w:val="14"/>
                <w:szCs w:val="14"/>
                <w:color w:val="auto"/>
              </w:rPr>
              <w:t>P&amp;I</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CCEEFF"/>
            </w:tcBorders>
            <w:shd w:val="clear" w:color="auto" w:fill="CCEEFF"/>
          </w:tcPr>
          <w:p>
            <w:pPr>
              <w:spacing w:after="0"/>
              <w:rPr>
                <w:sz w:val="14"/>
                <w:szCs w:val="14"/>
                <w:color w:val="auto"/>
              </w:rPr>
            </w:pPr>
          </w:p>
        </w:tc>
        <w:tc>
          <w:tcPr>
            <w:tcW w:w="92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11,250,000</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10,795,144</w:t>
            </w:r>
          </w:p>
        </w:tc>
        <w:tc>
          <w:tcPr>
            <w:tcW w:w="8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(521,647)</w:t>
            </w: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10,273,497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PIK (10)</w:t>
            </w:r>
          </w:p>
        </w:tc>
        <w:tc>
          <w:tcPr>
            <w:tcW w:w="92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48"/>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23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Arizona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3/27/2023</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3/31/2026</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2,000,000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1,920,000</w:t>
            </w:r>
          </w:p>
        </w:tc>
        <w:tc>
          <w:tcPr>
            <w:tcW w:w="8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(41,500)</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1,878,500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2"/>
              </w:rPr>
              <w:t>P+7.5% Cash (13)</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8"/>
        </w:trPr>
        <w:tc>
          <w:tcPr>
            <w:tcW w:w="4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24</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Oregon</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3/31/2023</w:t>
            </w:r>
          </w:p>
        </w:tc>
        <w:tc>
          <w:tcPr>
            <w:tcW w:w="8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9/27/2026</w:t>
            </w:r>
          </w:p>
        </w:tc>
        <w:tc>
          <w:tcPr>
            <w:tcW w:w="1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1,000,000</w:t>
            </w:r>
          </w:p>
        </w:tc>
        <w:tc>
          <w:tcPr>
            <w:tcW w:w="9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900,000</w:t>
            </w:r>
          </w:p>
        </w:tc>
        <w:tc>
          <w:tcPr>
            <w:tcW w:w="8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900,000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P+10.5% Cash (9)</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8"/>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25</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8"/>
              </w:rPr>
              <w:t>New York</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8/1/2023</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6/29/2036</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18,746,662</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18,417,846</w:t>
            </w: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18,417,846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89"/>
              </w:rPr>
              <w:t>15% Cash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46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26</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Connecticut</w:t>
            </w:r>
          </w:p>
        </w:tc>
        <w:tc>
          <w:tcPr>
            <w:tcW w:w="8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8/31/2023</w:t>
            </w:r>
          </w:p>
        </w:tc>
        <w:tc>
          <w:tcPr>
            <w:tcW w:w="80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2/27/2026</w:t>
            </w:r>
          </w:p>
        </w:tc>
        <w:tc>
          <w:tcPr>
            <w:tcW w:w="18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5,450,000</w:t>
            </w:r>
          </w:p>
        </w:tc>
        <w:tc>
          <w:tcPr>
            <w:tcW w:w="92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5,450,000</w:t>
            </w:r>
          </w:p>
        </w:tc>
        <w:tc>
          <w:tcPr>
            <w:tcW w:w="8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(131,763)</w:t>
            </w:r>
          </w:p>
        </w:tc>
        <w:tc>
          <w:tcPr>
            <w:tcW w:w="9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5,318,237</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14% Cash</w:t>
            </w:r>
          </w:p>
        </w:tc>
        <w:tc>
          <w:tcPr>
            <w:tcW w:w="920" w:type="dxa"/>
            <w:vAlign w:val="bottom"/>
            <w:tcBorders>
              <w:right w:val="single" w:sz="8" w:color="CCEEFF"/>
            </w:tcBorders>
            <w:shd w:val="clear" w:color="auto" w:fill="CCEEFF"/>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8"/>
        </w:trPr>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27</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3"/>
              </w:rPr>
              <w:t>Nebraska</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8/15/2023</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6/30/2027</w:t>
            </w:r>
          </w:p>
        </w:tc>
        <w:tc>
          <w:tcPr>
            <w:tcW w:w="18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6,103,870</w:t>
            </w:r>
          </w:p>
        </w:tc>
        <w:tc>
          <w:tcPr>
            <w:tcW w:w="9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6,103,870</w:t>
            </w:r>
          </w:p>
        </w:tc>
        <w:tc>
          <w:tcPr>
            <w:tcW w:w="8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6,103,870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1"/>
              </w:rPr>
              <w:t>P+8.75% Cash</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rPr>
              <w:t>P&amp;I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2"/>
        </w:trPr>
        <w:tc>
          <w:tcPr>
            <w:tcW w:w="4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28</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Ohio</w:t>
            </w:r>
          </w:p>
        </w:tc>
        <w:tc>
          <w:tcPr>
            <w:tcW w:w="8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9/13/2023</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3/13/2025</w:t>
            </w: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2,466,705</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2,466,705</w:t>
            </w:r>
          </w:p>
        </w:tc>
        <w:tc>
          <w:tcPr>
            <w:tcW w:w="8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2,466,705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15% Cash</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P&amp;I</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3"/>
        </w:trPr>
        <w:tc>
          <w:tcPr>
            <w:tcW w:w="2200" w:type="dxa"/>
            <w:vAlign w:val="bottom"/>
            <w:tcBorders>
              <w:top w:val="single" w:sz="8" w:color="CCEEFF"/>
              <w:bottom w:val="single" w:sz="8" w:color="CCEEFF"/>
            </w:tcBorders>
            <w:gridSpan w:val="3"/>
          </w:tcPr>
          <w:p>
            <w:pPr>
              <w:spacing w:after="0" w:line="135" w:lineRule="exact"/>
              <w:rPr>
                <w:sz w:val="20"/>
                <w:szCs w:val="20"/>
                <w:color w:val="auto"/>
              </w:rPr>
            </w:pPr>
            <w:r>
              <w:rPr>
                <w:rFonts w:ascii="Arial" w:cs="Arial" w:eastAsia="Arial" w:hAnsi="Arial"/>
                <w:sz w:val="14"/>
                <w:szCs w:val="14"/>
                <w:b w:val="1"/>
                <w:bCs w:val="1"/>
                <w:color w:val="auto"/>
              </w:rPr>
              <w:t>Current expected credit losses</w:t>
            </w:r>
          </w:p>
        </w:tc>
        <w:tc>
          <w:tcPr>
            <w:tcW w:w="80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28"/>
              <w:spacing w:after="0" w:line="13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(5,112,195</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CCEEFF"/>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1340" w:type="dxa"/>
            <w:vAlign w:val="bottom"/>
            <w:tcBorders>
              <w:top w:val="single" w:sz="8" w:color="CCEEFF"/>
              <w:bottom w:val="single" w:sz="8" w:color="CCEEFF"/>
            </w:tcBorders>
          </w:tcPr>
          <w:p>
            <w:pPr>
              <w:spacing w:after="0"/>
              <w:rPr>
                <w:sz w:val="12"/>
                <w:szCs w:val="12"/>
                <w:color w:val="auto"/>
              </w:rPr>
            </w:pPr>
          </w:p>
        </w:tc>
        <w:tc>
          <w:tcPr>
            <w:tcW w:w="920" w:type="dxa"/>
            <w:vAlign w:val="bottom"/>
            <w:tcBorders>
              <w:top w:val="single" w:sz="8" w:color="CCEEFF"/>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2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7"/>
              </w:rPr>
              <w:t>Total loans held at carrying value</w:t>
            </w:r>
          </w:p>
        </w:tc>
        <w:tc>
          <w:tcPr>
            <w:tcW w:w="8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355,941,661</w:t>
            </w:r>
          </w:p>
        </w:tc>
        <w:tc>
          <w:tcPr>
            <w:tcW w:w="9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341,813,501</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(3,021,012</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9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333,680,294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11,204,000</w:t>
            </w:r>
          </w:p>
        </w:tc>
        <w:tc>
          <w:tcPr>
            <w:tcW w:w="134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Wtd Average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440" w:hanging="472"/>
        <w:spacing w:after="0" w:line="277"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loans originated prior to April 1, 2021 were purchased from affiliated entities at fair value plus accrued interest on or subsequent to April 1, 2021.</w:t>
      </w:r>
    </w:p>
    <w:p>
      <w:pPr>
        <w:spacing w:after="0" w:line="170" w:lineRule="exact"/>
        <w:rPr>
          <w:rFonts w:ascii="Arial" w:cs="Arial" w:eastAsia="Arial" w:hAnsi="Arial"/>
          <w:sz w:val="18"/>
          <w:szCs w:val="18"/>
          <w:color w:val="auto"/>
        </w:rPr>
      </w:pPr>
    </w:p>
    <w:p>
      <w:pPr>
        <w:ind w:left="480" w:right="20" w:hanging="472"/>
        <w:spacing w:after="0" w:line="259"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loans are subject to contractual extension options and may be subject to performance based on other conditions as stipulated in the loan agreement. Actual maturities may differ from contractual maturities stated herein as certain borrowers may have the right to prepay with or without a contractual prepayment penalty. The Company may also extend contractual maturities and amend other terms of the loans in connection with loan modifications.</w:t>
      </w:r>
    </w:p>
    <w:p>
      <w:pPr>
        <w:spacing w:after="0" w:line="186" w:lineRule="exact"/>
        <w:rPr>
          <w:rFonts w:ascii="Arial" w:cs="Arial" w:eastAsia="Arial" w:hAnsi="Arial"/>
          <w:sz w:val="18"/>
          <w:szCs w:val="18"/>
          <w:color w:val="auto"/>
        </w:rPr>
      </w:pPr>
    </w:p>
    <w:p>
      <w:pPr>
        <w:ind w:left="480" w:right="180" w:hanging="472"/>
        <w:spacing w:after="0" w:line="277"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Commitment excludes future amounts to be advanced at sole discretion of the lender and reflects receipt of scheduled amortization payments as of September 30, 2023.</w:t>
      </w:r>
    </w:p>
    <w:p>
      <w:pPr>
        <w:spacing w:after="0" w:line="170" w:lineRule="exact"/>
        <w:rPr>
          <w:rFonts w:ascii="Arial" w:cs="Arial" w:eastAsia="Arial" w:hAnsi="Arial"/>
          <w:sz w:val="18"/>
          <w:szCs w:val="18"/>
          <w:color w:val="auto"/>
        </w:rPr>
      </w:pPr>
    </w:p>
    <w:p>
      <w:pPr>
        <w:ind w:left="480" w:right="200" w:hanging="472"/>
        <w:spacing w:after="0" w:line="277"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 = prime rate and depicts floating rate loans that pay interest at the prime rate plus a specific percentage; “PIK” = paid-in-kind interest; subtotal represents weighted average interest 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38" w:name="page39"/>
    <w:bookmarkEnd w:id="38"/>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P&amp;I = principal and interest. I/O = interest only. P&amp;I loans may include interest only periods for a portion of the loan term.</w:t>
      </w:r>
    </w:p>
    <w:p>
      <w:pPr>
        <w:spacing w:after="0" w:line="225" w:lineRule="exact"/>
        <w:rPr>
          <w:rFonts w:ascii="Arial" w:cs="Arial" w:eastAsia="Arial" w:hAnsi="Arial"/>
          <w:sz w:val="18"/>
          <w:szCs w:val="18"/>
          <w:color w:val="auto"/>
        </w:rPr>
      </w:pPr>
    </w:p>
    <w:p>
      <w:pPr>
        <w:ind w:left="472" w:hanging="472"/>
        <w:spacing w:after="0" w:line="253" w:lineRule="auto"/>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196"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3.25%</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4.75%</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5.50%</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6.25%</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7.00%</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7.50%</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8.00%</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8.25%</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floor of 4.00%</w:t>
      </w:r>
    </w:p>
    <w:p>
      <w:pPr>
        <w:spacing w:after="0" w:line="225" w:lineRule="exact"/>
        <w:rPr>
          <w:rFonts w:ascii="Arial" w:cs="Arial" w:eastAsia="Arial" w:hAnsi="Arial"/>
          <w:sz w:val="18"/>
          <w:szCs w:val="18"/>
          <w:color w:val="auto"/>
        </w:rPr>
      </w:pPr>
    </w:p>
    <w:p>
      <w:pPr>
        <w:ind w:left="472" w:hanging="472"/>
        <w:spacing w:after="0"/>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Loan is subject to a prime rate cap of 5.85%</w:t>
      </w:r>
    </w:p>
    <w:p>
      <w:pPr>
        <w:spacing w:after="0" w:line="225" w:lineRule="exact"/>
        <w:rPr>
          <w:rFonts w:ascii="Arial" w:cs="Arial" w:eastAsia="Arial" w:hAnsi="Arial"/>
          <w:sz w:val="18"/>
          <w:szCs w:val="18"/>
          <w:color w:val="auto"/>
        </w:rPr>
      </w:pPr>
    </w:p>
    <w:p>
      <w:pPr>
        <w:ind w:left="472" w:right="20" w:hanging="472"/>
        <w:spacing w:after="0" w:line="263" w:lineRule="auto"/>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loan commitment to Loan #3 includes a $15.9 million initial commitment which has a base interest rate of 13.625%, 2.75% PIK and a second commitment of $4.2 million which has an interest rate of 15.00%, 2.00% PIK. The statistics presented reflect the weighted average of the terms under all advances for the total aggregate loan commitment.</w:t>
      </w:r>
    </w:p>
    <w:p>
      <w:pPr>
        <w:spacing w:after="0" w:line="183" w:lineRule="exact"/>
        <w:rPr>
          <w:rFonts w:ascii="Arial" w:cs="Arial" w:eastAsia="Arial" w:hAnsi="Arial"/>
          <w:sz w:val="18"/>
          <w:szCs w:val="18"/>
          <w:color w:val="auto"/>
        </w:rPr>
      </w:pPr>
    </w:p>
    <w:p>
      <w:pPr>
        <w:ind w:left="472" w:right="120" w:hanging="472"/>
        <w:spacing w:after="0" w:line="277" w:lineRule="auto"/>
        <w:tabs>
          <w:tab w:leader="none" w:pos="4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of May 1, 2023, Loan #9 was placed on non-accrual status and continues to be on non-accrual as of September 30, 2023. Loan #9 is included on the consolidated balance sheet as a loan held for investment – related party (Note 7).</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8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tables summarize our loans held for investment as of September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As of September 30, 2023</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Original Issue</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Principal (1)</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Discount</w:t>
            </w:r>
          </w:p>
        </w:tc>
        <w:tc>
          <w:tcPr>
            <w:tcW w:w="14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 (1)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(Years) (2)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341,813,501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(3,021,012)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338,792,489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Current expected credit loss reserve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(5,112,195)</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loans held at carrying value,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341,813,501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(3,021,012</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333,680,294</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As of December 31, 2022</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Original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6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Issue</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Principal (1)</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Discount</w:t>
            </w:r>
          </w:p>
        </w:tc>
        <w:tc>
          <w:tcPr>
            <w:tcW w:w="14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Value (1)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(Years) (2)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Term Loans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343,029,334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(3,755,796)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339,273,538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Current expected credit loss reserve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(3,940,939)</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loans held at carrying value,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343,029,334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(3,755,796</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335,332,599</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Weighted average remaining life is calculated based on the carrying value of the loans as of September 30, 2023 and December 31, 2022,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changes in loans held for investment at carrying value as of and for the nine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Original</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9"/>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6"/>
              </w:rPr>
              <w:t>Issue</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Credit Loss</w:t>
            </w:r>
          </w:p>
        </w:tc>
        <w:tc>
          <w:tcPr>
            <w:tcW w:w="14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Principal (1)</w:t>
            </w:r>
          </w:p>
        </w:tc>
        <w:tc>
          <w:tcPr>
            <w:tcW w:w="160" w:type="dxa"/>
            <w:vAlign w:val="bottom"/>
          </w:tcPr>
          <w:p>
            <w:pPr>
              <w:spacing w:after="0"/>
              <w:rPr>
                <w:sz w:val="20"/>
                <w:szCs w:val="20"/>
                <w:color w:val="auto"/>
              </w:rPr>
            </w:pPr>
          </w:p>
        </w:tc>
        <w:tc>
          <w:tcPr>
            <w:tcW w:w="118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8"/>
              </w:rPr>
              <w:t>Discount</w:t>
            </w:r>
          </w:p>
        </w:tc>
        <w:tc>
          <w:tcPr>
            <w:tcW w:w="100" w:type="dxa"/>
            <w:vAlign w:val="bottom"/>
          </w:tcPr>
          <w:p>
            <w:pPr>
              <w:spacing w:after="0"/>
              <w:rPr>
                <w:sz w:val="20"/>
                <w:szCs w:val="20"/>
                <w:color w:val="auto"/>
              </w:rPr>
            </w:pPr>
          </w:p>
        </w:tc>
        <w:tc>
          <w:tcPr>
            <w:tcW w:w="1220" w:type="dxa"/>
            <w:vAlign w:val="bottom"/>
            <w:gridSpan w:val="2"/>
          </w:tcPr>
          <w:p>
            <w:pPr>
              <w:jc w:val="center"/>
              <w:ind w:right="221"/>
              <w:spacing w:after="0"/>
              <w:rPr>
                <w:sz w:val="20"/>
                <w:szCs w:val="20"/>
                <w:color w:val="auto"/>
              </w:rPr>
            </w:pPr>
            <w:r>
              <w:rPr>
                <w:rFonts w:ascii="Arial" w:cs="Arial" w:eastAsia="Arial" w:hAnsi="Arial"/>
                <w:sz w:val="18"/>
                <w:szCs w:val="18"/>
                <w:b w:val="1"/>
                <w:bCs w:val="1"/>
                <w:color w:val="auto"/>
                <w:w w:val="85"/>
              </w:rPr>
              <w:t>Reserve</w:t>
            </w: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343,029,334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(3,755,796)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(3,940,939)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335,332,599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New fundings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68,677,238</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(1,254,590)</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67,422,648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(62,837,108)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(62,837,108)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1,989,374</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1,989,374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loan (2)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(13,399,712)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(13,399,712)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PIK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6,343,749</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6,343,749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expected credit loss reserve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(1,171,256)</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(1,171,256)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September 30, 2023</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341,813,501</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(3,021,012</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(5,112,195</w:t>
            </w:r>
          </w:p>
        </w:tc>
        <w:tc>
          <w:tcPr>
            <w:tcW w:w="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333,680,294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70"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loan was reclassified as held for sale from loans held for investment as the decision was made to sell the loan during the nine months ended September 30, 2023 to a syndicate of co-lenders which includes a third party and two affiliates under common control with our Manager. The sale was executed on March 31, 2023.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Original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Issue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Credit Loss</w:t>
            </w:r>
          </w:p>
        </w:tc>
        <w:tc>
          <w:tcPr>
            <w:tcW w:w="14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Carrying</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8"/>
              </w:rPr>
              <w:t>Principal (1)</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Discount</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Reserve</w:t>
            </w: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200,632,056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(3,647,490)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196,850,024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New fundings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143,624,312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(2,180,593)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141,443,719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(6,892,654)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(6,892,654)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Accretion of original issue discount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2,139,972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2,139,972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(6,957,500)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260,723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(6,696,777)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PIK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4,096,721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4,096,721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expected credit loss reserve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(1,363,391)</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(1,363,391)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at September 30, 2022</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334,502,935</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(3,427,388)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(1,497,933)</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329,577,614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6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potential impacts on our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Key Financial Measures and Indicators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a commercial mortgage real estate investment trust, we believe the key financial measures and indicators for our business are Distributable Earnings, Adjusted Distributable Earnings, book value per share, and dividends declared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Distributable Earnings and Adjusted Distributable Earnings</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8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ind w:right="40" w:firstLine="648"/>
        <w:spacing w:after="0" w:line="259" w:lineRule="auto"/>
        <w:rPr>
          <w:sz w:val="20"/>
          <w:szCs w:val="20"/>
          <w:color w:val="auto"/>
        </w:rPr>
      </w:pPr>
      <w:r>
        <w:rPr>
          <w:rFonts w:ascii="Arial" w:cs="Arial" w:eastAsia="Arial" w:hAnsi="Arial"/>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provides a reconciliation of GAAP net income to Distributable Earnings and Adjusted Distributable Earnings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For the three</w:t>
            </w:r>
          </w:p>
        </w:tc>
        <w:tc>
          <w:tcPr>
            <w:tcW w:w="8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Arial" w:cs="Arial" w:eastAsia="Arial" w:hAnsi="Arial"/>
                <w:sz w:val="18"/>
                <w:szCs w:val="18"/>
                <w:b w:val="1"/>
                <w:bCs w:val="1"/>
                <w:color w:val="auto"/>
              </w:rPr>
              <w:t>For the three</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For the nine</w:t>
            </w:r>
          </w:p>
        </w:tc>
        <w:tc>
          <w:tcPr>
            <w:tcW w:w="80" w:type="dxa"/>
            <w:vAlign w:val="bottom"/>
          </w:tcPr>
          <w:p>
            <w:pPr>
              <w:spacing w:after="0"/>
              <w:rPr>
                <w:sz w:val="18"/>
                <w:szCs w:val="18"/>
                <w:color w:val="auto"/>
              </w:rPr>
            </w:pPr>
          </w:p>
        </w:tc>
        <w:tc>
          <w:tcPr>
            <w:tcW w:w="1200" w:type="dxa"/>
            <w:vAlign w:val="bottom"/>
            <w:gridSpan w:val="3"/>
          </w:tcPr>
          <w:p>
            <w:pPr>
              <w:ind w:left="80"/>
              <w:spacing w:after="0"/>
              <w:rPr>
                <w:sz w:val="20"/>
                <w:szCs w:val="20"/>
                <w:color w:val="auto"/>
              </w:rPr>
            </w:pPr>
            <w:r>
              <w:rPr>
                <w:rFonts w:ascii="Arial" w:cs="Arial" w:eastAsia="Arial" w:hAnsi="Arial"/>
                <w:sz w:val="18"/>
                <w:szCs w:val="18"/>
                <w:b w:val="1"/>
                <w:bCs w:val="1"/>
                <w:color w:val="auto"/>
              </w:rPr>
              <w:t>For the nine</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months ended</w:t>
            </w:r>
          </w:p>
        </w:tc>
        <w:tc>
          <w:tcPr>
            <w:tcW w:w="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months ended</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months ended</w:t>
            </w:r>
          </w:p>
        </w:tc>
        <w:tc>
          <w:tcPr>
            <w:tcW w:w="8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w w:val="95"/>
              </w:rPr>
              <w:t>months ended</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380" w:type="dxa"/>
            <w:vAlign w:val="bottom"/>
            <w:gridSpan w:val="4"/>
          </w:tcPr>
          <w:p>
            <w:pPr>
              <w:ind w:left="8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September 30,</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6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9,976,998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9,768,969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29,312,725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25,036,760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Adjustments to net income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stock compensation expense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540,426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84,891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942,605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328,356</w:t>
            </w: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146,676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138,549</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405,778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379,644</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(Reversal)/provision for current expected credit losses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(41,351)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306,885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1,193,880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1,403,892</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Change in unrealized (gain) on debt securities, at fair value</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(85,567)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(112,767)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Distributable Earnings</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10,537,182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10,299,294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31,742,221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27,148,652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Adjustments to Distributable Earnings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Distributable Earnings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10,537,182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10,299,294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7"/>
              </w:rPr>
              <w:t>31,742,221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27,148,652</w:t>
            </w: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Basic weighted average shares of common stock outstanding (in shares)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18,175,467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17,657,913</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18,052,293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17,652,367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Distributable Earnings per Weighted Average Share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0.58</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0.58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1.76</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w:t>
            </w:r>
          </w:p>
        </w:tc>
        <w:tc>
          <w:tcPr>
            <w:tcW w:w="0" w:type="dxa"/>
            <w:vAlign w:val="bottom"/>
          </w:tcPr>
          <w:p>
            <w:pPr>
              <w:spacing w:after="0"/>
              <w:rPr>
                <w:sz w:val="1"/>
                <w:szCs w:val="1"/>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w w:val="99"/>
              </w:rPr>
              <w:t>Diluted weighted average shares of common stock outstanding (in shares)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18,562,930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17,752,290</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18,269,171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17,747,612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Distributable Earnings per Weighted Average Share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0.57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0.58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Book Value Per Share</w:t>
      </w:r>
    </w:p>
    <w:p>
      <w:pPr>
        <w:spacing w:after="0" w:line="225"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book value per share of our common stock as of September 30, 2023 and December 31, 2022 was approximately $15.17 and $14.86,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spacing w:after="0" w:line="19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As of September 30, 2023 and December 31, 2022, all of our cash was unrestricted and totaled approximately $8.7 million and $5.7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As of September 30, 2023 and December 31, 2022, unamortized debt issuance costs related to the Revolving Loan, including all amendments and amendments and restatements thereto, as applicable, of $516,261 and $805,596, respectively, are recorded in other receivables and assets, net on the consolidated balance sheets.</w:t>
      </w:r>
    </w:p>
    <w:p>
      <w:pPr>
        <w:spacing w:after="0" w:line="184"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As of and for the nine months ended September 30, 2023, the Company had net borrowings of $5.0 million against the Revolving Loan. As of September 30, 2023, the Company had $37.0 million available and $63.0 million outstanding under the Revolving Loan (Note 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Markets</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may seek to raise further equity capital and issue debt securities in order to fund our future investments in loans. Our Shelf Registration Statement became effective on January 19, 2023, allowing us to sell, from time to time in one or more offerings, up to $500 million of our securities, including common stock, preferred stock, debt securities, warrants and rights (including as part of a unit) to purchase shares of our common stock, preferred stock, or debt securities.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pursuant to which we may sell, from time to time, up to $75.0 million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changes in cash and cash equivalents for the nine months ended September 30, 2023 and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 nine</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For the nine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months</w:t>
            </w: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29,312,725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25,036,760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4"/>
              </w:rPr>
              <w:t>Adjustments to reconcile net income to net cash provided by/(used in) operating activities and changes in operating</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assets and liabilities</w:t>
            </w:r>
          </w:p>
        </w:tc>
        <w:tc>
          <w:tcPr>
            <w:tcW w:w="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(16,399,989)</w:t>
            </w:r>
          </w:p>
        </w:tc>
        <w:tc>
          <w:tcPr>
            <w:tcW w:w="120" w:type="dxa"/>
            <w:vAlign w:val="bottom"/>
          </w:tcPr>
          <w:p>
            <w:pPr>
              <w:spacing w:after="0"/>
              <w:rPr>
                <w:sz w:val="21"/>
                <w:szCs w:val="21"/>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(12,658,931)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12,912,736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12,377,829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8,814,172</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(120,724,572)</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(18,740,578)</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37,429,747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2,986,330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(70,916,996</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For the nine months ended September 30, 2023 and 2022, we reported “Net cash provided by operating activities” of approximately $12.9 million and $12.4 million, respectively. Net cash provided by operating activities increased approximately $0.5 million, primarily attributable to an increase in net income over the comparable period of $4.3 million, a change in the interest reserve for applied interest payments of approximately $8.6 million, a decrease in provision for current expected credit losses of approximately $0.2 million, and a decrease in accounts payable and accrued expenses of approximately $0.4 million. These changes were offset by the purchase of $3.4 million of debt securities, at fair value, an increase in PIK interest of approximately $2.2 million, an increase in interest receivable of approximately $0.5 million, an increase in related party net receivable of approximately $3.0 million, an increase in management and incentive fees payable of approximately $2.2 million, an increase in stock based compensation of approximately $0.6 million, and $0.1 million in unrealized gain relating to the purchase of debt securities, at fair value, over the comparable period.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Net Cash Provided by/(Used in) Investing Activities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nine months ended September 30, 2023 and 2022, we reported “Net cash provided by/(used in) investing activities” of approximately $8.8 million and ($120.7) million, respectively.</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nine months ended September 30, 2023, cash outflows primarily related to $67.4 million used for the origination and funding of loans held for investment, partially offset by $13.4 million received from the sales of loans and $62.8 million of cash received from the principal repayment of loans held for investment.</w:t>
      </w:r>
    </w:p>
    <w:p>
      <w:pPr>
        <w:spacing w:after="0" w:line="18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For the nine months ended September 30, 2022, cash outflows primarily related to $134.3 million used for the origination and funding of loans held for investment, partially offset by $6.7 million of cash received from the sales of loans and approximately $6.9 million of cash received from the principal repayment of loans held for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in)/Provided by Financing Activities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the nine months ended September 30, 2023 and 2022, we reported “Net cash (used in)/provided by financing activities” of approximately ($18.7) million and $37.4 million, respectively.</w:t>
      </w:r>
    </w:p>
    <w:p>
      <w:pPr>
        <w:spacing w:after="0" w:line="170"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For the nine months ended September 30, 2023, cash inflows of approximately $7.2 million related to proceeds received from sales of our common stock through the registered direct offering and ATM offering of $6.0 million and $1.2 million, respectively. Additionally, we had cash inflows related to draw downs on our Revolving Loan of $64 million, which were offset by $59.0 million in repayments on our Revolving Loan, approximately $30.6 million in dividends paid, approximately $0.1 million in debt issuance costs paid, and approximately $0.3 million in offering costs paid associated with the registered direct offering and ATM offering.</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nine months ended September 30, 2022, cash inflows primarily related to approximately $4.5 million received from the underwriters’ partial exercise of their over-allotment option in connection with our initial public offering and $53.0 million related to draw downs on our Revolving Loan, offset by approximately $19.9 million in dividends paid, and approximately $0.2 million in debt issuance costs and offering costs paid in connection with our Revolving Loan and initial public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 Policies</w:t>
      </w:r>
    </w:p>
    <w:p>
      <w:pPr>
        <w:spacing w:after="0" w:line="229"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4" w:name="page45"/>
    <w:bookmarkEnd w:id="44"/>
    <w:p>
      <w:pPr>
        <w:ind w:firstLine="648"/>
        <w:spacing w:after="0" w:line="259" w:lineRule="auto"/>
        <w:rPr>
          <w:sz w:val="20"/>
          <w:szCs w:val="20"/>
          <w:color w:val="auto"/>
        </w:rPr>
      </w:pPr>
      <w:r>
        <w:rPr>
          <w:rFonts w:ascii="Arial" w:cs="Arial" w:eastAsia="Arial" w:hAnsi="Arial"/>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dividends declared during the nine months ended September 30, 2023 and 2022,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Taxable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Section</w:t>
            </w:r>
          </w:p>
        </w:tc>
      </w:tr>
      <w:tr>
        <w:trPr>
          <w:trHeight w:val="216"/>
        </w:trPr>
        <w:tc>
          <w:tcPr>
            <w:tcW w:w="32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Distribution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Ordinary</w:t>
            </w:r>
          </w:p>
        </w:tc>
        <w:tc>
          <w:tcPr>
            <w:tcW w:w="9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Return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199A</w:t>
            </w:r>
          </w:p>
        </w:tc>
      </w:tr>
      <w:tr>
        <w:trPr>
          <w:trHeight w:val="241"/>
        </w:trPr>
        <w:tc>
          <w:tcPr>
            <w:tcW w:w="328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Dividends</w:t>
            </w:r>
          </w:p>
        </w:tc>
      </w:tr>
      <w:tr>
        <w:trPr>
          <w:trHeight w:val="249"/>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4/14/2023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6/30/2023</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7/14/2023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9/29/2023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10/13/2023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1.41</w:t>
            </w:r>
          </w:p>
        </w:tc>
        <w:tc>
          <w:tcPr>
            <w:tcW w:w="80" w:type="dxa"/>
            <w:vAlign w:val="bottom"/>
          </w:tcPr>
          <w:p>
            <w:pPr>
              <w:spacing w:after="0"/>
              <w:rPr>
                <w:sz w:val="20"/>
                <w:szCs w:val="20"/>
                <w:color w:val="auto"/>
              </w:rPr>
            </w:pPr>
          </w:p>
        </w:tc>
      </w:tr>
      <w:tr>
        <w:trPr>
          <w:trHeight w:val="21"/>
        </w:trPr>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4"/>
        </w:trPr>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Common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Taxable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Section</w:t>
            </w:r>
          </w:p>
        </w:tc>
      </w:tr>
      <w:tr>
        <w:trPr>
          <w:trHeight w:val="216"/>
        </w:trPr>
        <w:tc>
          <w:tcPr>
            <w:tcW w:w="32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Record</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Distribution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Ordinary</w:t>
            </w:r>
          </w:p>
        </w:tc>
        <w:tc>
          <w:tcPr>
            <w:tcW w:w="9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Return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199A</w:t>
            </w:r>
          </w:p>
        </w:tc>
      </w:tr>
      <w:tr>
        <w:trPr>
          <w:trHeight w:val="241"/>
        </w:trPr>
        <w:tc>
          <w:tcPr>
            <w:tcW w:w="328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Dividends</w:t>
            </w:r>
          </w:p>
        </w:tc>
      </w:tr>
      <w:tr>
        <w:trPr>
          <w:trHeight w:val="249"/>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3/31/2022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4/14/2022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32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6/30/2022</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center"/>
              <w:spacing w:after="0" w:line="203" w:lineRule="exact"/>
              <w:rPr>
                <w:sz w:val="20"/>
                <w:szCs w:val="20"/>
                <w:color w:val="auto"/>
              </w:rPr>
            </w:pPr>
            <w:r>
              <w:rPr>
                <w:rFonts w:ascii="Arial" w:cs="Arial" w:eastAsia="Arial" w:hAnsi="Arial"/>
                <w:sz w:val="18"/>
                <w:szCs w:val="18"/>
                <w:color w:val="auto"/>
                <w:w w:val="89"/>
              </w:rPr>
              <w:t>7/15/2022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790"/>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Regular cash dividend</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9/30/2022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10/14/2022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3280" w:type="dxa"/>
            <w:vAlign w:val="bottom"/>
          </w:tcPr>
          <w:p>
            <w:pPr>
              <w:spacing w:after="0"/>
              <w:rPr>
                <w:sz w:val="20"/>
                <w:szCs w:val="20"/>
                <w:color w:val="auto"/>
              </w:rPr>
            </w:pPr>
            <w:r>
              <w:rPr>
                <w:rFonts w:ascii="Arial" w:cs="Arial" w:eastAsia="Arial" w:hAnsi="Arial"/>
                <w:sz w:val="18"/>
                <w:szCs w:val="18"/>
                <w:color w:val="auto"/>
              </w:rPr>
              <w:t>Total cash dividend</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1.34</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w:t>
            </w: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20"/>
                <w:szCs w:val="20"/>
                <w:color w:val="auto"/>
              </w:rPr>
            </w:pPr>
          </w:p>
        </w:tc>
      </w:tr>
      <w:tr>
        <w:trPr>
          <w:trHeight w:val="20"/>
        </w:trPr>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CECL Reserve</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8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6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5" w:name="page46"/>
    <w:bookmarkEnd w:id="45"/>
    <w:p>
      <w:pPr>
        <w:ind w:right="80" w:firstLine="648"/>
        <w:spacing w:after="0" w:line="272" w:lineRule="auto"/>
        <w:rPr>
          <w:sz w:val="20"/>
          <w:szCs w:val="20"/>
          <w:color w:val="auto"/>
        </w:rPr>
      </w:pPr>
      <w:r>
        <w:rPr>
          <w:rFonts w:ascii="Arial" w:cs="Arial" w:eastAsia="Arial" w:hAnsi="Arial"/>
          <w:sz w:val="17"/>
          <w:szCs w:val="17"/>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7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6"/>
          <w:szCs w:val="16"/>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two fiscal years and has made investments in similar loans that have similar characteristics, including interest rate, collateral coverage, guarantees, and prepayment/make whole provisions, which fall into the pools identified above.</w:t>
      </w:r>
    </w:p>
    <w:p>
      <w:pPr>
        <w:spacing w:after="0" w:line="1"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61"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 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8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 Ratings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assess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196"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Rating</w:t>
      </w:r>
      <w:r>
        <w:rPr>
          <w:sz w:val="20"/>
          <w:szCs w:val="20"/>
          <w:color w:val="auto"/>
        </w:rPr>
        <w:tab/>
      </w:r>
      <w:r>
        <w:rPr>
          <w:rFonts w:ascii="Arial" w:cs="Arial" w:eastAsia="Arial" w:hAnsi="Arial"/>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1260" w:hanging="1252"/>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Very low risk</w:t>
      </w:r>
    </w:p>
    <w:p>
      <w:pPr>
        <w:spacing w:after="0" w:line="23" w:lineRule="exact"/>
        <w:rPr>
          <w:sz w:val="20"/>
          <w:szCs w:val="20"/>
          <w:color w:val="auto"/>
        </w:rPr>
      </w:pPr>
    </w:p>
    <w:p>
      <w:pPr>
        <w:ind w:left="1260" w:hanging="1252"/>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1252"/>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Moderate/average risk</w:t>
      </w:r>
    </w:p>
    <w:p>
      <w:pPr>
        <w:spacing w:after="0" w:line="9" w:lineRule="exact"/>
        <w:rPr>
          <w:sz w:val="20"/>
          <w:szCs w:val="20"/>
          <w:color w:val="auto"/>
        </w:rPr>
      </w:pPr>
    </w:p>
    <w:p>
      <w:pPr>
        <w:ind w:left="1260" w:hanging="1252"/>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260" w:hanging="1252"/>
        <w:spacing w:after="0"/>
        <w:tabs>
          <w:tab w:leader="none" w:pos="1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Impaired/loss likely: a loan that has a high risk of realizing principal loss, has incurred principal loss or an impairment has been recorded</w:t>
      </w:r>
    </w:p>
    <w:p>
      <w:pPr>
        <w:spacing w:after="0" w:line="23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risk ratings are primarily based on historical data and current conditions specific to each portfolio company, as well as consideration of future economic conditions and each borrower’s estimated ability to meet debt service requirements. The risk ratings shown in the following table as of September 30, 2023 and December 31, 2022 consider borrower specific credit history and performance and quarterly re-evaluation of overall current macroeconomic conditions affecting the borrowers. As interest rates have increased due to rising rates from the Federal Reserve Board, it has impacted borrowers’ ability to service their debt obligations on a global scale. Changes in risk ratings had an effect on the level of the current expected credit loss reserve though, other than the one loan placed on non-accrual status, the loans continued to perform as expected. For approximately 74.3% of the portfolio, the fair value of the underlying real estate collateral exceeded the amounts outstanding under the loans as of September 30, 2023. The remaining approximately 25.7% of the portfolio, while not fully collateralized by real estate, may be partially collateralized by real estate and was secured by other forms of collateral including equipment, receivables, licenses and/or other assets of the borrowers to the extent permitted by applicable laws and regulations governing such borrowers.</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September 30, 2023 and December 31, 2022, the carrying value, excluding the CECL Reserve, of the Company’s loans within each risk rating by year of origination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87"/>
              </w:rPr>
              <w:t>As of September 30, 2023</w:t>
            </w:r>
            <w:r>
              <w:rPr>
                <w:rFonts w:ascii="Arial" w:cs="Arial" w:eastAsia="Arial" w:hAnsi="Arial"/>
                <w:sz w:val="23"/>
                <w:szCs w:val="23"/>
                <w:b w:val="1"/>
                <w:bCs w:val="1"/>
                <w:color w:val="auto"/>
                <w:w w:val="87"/>
                <w:vertAlign w:val="superscript"/>
              </w:rPr>
              <w:t>(1)(2)</w:t>
            </w:r>
          </w:p>
        </w:tc>
        <w:tc>
          <w:tcPr>
            <w:tcW w:w="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8"/>
          </w:tcPr>
          <w:p>
            <w:pPr>
              <w:jc w:val="right"/>
              <w:ind w:right="308"/>
              <w:spacing w:after="0"/>
              <w:rPr>
                <w:sz w:val="20"/>
                <w:szCs w:val="20"/>
                <w:color w:val="auto"/>
              </w:rPr>
            </w:pPr>
            <w:r>
              <w:rPr>
                <w:rFonts w:ascii="Arial" w:cs="Arial" w:eastAsia="Arial" w:hAnsi="Arial"/>
                <w:sz w:val="14"/>
                <w:szCs w:val="14"/>
                <w:b w:val="1"/>
                <w:bCs w:val="1"/>
                <w:color w:val="auto"/>
              </w:rPr>
              <w:t>As of December 31, 2022</w:t>
            </w:r>
            <w:r>
              <w:rPr>
                <w:rFonts w:ascii="Arial" w:cs="Arial" w:eastAsia="Arial" w:hAnsi="Arial"/>
                <w:sz w:val="23"/>
                <w:szCs w:val="23"/>
                <w:b w:val="1"/>
                <w:bCs w:val="1"/>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169"/>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Risk Rating</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10,273,497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37,991,401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169,871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48,434,769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274,406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$274,406</w:t>
            </w:r>
          </w:p>
        </w:tc>
        <w:tc>
          <w:tcPr>
            <w:tcW w:w="20" w:type="dxa"/>
            <w:vAlign w:val="bottom"/>
          </w:tcPr>
          <w:p>
            <w:pPr>
              <w:spacing w:after="0"/>
              <w:rPr>
                <w:sz w:val="18"/>
                <w:szCs w:val="18"/>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26,514,583</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5"/>
              </w:rPr>
              <w:t>112,727,913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36,509,859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175,752,355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94,467,449</w:t>
            </w: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88,444,868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6"/>
              </w:rPr>
              <w:t>29,140,546</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212,052,863</w:t>
            </w:r>
          </w:p>
        </w:tc>
        <w:tc>
          <w:tcPr>
            <w:tcW w:w="20" w:type="dxa"/>
            <w:vAlign w:val="bottom"/>
          </w:tcPr>
          <w:p>
            <w:pPr>
              <w:spacing w:after="0"/>
              <w:rPr>
                <w:sz w:val="12"/>
                <w:szCs w:val="12"/>
                <w:color w:val="auto"/>
              </w:rPr>
            </w:pPr>
          </w:p>
        </w:tc>
      </w:tr>
      <w:tr>
        <w:trPr>
          <w:trHeight w:val="149"/>
        </w:trPr>
        <w:tc>
          <w:tcPr>
            <w:tcW w:w="1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8,570,575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5,130,537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58,875,151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72,576,263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30,415,113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83,131,444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113,546,557</w:t>
            </w:r>
          </w:p>
        </w:tc>
        <w:tc>
          <w:tcPr>
            <w:tcW w:w="20" w:type="dxa"/>
            <w:vAlign w:val="bottom"/>
          </w:tcPr>
          <w:p>
            <w:pPr>
              <w:spacing w:after="0"/>
              <w:rPr>
                <w:sz w:val="12"/>
                <w:szCs w:val="12"/>
                <w:color w:val="auto"/>
              </w:rPr>
            </w:pPr>
          </w:p>
        </w:tc>
      </w:tr>
      <w:tr>
        <w:trPr>
          <w:trHeight w:val="148"/>
        </w:trPr>
        <w:tc>
          <w:tcPr>
            <w:tcW w:w="1180" w:type="dxa"/>
            <w:vAlign w:val="bottom"/>
          </w:tcPr>
          <w:p>
            <w:pPr>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42,029,102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42,029,102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13,399,712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13,399,712</w:t>
            </w:r>
          </w:p>
        </w:tc>
        <w:tc>
          <w:tcPr>
            <w:tcW w:w="20" w:type="dxa"/>
            <w:vAlign w:val="bottom"/>
          </w:tcPr>
          <w:p>
            <w:pPr>
              <w:spacing w:after="0"/>
              <w:rPr>
                <w:sz w:val="12"/>
                <w:szCs w:val="12"/>
                <w:color w:val="auto"/>
              </w:rPr>
            </w:pPr>
          </w:p>
        </w:tc>
      </w:tr>
      <w:tr>
        <w:trPr>
          <w:trHeight w:val="182"/>
        </w:trPr>
        <w:tc>
          <w:tcPr>
            <w:tcW w:w="1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70"/>
        </w:trPr>
        <w:tc>
          <w:tcPr>
            <w:tcW w:w="1180" w:type="dxa"/>
            <w:vAlign w:val="bottom"/>
          </w:tcPr>
          <w:p>
            <w:pPr>
              <w:spacing w:after="0"/>
              <w:rPr>
                <w:sz w:val="20"/>
                <w:szCs w:val="20"/>
                <w:color w:val="auto"/>
              </w:rPr>
            </w:pPr>
            <w:r>
              <w:rPr>
                <w:rFonts w:ascii="Arial" w:cs="Arial" w:eastAsia="Arial" w:hAnsi="Arial"/>
                <w:sz w:val="14"/>
                <w:szCs w:val="14"/>
                <w:color w:val="auto"/>
              </w:rPr>
              <w:t>Total</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45,358,655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5"/>
              </w:rPr>
              <w:t>155,849,851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137,583,983</w:t>
            </w:r>
          </w:p>
        </w:tc>
        <w:tc>
          <w:tcPr>
            <w:tcW w:w="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338,792,489</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124,882,562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185,250,430</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29,140,546</w:t>
            </w:r>
          </w:p>
        </w:tc>
        <w:tc>
          <w:tcPr>
            <w:tcW w:w="640" w:type="dxa"/>
            <w:vAlign w:val="bottom"/>
            <w:gridSpan w:val="2"/>
          </w:tcPr>
          <w:p>
            <w:pPr>
              <w:jc w:val="right"/>
              <w:ind w:right="44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339,273,538</w:t>
            </w:r>
          </w:p>
        </w:tc>
        <w:tc>
          <w:tcPr>
            <w:tcW w:w="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are presented by loan origination year with subsequent advances shown in the original year of origination.</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Loan #9 placed on non-accrual status is included in risk rating category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and Estimates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As of September 30, 2023, there were no significant changes in the application of our accounting policies or estimates from those presented in our annual report on Form 10-K. Refer to Note 2 to our consolidated financial statements for the nine months ended September 30, 2023, titled “</w:t>
      </w:r>
      <w:r>
        <w:rPr>
          <w:rFonts w:ascii="Arial" w:cs="Arial" w:eastAsia="Arial" w:hAnsi="Arial"/>
          <w:sz w:val="18"/>
          <w:szCs w:val="18"/>
          <w:i w:val="1"/>
          <w:iCs w:val="1"/>
          <w:color w:val="auto"/>
        </w:rPr>
        <w:t>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for information on recent accounting pronouncements.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fluctuations in interest rates. Our loans are typically valued using a yield analysis, which is typically performed for performing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September 30, 2023, we had 21 floating-rate loans, representing approximately 81.1% of our loan portfolio based on aggregate outstanding principal balances, subject to a Prime Rate floor. We estimate that a hypothetical 100 basis points increase in the Prime Rate would result in an increase in annual cash interest income, excluding the effects of PIK interest, of approximately $2.8 million and a 100 basis points decrease in the Prime Rate would result in a decrease in annual interest income of approximately $(2.8) million. Our loans generally have a Prime Rate floor established at the prevailing Prime Rate at the time of origination. Refer to Note 3 for Prime Rate floor by loan.</w:t>
      </w:r>
    </w:p>
    <w:p>
      <w:pPr>
        <w:spacing w:after="0" w:line="16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addition, our Revolving Loan is exposed to similar market risks. Changes in market rates may change the fair value of our Revolving Loan as our loan bears interest at the greater of (1) the Prime Rate plus the applicable margin and (2) 3.25%. As of September 30, 2023, we had an outstanding balance of $63.0 million under the Revolving Loan. Based on our outstanding balance as of September 30, 2023, we estimate that a hypothetical 100 basis points increase in the Prime Rate would result in an increase in annual cash interest expense, excluding unused fees, of approximately $0.6 million and a 100 basis points decrease in the Prime Rate would result in a decrease in annual interest expense of approximately $0.6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Interest Rates and Effect on Net Interest Income</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184"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w:t>
      </w:r>
    </w:p>
    <w:p>
      <w:pPr>
        <w:ind w:firstLine="8"/>
        <w:spacing w:after="0" w:line="271" w:lineRule="auto"/>
        <w:tabs>
          <w:tab w:leader="none" w:pos="2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187" w:lineRule="exact"/>
        <w:rPr>
          <w:sz w:val="20"/>
          <w:szCs w:val="20"/>
          <w:color w:val="auto"/>
        </w:rPr>
      </w:pPr>
    </w:p>
    <w:p>
      <w:pPr>
        <w:ind w:left="980" w:right="5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manage our portfolio through an interactive process with our Manager and service our self-originated loans through our Manager’s servicer;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invest in a mix of floating-rate and fixed-rate loans to mitigate the interest rate risk associated with the financing of our portfolio;</w:t>
      </w:r>
    </w:p>
    <w:p>
      <w:pPr>
        <w:spacing w:after="0" w:line="236" w:lineRule="exact"/>
        <w:rPr>
          <w:rFonts w:ascii="Arial" w:cs="Arial" w:eastAsia="Arial" w:hAnsi="Arial"/>
          <w:sz w:val="17"/>
          <w:szCs w:val="17"/>
          <w:color w:val="auto"/>
        </w:rPr>
      </w:pPr>
    </w:p>
    <w:p>
      <w:pPr>
        <w:ind w:left="980" w:right="40" w:hanging="324"/>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183" w:lineRule="exact"/>
        <w:rPr>
          <w:rFonts w:ascii="Arial" w:cs="Arial" w:eastAsia="Arial" w:hAnsi="Arial"/>
          <w:sz w:val="18"/>
          <w:szCs w:val="18"/>
          <w:color w:val="auto"/>
        </w:rPr>
      </w:pPr>
    </w:p>
    <w:p>
      <w:pPr>
        <w:ind w:left="980" w:right="440" w:hanging="324"/>
        <w:spacing w:after="0" w:line="301"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Market Conditions</w:t>
      </w:r>
    </w:p>
    <w:p>
      <w:pPr>
        <w:spacing w:after="0" w:line="229"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49"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6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8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September 30, 2023, 74% of our portfolio is fully secured by real estate. Our portfolio on average had real estate collateral coverage of 1.5x as of September 30, 2023, and all of our loans are secured by equity pledges of the borrower and all asset liens. As of September 30, 2022, 96% of our portfolio was fully secured by real estate and 4% had limited or no real estate collateral. Our portfolio on average had real estate collateral coverage of 1.9x as of September 30, 2022 and all of our loans were secured by equity pledges of the borrower and all asset liens.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 For additional information regarding the credit risk associated with our loans and interest receivables, see “</w:t>
      </w:r>
      <w:r>
        <w:rPr>
          <w:rFonts w:ascii="Arial" w:cs="Arial" w:eastAsia="Arial" w:hAnsi="Arial"/>
          <w:sz w:val="17"/>
          <w:szCs w:val="17"/>
          <w:i w:val="1"/>
          <w:iCs w:val="1"/>
          <w:color w:val="auto"/>
        </w:rPr>
        <w:t>Risk Factors- Loans to relatively new and/or small companies and companies operating in the cannabis industry generally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involve significant risks” </w:t>
      </w:r>
      <w:r>
        <w:rPr>
          <w:rFonts w:ascii="Arial" w:cs="Arial" w:eastAsia="Arial" w:hAnsi="Arial"/>
          <w:sz w:val="17"/>
          <w:szCs w:val="17"/>
          <w:color w:val="auto"/>
        </w:rPr>
        <w:t>in our Annual Report on Form 10-K for the year ended December 31, 2022.</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49" w:name="page50"/>
    <w:bookmarkEnd w:id="49"/>
    <w:p>
      <w:pPr>
        <w:ind w:right="100" w:firstLine="648"/>
        <w:spacing w:after="0" w:line="255" w:lineRule="auto"/>
        <w:rPr>
          <w:sz w:val="20"/>
          <w:szCs w:val="20"/>
          <w:color w:val="auto"/>
        </w:rPr>
      </w:pPr>
      <w:r>
        <w:rPr>
          <w:rFonts w:ascii="Arial" w:cs="Arial" w:eastAsia="Arial" w:hAnsi="Arial"/>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9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loan portfolio as of September 30, 2023 and December 31, 2022, was concentrated with the top three borrowers representing approximately 29.7% and 29.4% of principal outstanding and approximately 27.5% and 27.9% of the total commitments, respectively. As of and for the nine months ended September 30, 2023 and 2022, the top three borrowers represented approximately 28.7% and 28.8% of the total interest income, respectively. The largest loan represented approximately 11.2% and 10.9% of principal outstanding and approximately 10.1% and 10.2% of the total commitments as of September 30, 2023 and December 31, 2022, respectively.</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2023 and December 31, 2022, our borrowers have operations in the jurisdiction noted within the table below based on real estate collateral location or principal place of business: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0"/>
              </w:rPr>
              <w:t>September 30, 2023</w:t>
            </w:r>
          </w:p>
        </w:tc>
      </w:tr>
      <w:tr>
        <w:trPr>
          <w:trHeight w:val="198"/>
        </w:trPr>
        <w:tc>
          <w:tcPr>
            <w:tcW w:w="33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7"/>
                <w:szCs w:val="17"/>
                <w:color w:val="auto"/>
              </w:rPr>
            </w:pPr>
          </w:p>
        </w:tc>
      </w:tr>
      <w:tr>
        <w:trPr>
          <w:trHeight w:val="216"/>
        </w:trPr>
        <w:tc>
          <w:tcPr>
            <w:tcW w:w="3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0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2"/>
              </w:rPr>
              <w:t>of Loan</w:t>
            </w:r>
          </w:p>
        </w:tc>
      </w:tr>
      <w:tr>
        <w:trPr>
          <w:trHeight w:val="241"/>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c>
          <w:tcPr>
            <w:tcW w:w="5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tcPr>
          <w:p>
            <w:pPr>
              <w:spacing w:after="0"/>
              <w:rPr>
                <w:sz w:val="20"/>
                <w:szCs w:val="20"/>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64,401,925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Michigan</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55,839,144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48,928,269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Illinois</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24,758,610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24,116,589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Pennsylvania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21,817,641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20,122,745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New York</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18,417,846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17,602,435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West Virginia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17,758,874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9,538,894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Nebraska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6,103,870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Connecticut</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5,450,000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Nevada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6,056,659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0"/>
        </w:trPr>
        <w:tc>
          <w:tcPr>
            <w:tcW w:w="3300" w:type="dxa"/>
            <w:vAlign w:val="bottom"/>
            <w:tcBorders>
              <w:top w:val="single" w:sz="8" w:color="CCEEFF"/>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341,813,501</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414"/>
        </w:trPr>
        <w:tc>
          <w:tcPr>
            <w:tcW w:w="33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33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88"/>
              </w:rPr>
              <w:t>December 31, 2022</w:t>
            </w:r>
          </w:p>
        </w:tc>
      </w:tr>
      <w:tr>
        <w:trPr>
          <w:trHeight w:val="198"/>
        </w:trPr>
        <w:tc>
          <w:tcPr>
            <w:tcW w:w="33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7"/>
                <w:szCs w:val="17"/>
                <w:color w:val="auto"/>
              </w:rPr>
            </w:pPr>
          </w:p>
        </w:tc>
      </w:tr>
      <w:tr>
        <w:trPr>
          <w:trHeight w:val="216"/>
        </w:trPr>
        <w:tc>
          <w:tcPr>
            <w:tcW w:w="33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00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2"/>
              </w:rPr>
              <w:t>of Loan</w:t>
            </w:r>
          </w:p>
        </w:tc>
      </w:tr>
      <w:tr>
        <w:trPr>
          <w:trHeight w:val="241"/>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c>
          <w:tcPr>
            <w:tcW w:w="5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Borders>
              <w:bottom w:val="single" w:sz="8" w:color="CCEEFF"/>
            </w:tcBorders>
          </w:tcPr>
          <w:p>
            <w:pPr>
              <w:spacing w:after="0"/>
              <w:rPr>
                <w:sz w:val="20"/>
                <w:szCs w:val="20"/>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53,394,180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Michigan</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58,823,506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51,421,128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Illinois</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30,302,490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19,266,104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Pennsylvania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34,606,585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45,116,990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New York</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17,337,220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West Virginia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11,640,004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15,031,751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Nebraska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Connecticut</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Nevada</w:t>
            </w:r>
          </w:p>
        </w:tc>
        <w:tc>
          <w:tcPr>
            <w:tcW w:w="6940" w:type="dxa"/>
            <w:vAlign w:val="bottom"/>
            <w:gridSpan w:val="4"/>
          </w:tcPr>
          <w:p>
            <w:pPr>
              <w:jc w:val="right"/>
              <w:ind w:right="220"/>
              <w:spacing w:after="0"/>
              <w:rPr>
                <w:sz w:val="20"/>
                <w:szCs w:val="20"/>
                <w:color w:val="auto"/>
              </w:rPr>
            </w:pPr>
            <w:r>
              <w:rPr>
                <w:rFonts w:ascii="Arial" w:cs="Arial" w:eastAsia="Arial" w:hAnsi="Arial"/>
                <w:sz w:val="18"/>
                <w:szCs w:val="18"/>
                <w:color w:val="auto"/>
              </w:rPr>
              <w:t>6,089,376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249"/>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6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0"/>
        </w:trPr>
        <w:tc>
          <w:tcPr>
            <w:tcW w:w="3300" w:type="dxa"/>
            <w:vAlign w:val="bottom"/>
            <w:tcBorders>
              <w:top w:val="single" w:sz="8" w:color="CCEEFF"/>
            </w:tcBorders>
          </w:tcPr>
          <w:p>
            <w:pPr>
              <w:spacing w:after="0"/>
              <w:rPr>
                <w:sz w:val="18"/>
                <w:szCs w:val="18"/>
                <w:color w:val="auto"/>
              </w:rPr>
            </w:pPr>
          </w:p>
        </w:tc>
        <w:tc>
          <w:tcPr>
            <w:tcW w:w="566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343,029,334</w:t>
            </w: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655"/>
        </w:trPr>
        <w:tc>
          <w:tcPr>
            <w:tcW w:w="33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jc w:val="right"/>
              <w:ind w:right="305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Real Estate Risk</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CEO and Interim CFO, to allow timely decisions regarding required disclosures. Any controls and procedures, no matter how well designed and operated, can provide only reasonable assurance of achieving the desired control objectives.</w:t>
      </w:r>
    </w:p>
    <w:p>
      <w:pPr>
        <w:spacing w:after="0" w:line="17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connection with the preparation of this quarterly report on Form 10-Q, our management, including the CEO and Interim CFO, evaluated the effectiveness of the design and operation of our disclosure controls and procedures as of September 30, 2023. Based on that evaluation, our CEO and Interim CFO have concluded that our disclosure controls and procedures were effective at the reasonable assurance level as of September 30, 2023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CEO and Interim CFO, to allow timely decisions regarding required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quarter ended September 30, 2023 that have materially affected, or that are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1" w:name="page52"/>
    <w:bookmarkEnd w:id="51"/>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2022.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Recent macroeconomic trends, including inflation and rising interest rates, may adversely affect our business, financial condition and results of operations.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nine months ended September 30, 2023, inflation in the United States has remained at an elevated level and may remain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has raised interest rates multiple times since March 2022 to combat inflation and restore price stability and rates may continue to rise throughout the remainder of 2023. To the extent our borrowing costs increase faster than the interest income earned from our floating-rate loans, such increases may adversely affect our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None of the Company’s officers or directors have adopted, modified or terminated trading plans under either a Rule 10b5-1 or non-Rule 10b5-1 trading arrangement (as such terms are defined in Item 408 of Regulation S-K of the Securities Act of 1933) for the three months ended September 30, 2023.</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7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Executive Officer pursuant to Section 302 of the Sarbanes-Oxley Act of 2002.</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Arial" w:cs="Arial" w:eastAsia="Arial" w:hAnsi="Arial"/>
                <w:sz w:val="18"/>
                <w:szCs w:val="18"/>
                <w:color w:val="0000EE"/>
              </w:rPr>
              <w:t>Certification of Interim Chief Financial Officer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Certification of Chief Executive Officer pursuant to Section 906 of the Sarbanes-Oxley Act of 2002.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Arial" w:cs="Arial" w:eastAsia="Arial" w:hAnsi="Arial"/>
                <w:sz w:val="18"/>
                <w:szCs w:val="18"/>
                <w:color w:val="0000EE"/>
              </w:rPr>
              <w:t>Certification of Interim Chief Financial Officer pursuant to Section 906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2"/>
        </w:trPr>
        <w:tc>
          <w:tcPr>
            <w:tcW w:w="1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1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herewith</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CHICAGO ATLANTIC REAL ESTATE FINANCE,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Anthony Cappell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Dated: November 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Phillip Silverman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Cappell, Chief Executive Officer of Chicago Atlantic Real Estate Finance, Inc., certify that:</w:t>
      </w:r>
    </w:p>
    <w:p>
      <w:pPr>
        <w:spacing w:after="0" w:line="22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Chicago Atlantic Real Estate Finance,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Anthony Cappell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Phillip Silverman, Interim Chief Financial Officer of Chicago Atlantic Real Estate Finance, Inc.,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Chicago Atlantic Real Estate Finance,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right="420" w:hanging="328"/>
        <w:spacing w:after="0" w:line="263"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20" w:hanging="328"/>
        <w:spacing w:after="0" w:line="308" w:lineRule="auto"/>
        <w:tabs>
          <w:tab w:leader="none" w:pos="6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2023</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Phillip Silverman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September 30, 2023 (the “Report”) of Chicago Atlantic Real Estate Finance, Inc. (the “Registrant”), as filed with the Securities and Exchange Commission on the date hereof, I, Anthony Cappell, the Chief Executive Officer of the Registrant, hereby certify, to the best of my knowledge, that:</w:t>
      </w:r>
    </w:p>
    <w:p>
      <w:pPr>
        <w:spacing w:after="0" w:line="184"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332"/>
        <w:spacing w:after="0" w:line="500"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8, 2023</w:t>
      </w:r>
    </w:p>
    <w:p>
      <w:pPr>
        <w:spacing w:after="0" w:line="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Anthony Cappell</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September 30, 2023 (the “Report”) of Chicago Atlantic Real Estate Finance, Inc. (the “Registrant”), as filed with the Securities and Exchange Commission on the date hereof, I, Phillip Silverman, the Interim Chief Financial Officer of the Registrant, hereby certify, to the best of my knowledge, that:</w:t>
      </w:r>
    </w:p>
    <w:p>
      <w:pPr>
        <w:spacing w:after="0" w:line="18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332"/>
        <w:spacing w:after="0" w:line="500"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8, 2023</w:t>
      </w:r>
    </w:p>
    <w:p>
      <w:pPr>
        <w:spacing w:after="0" w:line="2"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Phillip Silverman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lvl w:ilvl="1">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5"/>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bullet"/>
      <w:start w:val="1"/>
    </w:lvl>
  </w:abstractNum>
  <w:abstractNum w:abstractNumId="9">
    <w:nsid w:val="54E49EB4"/>
    <w:multiLevelType w:val="hybridMultilevel"/>
    <w:lvl w:ilvl="0">
      <w:lvlJc w:val="left"/>
      <w:lvlText w:val="2"/>
      <w:numFmt w:val="bullet"/>
      <w:start w:val="1"/>
    </w:lvl>
  </w:abstractNum>
  <w:abstractNum w:abstractNumId="10">
    <w:nsid w:val="71F32454"/>
    <w:multiLevelType w:val="hybridMultilevel"/>
    <w:lvl w:ilvl="0">
      <w:lvlJc w:val="left"/>
      <w:lvlText w:val="3"/>
      <w:numFmt w:val="bullet"/>
      <w:start w:val="1"/>
    </w:lvl>
  </w:abstractNum>
  <w:abstractNum w:abstractNumId="11">
    <w:nsid w:val="2CA88611"/>
    <w:multiLevelType w:val="hybridMultilevel"/>
    <w:lvl w:ilvl="0">
      <w:lvlJc w:val="left"/>
      <w:lvlText w:val="4"/>
      <w:numFmt w:val="bullet"/>
      <w:start w:val="1"/>
    </w:lvl>
  </w:abstractNum>
  <w:abstractNum w:abstractNumId="12">
    <w:nsid w:val="836C40E"/>
    <w:multiLevelType w:val="hybridMultilevel"/>
    <w:lvl w:ilvl="0">
      <w:lvlJc w:val="left"/>
      <w:lvlText w:val="5"/>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lowerRoman"/>
      <w:start w:val="2"/>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5"/>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bullet"/>
      <w:start w:val="1"/>
    </w:lvl>
  </w:abstractNum>
  <w:abstractNum w:abstractNumId="32">
    <w:nsid w:val="2463B9EA"/>
    <w:multiLevelType w:val="hybridMultilevel"/>
    <w:lvl w:ilvl="0">
      <w:lvlJc w:val="left"/>
      <w:lvlText w:val="2"/>
      <w:numFmt w:val="bullet"/>
      <w:start w:val="1"/>
    </w:lvl>
  </w:abstractNum>
  <w:abstractNum w:abstractNumId="33">
    <w:nsid w:val="5E884ADC"/>
    <w:multiLevelType w:val="hybridMultilevel"/>
    <w:lvl w:ilvl="0">
      <w:lvlJc w:val="left"/>
      <w:lvlText w:val="3"/>
      <w:numFmt w:val="bullet"/>
      <w:start w:val="1"/>
    </w:lvl>
  </w:abstractNum>
  <w:abstractNum w:abstractNumId="34">
    <w:nsid w:val="51EAD36B"/>
    <w:multiLevelType w:val="hybridMultilevel"/>
    <w:lvl w:ilvl="0">
      <w:lvlJc w:val="left"/>
      <w:lvlText w:val="4"/>
      <w:numFmt w:val="bullet"/>
      <w:start w:val="1"/>
    </w:lvl>
  </w:abstractNum>
  <w:abstractNum w:abstractNumId="35">
    <w:nsid w:val="2D517796"/>
    <w:multiLevelType w:val="hybridMultilevel"/>
    <w:lvl w:ilvl="0">
      <w:lvlJc w:val="left"/>
      <w:lvlText w:val="5"/>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2023-11-08T06:11:49Z</dcterms:created>
  <dcterms:modified xsi:type="dcterms:W3CDTF">2023-11-08T06:11:49Z</dcterms:modified>
</cp:coreProperties>
</file>