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No. 812-</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 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APPLICATION FOR AN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123190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CHICAGO ATLANTIC INVESTMENT COMPANY, LLC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CHICAGO ATLANTIC BDC ADVISERS, LLC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CHICAGO ATLANTIC REIT MANAGER, LLC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CHICAGO ATLANTIC ADVISERS, LLC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CHICAGO ATLANTIC CREDIT ADVISERS, LLC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CHICAGO ATLANTIC CREDIT OPPORTUNITIES, LLC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CHICAGO ATLANTIC FUND, LLC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CHICAGO ATLANTIC FUND QP, LLC</w:t>
      </w:r>
    </w:p>
    <w:p>
      <w:pPr>
        <w:spacing w:after="0" w:line="2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420 North Wabash Avenue, Suite 500</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Chicago, IL 60611</w:t>
      </w: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All Communications, Notices and Orders to:</w:t>
      </w:r>
    </w:p>
    <w:p>
      <w:pPr>
        <w:spacing w:after="0" w:line="2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Dr. Andreas Bodmeier</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Chicago Atlantic Group, LLC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420 North Wabash Avenue, Suite 500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Chicago, IL 60611</w:t>
      </w:r>
    </w:p>
    <w:p>
      <w:pPr>
        <w:spacing w:after="0" w:line="9" w:lineRule="exact"/>
        <w:rPr>
          <w:sz w:val="24"/>
          <w:szCs w:val="24"/>
          <w:color w:val="auto"/>
        </w:rPr>
      </w:pPr>
    </w:p>
    <w:p>
      <w:pPr>
        <w:ind w:left="5460" w:hanging="438"/>
        <w:spacing w:after="0"/>
        <w:tabs>
          <w:tab w:leader="none" w:pos="5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809-7002</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abodmeier@chicagoatlantic.com</w:t>
      </w: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Owen J. Pinkerton, Esq.</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Eversheds Sutherland (US) LLP</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700 Sixth Street, NW, Suite 700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Telephone: (202) 383-0262</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owenpinkerton@eversheds-sutherland.com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229" w:right="339" w:bottom="1440" w:gutter="0" w:footer="0" w:header="0"/>
        </w:sectPr>
      </w:pPr>
    </w:p>
    <w:bookmarkStart w:id="1" w:name="page2"/>
    <w:bookmarkEnd w:id="1"/>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ind w:left="560" w:hanging="55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Requested Relief</w:t>
      </w:r>
    </w:p>
    <w:p>
      <w:pPr>
        <w:spacing w:after="0" w:line="22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Chicago Atlantic Investment Company, LLC, and its related entities, identified in section I.B. below,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pursuant to Sections 17(d) and 57(i) of the Investment Company Act of 1940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Rule 17d-1 thereunder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authorizing certain joint transactions that otherwise would be prohibited by either or both of Sections 17(d) and 57(a)(4) as modified by the exemptive rules adopted by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Act.</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particular, the relief requested in this application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one or more Regulated Funds (including one or more BDC Downstream Funds) and/or one or more Affiliated Funds (each as defined below) to participate in the same investment opportunities where such participation would otherwise be prohibited under Section 17(d) or 57(a)(4) and the rules under the Act. All existing entities that currently intend to rely on the Order have been named as Applicants (defined below) and any existing or future entities that may rely on the Order in the future will comply with the terms and conditions set forth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hanging="552"/>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Applicants Seeking Relief</w:t>
      </w:r>
    </w:p>
    <w:p>
      <w:pPr>
        <w:spacing w:after="0" w:line="248"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Investment Company, LLC (the “</w:t>
      </w:r>
      <w:r>
        <w:rPr>
          <w:rFonts w:ascii="Times New Roman" w:cs="Times New Roman" w:eastAsia="Times New Roman" w:hAnsi="Times New Roman"/>
          <w:sz w:val="18"/>
          <w:szCs w:val="18"/>
          <w:b w:val="1"/>
          <w:bCs w:val="1"/>
          <w:i w:val="1"/>
          <w:iCs w:val="1"/>
          <w:color w:val="auto"/>
        </w:rPr>
        <w:t>Existing Regulated Fund</w:t>
      </w:r>
      <w:r>
        <w:rPr>
          <w:rFonts w:ascii="Times New Roman" w:cs="Times New Roman" w:eastAsia="Times New Roman" w:hAnsi="Times New Roman"/>
          <w:sz w:val="18"/>
          <w:szCs w:val="18"/>
          <w:color w:val="auto"/>
        </w:rPr>
        <w:t>”), an externally-managed, non-diversified, closed-end management investment company that intends to elect to be regulated as a BDC (defined below) under the Act;</w:t>
      </w:r>
    </w:p>
    <w:p>
      <w:pPr>
        <w:spacing w:after="0" w:line="154" w:lineRule="exact"/>
        <w:rPr>
          <w:rFonts w:ascii="Times New Roman" w:cs="Times New Roman" w:eastAsia="Times New Roman" w:hAnsi="Times New Roman"/>
          <w:sz w:val="18"/>
          <w:szCs w:val="18"/>
          <w:color w:val="auto"/>
        </w:rPr>
      </w:pPr>
    </w:p>
    <w:p>
      <w:pPr>
        <w:ind w:left="660" w:right="20" w:hanging="328"/>
        <w:spacing w:after="0" w:line="295"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BDC Advisers, LLC (the “</w:t>
      </w:r>
      <w:r>
        <w:rPr>
          <w:rFonts w:ascii="Times New Roman" w:cs="Times New Roman" w:eastAsia="Times New Roman" w:hAnsi="Times New Roman"/>
          <w:sz w:val="18"/>
          <w:szCs w:val="18"/>
          <w:b w:val="1"/>
          <w:bCs w:val="1"/>
          <w:i w:val="1"/>
          <w:iCs w:val="1"/>
          <w:color w:val="auto"/>
        </w:rPr>
        <w:t>BDC Adviser</w:t>
      </w:r>
      <w:r>
        <w:rPr>
          <w:rFonts w:ascii="Times New Roman" w:cs="Times New Roman" w:eastAsia="Times New Roman" w:hAnsi="Times New Roman"/>
          <w:sz w:val="18"/>
          <w:szCs w:val="18"/>
          <w:color w:val="auto"/>
        </w:rPr>
        <w:t>”), a Delaware limited liability company that will serve as the investment adviser to the Existing Regulated Fund, on behalf of itself and its successors;</w:t>
      </w:r>
      <w:r>
        <w:rPr>
          <w:rFonts w:ascii="Times New Roman" w:cs="Times New Roman" w:eastAsia="Times New Roman" w:hAnsi="Times New Roman"/>
          <w:sz w:val="29"/>
          <w:szCs w:val="29"/>
          <w:color w:val="auto"/>
          <w:vertAlign w:val="superscript"/>
        </w:rPr>
        <w:t>3</w:t>
      </w:r>
    </w:p>
    <w:p>
      <w:pPr>
        <w:spacing w:after="0" w:line="24" w:lineRule="exact"/>
        <w:rPr>
          <w:rFonts w:ascii="Times New Roman" w:cs="Times New Roman" w:eastAsia="Times New Roman" w:hAnsi="Times New Roman"/>
          <w:sz w:val="18"/>
          <w:szCs w:val="18"/>
          <w:color w:val="auto"/>
        </w:rPr>
      </w:pPr>
    </w:p>
    <w:p>
      <w:pPr>
        <w:ind w:left="660" w:right="20" w:hanging="328"/>
        <w:spacing w:after="0" w:line="295"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REIT Manager, LLC (the “</w:t>
      </w:r>
      <w:r>
        <w:rPr>
          <w:rFonts w:ascii="Times New Roman" w:cs="Times New Roman" w:eastAsia="Times New Roman" w:hAnsi="Times New Roman"/>
          <w:sz w:val="18"/>
          <w:szCs w:val="18"/>
          <w:b w:val="1"/>
          <w:bCs w:val="1"/>
          <w:i w:val="1"/>
          <w:iCs w:val="1"/>
          <w:color w:val="auto"/>
        </w:rPr>
        <w:t>REIT Manager</w:t>
      </w:r>
      <w:r>
        <w:rPr>
          <w:rFonts w:ascii="Times New Roman" w:cs="Times New Roman" w:eastAsia="Times New Roman" w:hAnsi="Times New Roman"/>
          <w:sz w:val="18"/>
          <w:szCs w:val="18"/>
          <w:color w:val="auto"/>
        </w:rPr>
        <w:t>”), a Delaware limited liability company that serves as the Manager to REFI (as defined below), on behalf of itself and its successors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2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Advisers, LLC (“</w:t>
      </w:r>
      <w:r>
        <w:rPr>
          <w:rFonts w:ascii="Times New Roman" w:cs="Times New Roman" w:eastAsia="Times New Roman" w:hAnsi="Times New Roman"/>
          <w:sz w:val="18"/>
          <w:szCs w:val="18"/>
          <w:b w:val="1"/>
          <w:bCs w:val="1"/>
          <w:i w:val="1"/>
          <w:iCs w:val="1"/>
          <w:color w:val="auto"/>
        </w:rPr>
        <w:t>Chicago Atlantic Advisers</w:t>
      </w:r>
      <w:r>
        <w:rPr>
          <w:rFonts w:ascii="Times New Roman" w:cs="Times New Roman" w:eastAsia="Times New Roman" w:hAnsi="Times New Roman"/>
          <w:sz w:val="18"/>
          <w:szCs w:val="18"/>
          <w:color w:val="auto"/>
        </w:rPr>
        <w:t>”), a Delaware limited liability company that serves as the investment adviser to Chicago Atlantic Credit Opportunities, LLC, on behalf of itself and its successors (together, with the BDC Adviser, the “</w:t>
      </w:r>
      <w:r>
        <w:rPr>
          <w:rFonts w:ascii="Times New Roman" w:cs="Times New Roman" w:eastAsia="Times New Roman" w:hAnsi="Times New Roman"/>
          <w:sz w:val="18"/>
          <w:szCs w:val="18"/>
          <w:b w:val="1"/>
          <w:bCs w:val="1"/>
          <w:i w:val="1"/>
          <w:iCs w:val="1"/>
          <w:color w:val="auto"/>
        </w:rPr>
        <w:t>Existing Advisers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Credit Advisers, LLC (“</w:t>
      </w:r>
      <w:r>
        <w:rPr>
          <w:rFonts w:ascii="Times New Roman" w:cs="Times New Roman" w:eastAsia="Times New Roman" w:hAnsi="Times New Roman"/>
          <w:sz w:val="18"/>
          <w:szCs w:val="18"/>
          <w:b w:val="1"/>
          <w:bCs w:val="1"/>
          <w:i w:val="1"/>
          <w:iCs w:val="1"/>
          <w:color w:val="auto"/>
        </w:rPr>
        <w:t>Chicago Atlantic Credit Advisers</w:t>
      </w:r>
      <w:r>
        <w:rPr>
          <w:rFonts w:ascii="Times New Roman" w:cs="Times New Roman" w:eastAsia="Times New Roman" w:hAnsi="Times New Roman"/>
          <w:sz w:val="18"/>
          <w:szCs w:val="18"/>
          <w:color w:val="auto"/>
        </w:rPr>
        <w:t>”), a Delaware limited liability company that serves as the investment adviser to Chicago Atlantic Fund, LLC and Chicago Atlantic Fund QP, LLC, on behalf of itself and its successors;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investment vehicles, each of which is a separate and distinct legal entity and each of which would be an investment company but for Section 3(c)(1), 3(c)(5)(C) or 3(c)(7) of the Act (the “</w:t>
      </w:r>
      <w:r>
        <w:rPr>
          <w:rFonts w:ascii="Times New Roman" w:cs="Times New Roman" w:eastAsia="Times New Roman" w:hAnsi="Times New Roman"/>
          <w:sz w:val="18"/>
          <w:szCs w:val="18"/>
          <w:b w:val="1"/>
          <w:bCs w:val="1"/>
          <w:i w:val="1"/>
          <w:iCs w:val="1"/>
          <w:color w:val="auto"/>
        </w:rPr>
        <w:t>Existing Affiliated Funds</w:t>
      </w:r>
      <w:r>
        <w:rPr>
          <w:rFonts w:ascii="Times New Roman" w:cs="Times New Roman" w:eastAsia="Times New Roman" w:hAnsi="Times New Roman"/>
          <w:sz w:val="18"/>
          <w:szCs w:val="18"/>
          <w:color w:val="auto"/>
        </w:rPr>
        <w:t>” and, together with the Existing Regulated Fund, the Existing Advisers, the REIT Manager, Chicago Atlantic Advisers and Chicago Atlantic Credit Advisers, the “</w:t>
      </w:r>
      <w:r>
        <w:rPr>
          <w:rFonts w:ascii="Times New Roman" w:cs="Times New Roman" w:eastAsia="Times New Roman" w:hAnsi="Times New Roman"/>
          <w:sz w:val="18"/>
          <w:szCs w:val="18"/>
          <w:b w:val="1"/>
          <w:bCs w:val="1"/>
          <w:i w:val="1"/>
          <w:iCs w:val="1"/>
          <w:color w:val="auto"/>
        </w:rPr>
        <w:t>Applicants</w:t>
      </w:r>
      <w:r>
        <w:rPr>
          <w:rFonts w:ascii="Times New Roman" w:cs="Times New Roman" w:eastAsia="Times New Roman" w:hAnsi="Times New Roman"/>
          <w:sz w:val="18"/>
          <w:szCs w:val="18"/>
          <w:color w:val="auto"/>
        </w:rPr>
        <w:t>”), on behalf of itself and its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indicated, all section references herein are to the Act.</w:t>
      </w:r>
    </w:p>
    <w:p>
      <w:pPr>
        <w:ind w:left="340" w:hanging="332"/>
        <w:spacing w:after="0" w:line="180" w:lineRule="auto"/>
        <w:tabs>
          <w:tab w:leader="none" w:pos="34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Unless otherwise indicated, all rule references herein are to rules under the Act.</w:t>
      </w:r>
    </w:p>
    <w:p>
      <w:pPr>
        <w:spacing w:after="0" w:line="2" w:lineRule="exact"/>
        <w:rPr>
          <w:sz w:val="20"/>
          <w:szCs w:val="20"/>
          <w:color w:val="auto"/>
        </w:rPr>
      </w:pPr>
    </w:p>
    <w:p>
      <w:pPr>
        <w:ind w:left="340" w:hanging="332"/>
        <w:spacing w:after="0" w:line="187"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term successor, as applied to each Adviser, means an entity which results from a reorganization into another jurisdiction or change in the type of business organization.</w:t>
      </w:r>
    </w:p>
    <w:p>
      <w:pPr>
        <w:spacing w:after="0" w:line="1" w:lineRule="exact"/>
        <w:rPr>
          <w:sz w:val="20"/>
          <w:szCs w:val="20"/>
          <w:color w:val="auto"/>
        </w:rPr>
      </w:pPr>
    </w:p>
    <w:p>
      <w:pPr>
        <w:jc w:val="both"/>
        <w:ind w:left="340" w:hanging="332"/>
        <w:spacing w:after="0" w:line="228"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REIT Manager makes real estate-related investments on behalf of REFI. The REIT Manager (i) is not registered as an investment adviser under the Investment Advisers Act of 1940, as amended (the “Advisers Act”) and (ii) will not advise REFI under the Order, or any other client participating in the program of co-investment described in this application, with respect to securities (other than cash-like instruments, including U.S. government securities) unless it registers as an investment adviser under the Advisers Act. The REIT Manager will not source Potential Co-Investment Transactions under the required Order and is only deemed to be an Adviser for purposes of Conditions 2(c)(iv), 13 and 14. Because the REIT Manager is not an Adviser, it will engage an Adviser to serve as investment adviser and/or sub-adviser with respect to any securities that would be subject to the Order.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left="1300" w:right="20" w:hanging="320"/>
        <w:spacing w:after="0" w:line="268"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Real Estate Finance, Inc., (“</w:t>
      </w:r>
      <w:r>
        <w:rPr>
          <w:rFonts w:ascii="Times New Roman" w:cs="Times New Roman" w:eastAsia="Times New Roman" w:hAnsi="Times New Roman"/>
          <w:sz w:val="18"/>
          <w:szCs w:val="18"/>
          <w:b w:val="1"/>
          <w:bCs w:val="1"/>
          <w:i w:val="1"/>
          <w:iCs w:val="1"/>
          <w:color w:val="auto"/>
        </w:rPr>
        <w:t>REFI</w:t>
      </w:r>
      <w:r>
        <w:rPr>
          <w:rFonts w:ascii="Times New Roman" w:cs="Times New Roman" w:eastAsia="Times New Roman" w:hAnsi="Times New Roman"/>
          <w:sz w:val="18"/>
          <w:szCs w:val="18"/>
          <w:color w:val="auto"/>
        </w:rPr>
        <w:t>”), an externally managed Maryland corporation which would be an investment company but for Section 3(c)(5) of the Act, that has elected to be taxed as a real estate investment trust (“</w:t>
      </w:r>
      <w:r>
        <w:rPr>
          <w:rFonts w:ascii="Times New Roman" w:cs="Times New Roman" w:eastAsia="Times New Roman" w:hAnsi="Times New Roman"/>
          <w:sz w:val="18"/>
          <w:szCs w:val="18"/>
          <w:b w:val="1"/>
          <w:bCs w:val="1"/>
          <w:i w:val="1"/>
          <w:iCs w:val="1"/>
          <w:color w:val="auto"/>
        </w:rPr>
        <w:t>REIT</w:t>
      </w:r>
      <w:r>
        <w:rPr>
          <w:rFonts w:ascii="Times New Roman" w:cs="Times New Roman" w:eastAsia="Times New Roman" w:hAnsi="Times New Roman"/>
          <w:sz w:val="18"/>
          <w:szCs w:val="18"/>
          <w:color w:val="auto"/>
        </w:rPr>
        <w:t>”) under Section 856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on behalf of itself and its successors;</w:t>
      </w:r>
    </w:p>
    <w:p>
      <w:pPr>
        <w:spacing w:after="0" w:line="17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Credit Opportunities, LLC;</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Fund, LLC;</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Fund QP, LLC;</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7"/>
          <w:szCs w:val="17"/>
          <w:u w:val="single" w:color="auto"/>
          <w:color w:val="auto"/>
        </w:rPr>
        <w:t>Defined Terms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means the Existing Advisers and any Future Adviser (defined below).</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Fund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 any Existing Affiliated Fund; (b) any Chicago Atlantic Proprietary Account (as defined below); and (c) any entity (i) whose investment adviser (and sub-adviser(s), if any) are Advisers, (ii) that either (x) would be an investment company but for Section 3(c)(1), 3(c)(5)(C), or 3(c)</w:t>
      </w:r>
    </w:p>
    <w:p>
      <w:pPr>
        <w:spacing w:after="0" w:line="1" w:lineRule="exact"/>
        <w:rPr>
          <w:sz w:val="20"/>
          <w:szCs w:val="20"/>
          <w:color w:val="auto"/>
        </w:rPr>
      </w:pPr>
    </w:p>
    <w:p>
      <w:pPr>
        <w:ind w:firstLine="8"/>
        <w:spacing w:after="0" w:line="260" w:lineRule="auto"/>
        <w:tabs>
          <w:tab w:leader="none" w:pos="2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Act or (y) relies on Rule 3a-7 under the Act and (iii) that is not a BDC Downstream Fund, and (d) that intends to participate in the Co-Investment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means a business development company under the Act.</w:t>
      </w:r>
      <w:r>
        <w:rPr>
          <w:rFonts w:ascii="Times New Roman" w:cs="Times New Roman" w:eastAsia="Times New Roman" w:hAnsi="Times New Roman"/>
          <w:sz w:val="29"/>
          <w:szCs w:val="29"/>
          <w:color w:val="auto"/>
          <w:vertAlign w:val="superscript"/>
        </w:rPr>
        <w:t>5</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BDC Downstream Fund</w:t>
      </w:r>
      <w:r>
        <w:rPr>
          <w:rFonts w:ascii="Times New Roman" w:cs="Times New Roman" w:eastAsia="Times New Roman" w:hAnsi="Times New Roman"/>
          <w:sz w:val="18"/>
          <w:szCs w:val="18"/>
          <w:color w:val="auto"/>
        </w:rPr>
        <w:t>” means, with respect to any Regulated Fund that is a BDC, an entity (i) that the BDC directly or indirectly controls, (ii) that is not controlled by any person other than the BDC (except a person that indirectly controls the entity solely because it controls the BDC), (iii) that would be an investment company but for Section 3(c)(1) or 3(c)(7) of the Act, (iv) whose investment adviser (and sub-adviser(s), if any) are an Adviser, (v) that is not a Wholly-Owned Investment Sub and (vi) that intends to participate in the Co-Investment Program.</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(i) with respect to a Regulated Fund other than a BDC Downstream Fund, the board of directors (or the equivalent) of the applicable Regulated Fund and (ii) with respect to a BDC Downstream Fund, the Independent Party of the BDC Downstream Fund.</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Board-Established Criteria</w:t>
      </w:r>
      <w:r>
        <w:rPr>
          <w:rFonts w:ascii="Times New Roman" w:cs="Times New Roman" w:eastAsia="Times New Roman" w:hAnsi="Times New Roman"/>
          <w:sz w:val="18"/>
          <w:szCs w:val="18"/>
          <w:color w:val="auto"/>
        </w:rPr>
        <w:t>” means criteria that the Board of a Regulated Fund may establish from time to time to describe the characteristics of Potential Co-Investment Transactions regarding which the Adviser to the Regulated Fund should be notified under Condition 1. The Board-Established Criteria will be consistent with the Regulated Fund’s Objectives and Strategies (defined below). If no Board-Established Criteria are in effect, then the Regulated Fund’s Adviser will be notified of all Potential Co-Investment Transactions that fall within the Regulated Fund’s then-current Objectives and Strategies. Board-Established Criteria will be objective and testable, meaning that they will be based on observable information, such as industry/sector of the issuer, minimum EBITDA of the issuer, asset class of the investment opportunity or required commitment size, and not on characteristics that involve a discretionary assessment. The Adviser to the Regulated Fund may from time to time recommend criteria for the Board’s consideration, but Board-Established Criteria will only become effective if approved by a majority of the Independent Directors (defined below). The Independent Directors of a Regulated Fund may at any time rescind, suspend or qualify their approval of any Board-Established Criteria, though Applicants anticipate that, under normal circumstances, the Board would not modify these criteria more often than quarterly.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Chicago Atlantic Proprietary Account</w:t>
      </w:r>
      <w:r>
        <w:rPr>
          <w:rFonts w:ascii="Times New Roman" w:cs="Times New Roman" w:eastAsia="Times New Roman" w:hAnsi="Times New Roman"/>
          <w:sz w:val="18"/>
          <w:szCs w:val="18"/>
          <w:color w:val="auto"/>
        </w:rPr>
        <w:t>” means any Adviser in a principal capacity, and any direct or indirect, wholly- or majority-owned subsidiary of an Adviser that, from time to time, may hold various financial assets in a principal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9" w:lineRule="exact"/>
        <w:rPr>
          <w:sz w:val="20"/>
          <w:szCs w:val="20"/>
          <w:color w:val="auto"/>
        </w:rPr>
      </w:pPr>
    </w:p>
    <w:p>
      <w:pPr>
        <w:ind w:left="340" w:hanging="332"/>
        <w:spacing w:after="0" w:line="195"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Section 2(a)(48) defines a BDC to be any closed-end investment company that operates for the purpose of making investments in securities described in Section 55(a)(1) through 55(a)(3) and makes available significant managerial assistance with respect to the issuers of such securities.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Affiliate</w:t>
      </w:r>
      <w:r>
        <w:rPr>
          <w:rFonts w:ascii="Times New Roman" w:cs="Times New Roman" w:eastAsia="Times New Roman" w:hAnsi="Times New Roman"/>
          <w:sz w:val="18"/>
          <w:szCs w:val="18"/>
          <w:color w:val="auto"/>
        </w:rPr>
        <w:t>” means the Advisers, the Regulated Funds, the Affiliated Funds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Program</w:t>
      </w:r>
      <w:r>
        <w:rPr>
          <w:rFonts w:ascii="Times New Roman" w:cs="Times New Roman" w:eastAsia="Times New Roman" w:hAnsi="Times New Roman"/>
          <w:sz w:val="18"/>
          <w:szCs w:val="18"/>
          <w:color w:val="auto"/>
        </w:rPr>
        <w:t>” means the proposed co-investment program that would permit one or more Regulated Funds and/or one or more Affiliated Funds to participate in the same investment opportunities where such participation would otherwise be prohibited under Section 57(a)(4) and Rule 17d–1 by (a) co-investing with each other in securities issued by issuers in private placement transactions in which an Adviser negotiates terms in addition to price;</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and (b) making Follow-On Investments (as defined below).</w:t>
      </w:r>
    </w:p>
    <w:p>
      <w:pPr>
        <w:spacing w:after="0" w:line="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any transaction in which a Regulated Fund (or its Wholly-Owned Investment Sub) participated together with one or more Affiliated Funds and/or one or more other Regulated Funds in reliance on the Order.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means the sale, exchange or other disposition of an interest in a security of an issuer.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Directors</w:t>
      </w:r>
      <w:r>
        <w:rPr>
          <w:rFonts w:ascii="Times New Roman" w:cs="Times New Roman" w:eastAsia="Times New Roman" w:hAnsi="Times New Roman"/>
          <w:sz w:val="18"/>
          <w:szCs w:val="18"/>
          <w:color w:val="auto"/>
        </w:rPr>
        <w:t>” means, with respect to a Regulated Fund and a Potential Co-Investment Transaction, the members of the Regulated Fund’s Board eligible to vote on that Potential Co-Investment Transaction under Section 57(o) of the Act (treating any registered investment company or series thereof as a BDC for this purpose).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Follow-On Investment</w:t>
      </w:r>
      <w:r>
        <w:rPr>
          <w:rFonts w:ascii="Times New Roman" w:cs="Times New Roman" w:eastAsia="Times New Roman" w:hAnsi="Times New Roman"/>
          <w:sz w:val="18"/>
          <w:szCs w:val="18"/>
          <w:color w:val="auto"/>
        </w:rPr>
        <w:t>” means (i) with respect to a Regulated Fund, an additional investment in the same issuer in which the Regulated Fund is currently invested; or (ii) with respect to an Affiliated Fund, (X) an additional investment in the same issuer in which the Affiliated Fund and at least one Regulated Fund are currently invested; or (Y) an investment in an issuer in which at least one Regulated Fund is currently invested but in which the Affiliated Fund does not currently have an investment. An investment in an issuer includes, but is not limited to, the exercise of warrants, conversion privileges or other rights to purchase securities of the issuer.</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Adviser</w:t>
      </w:r>
      <w:r>
        <w:rPr>
          <w:rFonts w:ascii="Times New Roman" w:cs="Times New Roman" w:eastAsia="Times New Roman" w:hAnsi="Times New Roman"/>
          <w:sz w:val="18"/>
          <w:szCs w:val="18"/>
          <w:color w:val="auto"/>
        </w:rPr>
        <w:t>” means any future investment adviser that (i) controls, is controlled by, or is under common control with an Existing Adviser, (ii) (a) is registered as an investment adviser under the Investment Advisers Act of 1940, as amended (the “</w:t>
      </w:r>
      <w:r>
        <w:rPr>
          <w:rFonts w:ascii="Times New Roman" w:cs="Times New Roman" w:eastAsia="Times New Roman" w:hAnsi="Times New Roman"/>
          <w:sz w:val="18"/>
          <w:szCs w:val="18"/>
          <w:b w:val="1"/>
          <w:bCs w:val="1"/>
          <w:i w:val="1"/>
          <w:iCs w:val="1"/>
          <w:color w:val="auto"/>
        </w:rPr>
        <w:t>Advisers Act</w:t>
      </w:r>
      <w:r>
        <w:rPr>
          <w:rFonts w:ascii="Times New Roman" w:cs="Times New Roman" w:eastAsia="Times New Roman" w:hAnsi="Times New Roman"/>
          <w:sz w:val="18"/>
          <w:szCs w:val="18"/>
          <w:color w:val="auto"/>
        </w:rPr>
        <w:t>”), (b) is a relying adviser of an investment adviser that is registered under the Advisers Act and that controls, is controlled by, or is under common control with, an Existing Adviser or (c) is an exempt reporting adviser pursuant to Rule 203(m) of the Advisers Act, and (iii) is not a Regulated Fund or a subsidiary of a Regulated Fund.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Regulated Fund</w:t>
      </w:r>
      <w:r>
        <w:rPr>
          <w:rFonts w:ascii="Times New Roman" w:cs="Times New Roman" w:eastAsia="Times New Roman" w:hAnsi="Times New Roman"/>
          <w:sz w:val="18"/>
          <w:szCs w:val="18"/>
          <w:color w:val="auto"/>
        </w:rPr>
        <w:t>” means a closed-end management investment company (a) that is registered under the Act or has elected to be regulated as a BDC, (b) whose investment adviser (and sub-adviser(s), if any) are an Adviser, and (c) that intends to participate in the Co-Investment Program.</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means a member of the Board of any relevant entity who is not an “interested person” as defined in Section 2(a)(19) of the Act. No Independent Director of a Regulated Fund (including any non-interested member of an Independent Party) will have a financial interest in any Co-Investment Transaction, other than indirectly through share ownership in one of the Regulated Funds.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Party</w:t>
      </w:r>
      <w:r>
        <w:rPr>
          <w:rFonts w:ascii="Times New Roman" w:cs="Times New Roman" w:eastAsia="Times New Roman" w:hAnsi="Times New Roman"/>
          <w:sz w:val="18"/>
          <w:szCs w:val="18"/>
          <w:color w:val="auto"/>
        </w:rPr>
        <w:t>” means, with respect to a BDC Downstream Fund, (i) if the BDC Downstream Fund has a board of directors (or the equivalent), the board, or (ii) if the BDC Downstream Fund does not have a board of directors (or the equivalent), a transaction committee or advisory committee of the BDC Downstream Fund.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JT No-Action Letters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SMC Capital, Inc.</w:t>
      </w:r>
      <w:r>
        <w:rPr>
          <w:rFonts w:ascii="Times New Roman" w:cs="Times New Roman" w:eastAsia="Times New Roman" w:hAnsi="Times New Roman"/>
          <w:sz w:val="18"/>
          <w:szCs w:val="18"/>
          <w:color w:val="auto"/>
        </w:rPr>
        <w:t xml:space="preserve">, SEC No-Action Letter (pub. avail. Sept. 5, 1995) and </w:t>
      </w:r>
      <w:r>
        <w:rPr>
          <w:rFonts w:ascii="Times New Roman" w:cs="Times New Roman" w:eastAsia="Times New Roman" w:hAnsi="Times New Roman"/>
          <w:sz w:val="18"/>
          <w:szCs w:val="18"/>
          <w:u w:val="single" w:color="auto"/>
          <w:color w:val="auto"/>
        </w:rPr>
        <w:t>Massachusetts Mutual Life Insurance Company</w:t>
      </w:r>
      <w:r>
        <w:rPr>
          <w:rFonts w:ascii="Times New Roman" w:cs="Times New Roman" w:eastAsia="Times New Roman" w:hAnsi="Times New Roman"/>
          <w:sz w:val="18"/>
          <w:szCs w:val="18"/>
          <w:color w:val="auto"/>
        </w:rPr>
        <w:t>, SEC No-Action Letter (pub. avail. June 7,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9" w:lineRule="exact"/>
        <w:rPr>
          <w:sz w:val="20"/>
          <w:szCs w:val="20"/>
          <w:color w:val="auto"/>
        </w:rPr>
      </w:pPr>
    </w:p>
    <w:p>
      <w:pPr>
        <w:ind w:left="34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term “private placement transactions” means transactions in which the offer and sale of securities by the issuer are exempt from registration under the Securities Act of 1933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Objectives and Strategies</w:t>
      </w:r>
      <w:r>
        <w:rPr>
          <w:rFonts w:ascii="Times New Roman" w:cs="Times New Roman" w:eastAsia="Times New Roman" w:hAnsi="Times New Roman"/>
          <w:sz w:val="18"/>
          <w:szCs w:val="18"/>
          <w:color w:val="auto"/>
        </w:rPr>
        <w:t>” means (i) with respect to any Regulated Fund other than a BDC Downstream Fund, its investment objectives and strategies, as described in its most current registration statement on Form N-2, other current filings with the Commission under the Securities Act or under the Securities Exchange Act of 1934, as amended, and its most current report to stockholders, and (ii) with respect to any BDC Downstream Fund, those investment objectives and strategies described in its disclosure documents (including private placement memoranda and reports to equity holders) and organizational documents (including operating agreements).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Potential Co-Investment Transaction</w:t>
      </w:r>
      <w:r>
        <w:rPr>
          <w:rFonts w:ascii="Times New Roman" w:cs="Times New Roman" w:eastAsia="Times New Roman" w:hAnsi="Times New Roman"/>
          <w:sz w:val="18"/>
          <w:szCs w:val="18"/>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Pre-Boarding Investments</w:t>
      </w:r>
      <w:r>
        <w:rPr>
          <w:rFonts w:ascii="Times New Roman" w:cs="Times New Roman" w:eastAsia="Times New Roman" w:hAnsi="Times New Roman"/>
          <w:sz w:val="18"/>
          <w:szCs w:val="18"/>
          <w:color w:val="auto"/>
        </w:rPr>
        <w:t>” are investments in an issuer held by a Regulated Fund as well as one or more Affiliated Funds and/or one or more 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Regulated Funds that were acquired prior to participating in any Co-Investment Transaction:</w:t>
      </w:r>
    </w:p>
    <w:p>
      <w:pPr>
        <w:spacing w:after="0" w:line="20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which the only term negotiated by or on behalf of such funds was price in reliance on one of the JT No-Action Letters; or</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occurring at least 90 days apart and without coordination between the Regulated Fund and any Affiliated Fund or other Regulated Fund.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Funds</w:t>
      </w:r>
      <w:r>
        <w:rPr>
          <w:rFonts w:ascii="Times New Roman" w:cs="Times New Roman" w:eastAsia="Times New Roman" w:hAnsi="Times New Roman"/>
          <w:sz w:val="18"/>
          <w:szCs w:val="18"/>
          <w:color w:val="auto"/>
        </w:rPr>
        <w:t>” means the Existing Regulated Fund, the Future Regulated Funds and the BDC Downstream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w:t>
      </w:r>
      <w:r>
        <w:rPr>
          <w:rFonts w:ascii="Times New Roman" w:cs="Times New Roman" w:eastAsia="Times New Roman" w:hAnsi="Times New Roman"/>
          <w:sz w:val="18"/>
          <w:szCs w:val="18"/>
          <w:color w:val="auto"/>
        </w:rPr>
        <w:t>” means (i) any Close Affiliate and (ii) in respect of matters as to which any Adviser has knowledge, any Remote Affiliate.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Remote Affiliate</w:t>
      </w:r>
      <w:r>
        <w:rPr>
          <w:rFonts w:ascii="Times New Roman" w:cs="Times New Roman" w:eastAsia="Times New Roman" w:hAnsi="Times New Roman"/>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that would be a Close Affiliate but for the exclusion in that definition.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Majority</w:t>
      </w:r>
      <w:r>
        <w:rPr>
          <w:rFonts w:ascii="Times New Roman" w:cs="Times New Roman" w:eastAsia="Times New Roman" w:hAnsi="Times New Roman"/>
          <w:sz w:val="18"/>
          <w:szCs w:val="18"/>
          <w:color w:val="auto"/>
        </w:rPr>
        <w:t>” means a required majority, as defined in Section 57(o) of the Act.</w:t>
      </w:r>
      <w:r>
        <w:rPr>
          <w:rFonts w:ascii="Times New Roman" w:cs="Times New Roman" w:eastAsia="Times New Roman" w:hAnsi="Times New Roman"/>
          <w:sz w:val="29"/>
          <w:szCs w:val="29"/>
          <w:color w:val="auto"/>
          <w:vertAlign w:val="superscript"/>
        </w:rPr>
        <w:t>7</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SBIC Subsidiary</w:t>
      </w:r>
      <w:r>
        <w:rPr>
          <w:rFonts w:ascii="Times New Roman" w:cs="Times New Roman" w:eastAsia="Times New Roman" w:hAnsi="Times New Roman"/>
          <w:sz w:val="18"/>
          <w:szCs w:val="18"/>
          <w:color w:val="auto"/>
        </w:rPr>
        <w:t>” means a Wholly-Owned Investment Sub that is licensed by the Small Business Administration (the “</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to operate under the Small Business Investment Act of 1958, as amended, (the “</w:t>
      </w:r>
      <w:r>
        <w:rPr>
          <w:rFonts w:ascii="Times New Roman" w:cs="Times New Roman" w:eastAsia="Times New Roman" w:hAnsi="Times New Roman"/>
          <w:sz w:val="18"/>
          <w:szCs w:val="18"/>
          <w:b w:val="1"/>
          <w:bCs w:val="1"/>
          <w:i w:val="1"/>
          <w:iCs w:val="1"/>
          <w:color w:val="auto"/>
        </w:rPr>
        <w:t>SBA Act</w:t>
      </w:r>
      <w:r>
        <w:rPr>
          <w:rFonts w:ascii="Times New Roman" w:cs="Times New Roman" w:eastAsia="Times New Roman" w:hAnsi="Times New Roman"/>
          <w:sz w:val="18"/>
          <w:szCs w:val="18"/>
          <w:color w:val="auto"/>
        </w:rPr>
        <w:t>”) as a small business investment company (an “</w:t>
      </w:r>
      <w:r>
        <w:rPr>
          <w:rFonts w:ascii="Times New Roman" w:cs="Times New Roman" w:eastAsia="Times New Roman" w:hAnsi="Times New Roman"/>
          <w:sz w:val="18"/>
          <w:szCs w:val="18"/>
          <w:b w:val="1"/>
          <w:bCs w:val="1"/>
          <w:i w:val="1"/>
          <w:iCs w:val="1"/>
          <w:color w:val="auto"/>
        </w:rPr>
        <w:t>SBIC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that meets the following criteria at the time of Disposition:</w:t>
      </w:r>
    </w:p>
    <w:p>
      <w:pPr>
        <w:spacing w:after="0" w:line="22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trades on a national securities exchange or designated offshore securities market as defined in rule 902(b) under the Securities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restrictive agreements with the issuer or other security holders;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trades with sufficient volume and liquidity (findings as to which are documented by the Advisers to any Regulated Funds holding investments in the issuer and retained for the life of the Regulated Fund) to allow each Regulated Fund to dispose of its entire position remaining after the proposed Disposition within a short period of time not exceeding 30 days at approximately the value (as defined by section 2(a)(41) of the Act) at which the Regulated Fund has valued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jc w:val="both"/>
        <w:ind w:left="340" w:hanging="332"/>
        <w:spacing w:after="0" w:line="224"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 Regulated Fund that is a registered closed-end fund, the Board members that make up the Required Majority will be determined as if the Regulated Fund were a BDC subject to Section 57(o). In the case of a BDC Downstream Fund with a board of directors (or the equivalent), the members that make up the Required Majority will be determined as if the BDC Downstream Fund were a BDC subject to Section 57(o). In the case of a BDC Downstream Fund with a transaction committee or advisory committee, the committee members that make up the Required Majority will be determined as if the BDC Downstream Fund were a BDC subject to Section 57(o) and as if the committee members were directors of the fund.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an entity (i) that is a wholly-owned subsidiary</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of a Regulated Fund (with such Regulated Fund at all times holding, beneficially and of record, directly or indirectly, 95% or more of the voting and economic interests); (ii) whose sole business purpose is to hold one or more investments on behalf of such Regulated Fund (and, in the case of an SBIC Subsidiary, maintain a license under the SBA Act and issue debentures guaranteed by the SBA); (iii) with respect to which such Regulated Fund’s Board has the sole authority to make all determinations with respect to the entity’s participation under the Conditions to this application; and (iv) (A) that would be an investment company but for Section 3(c)(1), 3(c)(5)(C), or 3(c)(7) of the Act, or (B) that qualifies as a REIT within the meaning of Section 856 of the Code because substantially all of its assets would consist of real properties.</w:t>
      </w:r>
    </w:p>
    <w:p>
      <w:pPr>
        <w:spacing w:after="0" w:line="199"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APPLICANTS</w:t>
      </w:r>
    </w:p>
    <w:p>
      <w:pPr>
        <w:spacing w:after="0" w:line="229"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Existing Regulated Fund</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Existing Regulated Fund is an externally-managed, non-diversified, closed-end management investment company organized in Delaware. The Existing Regulated Fund intends to elect to be regulated as a BDC under the Act, intends to qualify and elect to be treated as a regulated investment company (“</w:t>
      </w:r>
      <w:r>
        <w:rPr>
          <w:rFonts w:ascii="Times New Roman" w:cs="Times New Roman" w:eastAsia="Times New Roman" w:hAnsi="Times New Roman"/>
          <w:sz w:val="18"/>
          <w:szCs w:val="18"/>
          <w:b w:val="1"/>
          <w:bCs w:val="1"/>
          <w:i w:val="1"/>
          <w:iCs w:val="1"/>
          <w:color w:val="auto"/>
        </w:rPr>
        <w:t>RIC</w:t>
      </w:r>
      <w:r>
        <w:rPr>
          <w:rFonts w:ascii="Times New Roman" w:cs="Times New Roman" w:eastAsia="Times New Roman" w:hAnsi="Times New Roman"/>
          <w:sz w:val="18"/>
          <w:szCs w:val="18"/>
          <w:color w:val="auto"/>
        </w:rPr>
        <w:t>”) under Subchapter M of the Code, and intends to continue to qualify as a RIC in the future.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Existing Regulated Fund’s investment oobjective and strategy is to create attractive risk-adjusted returns by generating current income and, to a lesser extent, capital appreciation through investment in senior leveraged loans issued by private U.S. middle-market companies, both through direct lending and through participation in loan syndicates, and, to a lesser extent, mezzanine debt and equity issued by private U.S. middle-market companies. The Existing Regulated Fund intends to achieve its investment objective by utilizing the same investment strategies as other commingled funds managed by the Existing Advisers.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Existing Regulated Fund’s business and affairs will be managed under the direction of a Board, which will initially consist of five members, three of whom will be Independent Directors. The Existing Regulated Fund’s Board will delegate daily management and investment authority to the BDC Adviser pursuant to an investment advisory agreement.</w:t>
      </w:r>
    </w:p>
    <w:p>
      <w:pPr>
        <w:spacing w:after="0" w:line="176"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BDC Adviser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BDC Adviser is organized as a limited liability company under the laws of the state of Delaware. The BDC Adviser is registered with the Commission pursuant to Section 203 of the Advisers Act and will serve as the investment adviser to the Existing Regulated Fund.</w:t>
      </w:r>
    </w:p>
    <w:p>
      <w:pPr>
        <w:spacing w:after="0" w:line="162"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REIT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REIT Manager is a Delaware limited liability company that serves as the Manager to REFI, on behalf of itself and its successors. The REIT Manager</w:t>
      </w:r>
    </w:p>
    <w:p>
      <w:pPr>
        <w:spacing w:after="0" w:line="27" w:lineRule="exact"/>
        <w:rPr>
          <w:sz w:val="20"/>
          <w:szCs w:val="20"/>
          <w:color w:val="auto"/>
        </w:rPr>
      </w:pPr>
    </w:p>
    <w:p>
      <w:pPr>
        <w:jc w:val="both"/>
        <w:ind w:firstLine="8"/>
        <w:spacing w:after="0" w:line="253" w:lineRule="auto"/>
        <w:tabs>
          <w:tab w:leader="none" w:pos="2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registered as an investment adviser under the Advisers Act, and (ii) will not advise REFI under the Order, or any other client participating in the program of co-investment described in the Application, with respect to securities unless it registers as an investment adviser under the Advisers Act. The REIT Manager will not source Potential Co-Investment Transactions under the required Order and is only deemed to be an Adviser for purposes of Conditions 2(c)(iv), 13 and 14. Because the REIT Manager is not an Adviser, it will engage an Adviser to serve as investment adviser and/or sub-adviser with respect to any securities that would be subject to the Order.</w:t>
      </w:r>
    </w:p>
    <w:p>
      <w:pPr>
        <w:spacing w:after="0" w:line="187"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Chicago Atlantic Advisers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Chicago Atlantic Advisers is organized as a limited liability company under the laws of the state of Delaware. Chicago Atlantic Advisers is registered with the Commission pursuant to Section 203 of the Advisers Act to serve as the investment adviser to Chicago Atlantic Credit Opportunities,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2" w:lineRule="exact"/>
        <w:rPr>
          <w:sz w:val="20"/>
          <w:szCs w:val="20"/>
          <w:color w:val="auto"/>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“wholly-owned subsidiary” of a person is as defined in Section 2(a)(43) of the Act and means a company 95% or more of the outstanding voting securities of which are owned by such person.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Chicago Atlantic Credit Advisers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Chicago Atlantic Credit Advisers is organized as a limited liability company under the laws of the state of Delaware. Chicago Atlantic Credit Advisers is registered with the Commission pursuant to Section 203 of the Advisers Act and serves as the investment adviser to Chicago Atlantic Fund, LLC and Chicago Atlantic Fund QP, LLC.</w:t>
      </w:r>
    </w:p>
    <w:p>
      <w:pPr>
        <w:spacing w:after="0" w:line="176"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Affiliated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Existing Affiliated Funds were each formed as follows:</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 a Maryland corporation formed on March 30, 2021 that has elected to be taxed as a REIT under the Code;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Credit Opportunities, LLC, a Delaware limited liability company formed on April 12, 2021;</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Fund, LLC, a Delaware limited liability company formed on July 18, 2019;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Fund QP, LLC, a Delaware limited liability company formed on September 15, 2020.</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investment objective and strategy of each Existing Affiliated Fund, except for REFI, is to create attractive risk-adjusted returns by generating current income and, to a lesser extent, capital appreciation through investment in senior leveraged loans issued by private U.S. middle-market companies, both through direct lending and through participation in loan syndicates, and, to a lesser extent, mezzanine debt and equity issued by private U.S. middle-market companies. REFI’s primary investment objective is to provide attractive risk-adjusted returns for stockholders over time primarily through consistent current income dividends and other distributions and secondarily through capital appreciation. REFI intends to achieve this objective by originating, structuring and investing in first mortgage loans and alternative structured financings secured by commercial real estate properties.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Existing Affiliated Fund is a separate and distinct legal entity and each relies on the exclusion from the status as an investment company under the Act provided by Section 3(c)(1), 3(c)(5)(C) or 3(c)(7). Each Existing Affiliated Fund is managed by or will be managed by either the REIT Manager, Chicago Atlantic Advisers, or Chicago Atlantic Credit Advisers.</w:t>
      </w:r>
    </w:p>
    <w:p>
      <w:pPr>
        <w:spacing w:after="0" w:line="176"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Chicago Atlantic Proprietary Accounts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Chicago Atlantic Proprietary Accounts, if any, will hold various financial assets in a principal capacity. The Existing Advisers have various business lines that they may operate through wholly- or majority-owned subsidiaries. Currently, there are no subsidiaries of the Existing Advisers that exist and currently intend to participate in the Co-Investment Program.</w:t>
      </w:r>
    </w:p>
    <w:p>
      <w:pPr>
        <w:spacing w:after="0" w:line="172"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ORDER REQUESTED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Applicants respectfully request an Order of the Commission under Sections 17(d) and 57(i) and Rule 17d-1 thereunder to permit, subject to the terms and Conditions set forth below in this Application, a Regulated Fund and one or more other Regulated Funds and/or one or more Affiliated Funds to enter into Co-Investment Transactions with each other.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Regulated Funds and the Affiliated Funds seek relief to enter into Co-Investment Transactions because such Co-Investment Transactions would otherwise be prohibited by either or both of Section 17(d) or Section 57(a)(4) and the Rules under the Act without an exemptive order from the Commission. This Application seeks relief in order to (i) enable the Regulated Funds and Affiliated Funds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Overview</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Applicants include the BDC Adviser, which will serve as the investment adviser to the Existing Regulated Fund; the REIT Manager, which manages REFI; Chicago Atlantic Advisers, which serves as the investment adviser to Chicago Atlantic Credit Opportunities; and Chicago Atlantic Credit Advisers, which serves as the investment adviser to Chicago Atlantic Fund and Chicago Atlantic Fund QP, with aggregate assets under management of approximately $132 million as of December 31, 2021. The BDC Adviser will manage the assets entrusted to it by the Existing Regulated Fund in accordance with its fiduciary duty to the Existing Regulated Fund under the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Existing Advisers have established rigorous processes for allocating initial investment opportunities, opportunities for subsequent investments in an issuer and dispositions of securities holdings reasonably designed to treat all clients fairly and equitably.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180"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Investment Process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176" w:lineRule="exact"/>
        <w:rPr>
          <w:sz w:val="20"/>
          <w:szCs w:val="20"/>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Consideration of Investment Opportunities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Opportunities for Potential Co-Investment Transactions may arise when investment advisory personnel of an Adviser become aware of investment opportunities that may be appropriate for a Regulated Fund and one or more other Regulated Funds and/or one or more Affiliated Funds. If the requested Order is granted, the Advisers will establish, maintain and implement policies and procedures reasonably designed to ensure that, when such opportunities arise, the Advisers to the relevant Regulated Funds are promptly notified and receive the same information about the opportunity as any other Advisers considering the opportunity for their clients. In particular, consistent with Condition 1, if a Potential Co-Investment Transaction falls within the then-current Objectives and Strategies and any Board-Established Criteria of a Regulated Fund, the policies and procedures will require that the Adviser to such Regulated Fund receive sufficient information to allow such Adviser’s investment committee to make its independent determination and recommendations</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under Conditions 1, 2(a), 6, 7, 8 and 9 (as applicable).</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In addition, the policies and procedures will specify the individuals or roles responsible for carrying out the policies and procedures, including ensuring that the Advisers receive such information. After receiving notification of a Potential Co-Investment Transaction under Condition 1(a), the Adviser to each applicable Regulated Fund will then make an independent determination of the appropriateness of the investment for the Regulated Fund in light of the Regulated Fund’s then-current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0" w:lineRule="exact"/>
        <w:rPr>
          <w:sz w:val="20"/>
          <w:szCs w:val="20"/>
          <w:color w:val="auto"/>
        </w:rPr>
      </w:pPr>
    </w:p>
    <w:p>
      <w:pPr>
        <w:jc w:val="both"/>
        <w:ind w:left="340" w:hanging="332"/>
        <w:spacing w:after="0" w:line="228" w:lineRule="auto"/>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Representatives from each Adviser to a Regulated Fund will be members of each investment committee or otherwise entitled to participate in each meeting of any investment committee that is expected to approve or reject recommended investment opportunities falling within its Regulated Funds’ Objectives and Strategies and Board-Established Criteria. Accordingly, the policies and procedures may provide, for example, that an Adviser will receive the information required under Condition 1 in conjunction with its representatives’ participation in the relevant investment committee’s meetings. The allocation memorandum for each Potential Co-Investment Transaction will document the recommendations by the investment committee.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Applicants represent that, if the requested Order is granted, the investment advisory personnel of the Advisers to the Regulated Funds will be charged with making sure they identify, and participate in this process with respect to, each investment opportunity that falls within the Objectives and Strategies and Board-Established Criteria of each Regulated Fund. Applicants assert that the Advisers’ allocation policies and procedures are structured so that the relevant investment advisory personnel for each Regulated Fund will be promptly notified of all Potential Co-Investment Transactions that fall within the then-current Objectives and Strategies and any Board-Established Criteria of such Regulated Fund and that the Advisers will undertake to perform these duties regardless of whether the Advisers serve as investment adviser or sub-adviser to the Regulated Fund or Affiliated Funds.</w:t>
      </w:r>
    </w:p>
    <w:p>
      <w:pPr>
        <w:spacing w:after="0" w:line="187" w:lineRule="exact"/>
        <w:rPr>
          <w:sz w:val="20"/>
          <w:szCs w:val="20"/>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Order Placement and Allocation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the Adviser to a Regulated Fund deems the Regulated Fund’s participation in any Potential Co-Investment Transaction to be appropriate, it will formulate a recommendation regarding the proposed order amount for the Regulated Fund.</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Allocation Procedure</w:t>
      </w:r>
      <w:r>
        <w:rPr>
          <w:rFonts w:ascii="Times New Roman" w:cs="Times New Roman" w:eastAsia="Times New Roman" w:hAnsi="Times New Roman"/>
          <w:sz w:val="18"/>
          <w:szCs w:val="18"/>
          <w:color w:val="auto"/>
        </w:rPr>
        <w:t>. For each Regulated Fund and Affiliated Fund whose Adviser recommends participating in a Potential Co-Investment Transaction, such Adviser’s investment committee will approve an investment amount to be allocated to each Regulated Fund and/or Affiliated Fund participating in the Potential Co-Investment Transaction. Prior to the External Submission (as defined below), each proposed order amount may be reviewed and adjusted, in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accordance with the applicable Adviser’s written allocation policies and procedures, by the applicable Adviser’s investment committee.</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The order of a Regulated Fund or Affiliated Fund resulting from this process is referred to as its “</w:t>
      </w:r>
      <w:r>
        <w:rPr>
          <w:rFonts w:ascii="Times New Roman" w:cs="Times New Roman" w:eastAsia="Times New Roman" w:hAnsi="Times New Roman"/>
          <w:sz w:val="18"/>
          <w:szCs w:val="18"/>
          <w:b w:val="1"/>
          <w:bCs w:val="1"/>
          <w:i w:val="1"/>
          <w:iCs w:val="1"/>
          <w:color w:val="auto"/>
        </w:rPr>
        <w:t>Internal Order</w:t>
      </w:r>
      <w:r>
        <w:rPr>
          <w:rFonts w:ascii="Times New Roman" w:cs="Times New Roman" w:eastAsia="Times New Roman" w:hAnsi="Times New Roman"/>
          <w:sz w:val="18"/>
          <w:szCs w:val="18"/>
          <w:color w:val="auto"/>
        </w:rPr>
        <w:t>”. The Internal Order will be submitted for approval by the Required Majority of any participating Regulated Funds in accordance with the Conditions and as discussed in section III.A.1.c. below.</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the aggregate Internal Orders for a Potential Co-Investment Transaction do not exceed the size of the investment opportunity immediately prior to the submission of the orders to the underwriter, broker, dealer or issuer, as applicable (the “</w:t>
      </w:r>
      <w:r>
        <w:rPr>
          <w:rFonts w:ascii="Times New Roman" w:cs="Times New Roman" w:eastAsia="Times New Roman" w:hAnsi="Times New Roman"/>
          <w:sz w:val="18"/>
          <w:szCs w:val="18"/>
          <w:b w:val="1"/>
          <w:bCs w:val="1"/>
          <w:i w:val="1"/>
          <w:iCs w:val="1"/>
          <w:color w:val="auto"/>
        </w:rPr>
        <w:t>External Submission</w:t>
      </w:r>
      <w:r>
        <w:rPr>
          <w:rFonts w:ascii="Times New Roman" w:cs="Times New Roman" w:eastAsia="Times New Roman" w:hAnsi="Times New Roman"/>
          <w:sz w:val="18"/>
          <w:szCs w:val="18"/>
          <w:color w:val="auto"/>
        </w:rPr>
        <w:t>”), then each Internal Order will be fulfilled as placed. If, on the other hand, the aggregate Internal Orders for a Potential Co-Investment Transaction exceed the size of the investment opportunity</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immediately prior to the External Submission, then the allocation of the opportunity will be made pro rata on the basis of the size of the Internal Orders.</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If, subsequent to such External Submission, the size of the opportunity is increased or 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the Advisers will establish, implement and maintain. The Board of the Regulated Fund will then either approve or disapprove of the investment opportunity in accordance with Condition 2, 6, 7, 8 or 9, as applicable.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Applicants represent that the Advisers’ allocation review process will be a robust process designed as part of their overall compliance policies and procedures to ensure that every client is treated fairly and that the Advisers are following their allocation policies. The entire allocation process will be monitored and reviewed by the compliance team, led by the chief compliance officer, and approved by the Board of each Regulated Fund as it applies to such Regulated Fund.</w:t>
      </w:r>
    </w:p>
    <w:p>
      <w:pPr>
        <w:spacing w:after="0" w:line="180" w:lineRule="exact"/>
        <w:rPr>
          <w:sz w:val="20"/>
          <w:szCs w:val="20"/>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Potential Co-Investment Transactions</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Regulated Fund will enter into a Potential Co-Investment Transaction with one or more other Regulated Funds and/or Affiliated Funds only if, prior to the Regulated Fund’s participation in the Potential Co-Investment Transaction, the Required Majority approves it in accordance with the Conditions of this Order.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case of a BDC Downstream Fund with an Independent Party consisting of a transaction committee or advisory committee, the individuals on the committee would possess experience and training comparable to that of the directors of the parent Regulated Fund and sufficient to permit them to make informed decisions on behalf of the applicable BDC Downstream Fund. Applicants represent that the Independent Parties of the BDC Downstream Funds would be bound (by law or by contract) by fiduciary duties comparable to those applicable to the directors of the parent Regulated Fund, including a duty to act in the best interests of their respective funds when approving transactions. These duties would apply in the case of all Potential Co-Investment Transactions, including transactions that could present a conflict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reason for any such adjustment to a proposed order amount will be documented in writing and preserved in the records of each Adviser.</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14" w:lineRule="auto"/>
        <w:tabs>
          <w:tab w:leader="none" w:pos="34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Advisers will maintain records of all proposed order amounts, Internal Orders and External Submissions in conjunction with Potential Co-Investment Transactions. Each applicable Adviser will provide the Eligible Directors with information concerning the Affiliated Funds’ and Regulated Funds’ order sizes to assist the Eligible Directors with their review of the applicable Regulated Fund’s investments for compliance with the Conditions.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Further, Applicants believe that the existence of differing routes of approval between the BDC Downstream Funds and other Regulated Funds would not result in Applicants investing through the BDC Downstream Funds in order to avoid obtaining the approval of a Regulated Fund’s Board. Each Regulated Fund and BDC Downstream Fund has its own Objectives and Strategies and may have its own Board-Established Criteria, the implementation of which depends on the specific circumstances of the entity’s portfolio at the time an investment opportunity is presented. As noted above, consistent with its duty to its BDC Downstream Funds, the Independent Party must reach a conclusion on whether or not an investment is in the best interest of its relevant BDC Downstream Funds. An investment made solely to avoid an approval requirement at the Regulated Fund level should not be viewed as in the best interest of the entity in question and, thus, would not be approved by the Independent Party.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Pro Rata Dispositions (defined below) and Pro Rata Follow-On Investments (defined below) without obtaining prior approval of the Required Majority in accordance with Conditions 6(c)(i) and 8(b)(i).</w:t>
      </w:r>
    </w:p>
    <w:p>
      <w:pPr>
        <w:spacing w:after="0" w:line="162"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Delayed Settlement</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ten business days after the settlement date for the Regulated Fund, and vice versa.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ten business days of each other.</w:t>
      </w:r>
    </w:p>
    <w:p>
      <w:pPr>
        <w:spacing w:after="0" w:line="187"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Follow-On Investments and Approval of Follow-On Investments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Regulated Funds and Affiliated Funds may have opportunities to make Follow-On Investments in an issuer in which a Regulated Fund and one or more other Regulated Funds and/or Affiliated Funds previously have invested and continue to hold an investment. If the Order is granted, Follow-On Investments will be made in a manner that, over time, is fair and equitable to all of the Regulated Funds and Affiliated Funds and in accordance with the proposed procedures discussed above and with the Conditions of the Order. The Order, if granted, would permit Affiliated Funds to participate in Follow-On Investments in issuers in which at least one Regulated Fund is invested, but such Affiliated Funds are not invested. This relief would not permit Follow-On Investments by Regulated Funds that are not invested in the issuer.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Order would divide Follow-On Investments into two categories depending on whether the Regulated Funds and Affiliated Funds holding investments in the issuer previously participated in a Co-Investment Transaction with respect to the issuer and continue to hold any securities acquired in a Co-Investment Transaction for that issuer. If such Regulated Funds and Affiliated Funds have previously participated in a Co-Investment Transaction with respect to the issuer, then the terms and approval of the Follow-On Investment would be subject to the process discussed in Section III.A.3.a. below and governed by Condition 8. These Follow-On Investments are referred to as “Standard Review Follow-Ons.” If such Regulated Funds and Affiliated Funds have not previously participated in a Co-Investment Transaction with respect to the issuer, then the terms and approval of the Follow-On Investment would be subject to the “onboarding process” discussed in Section III.A.3.b. below and governed by Condition 9. These Follow-On Investments are referred to as “Enhanced Review Follow-Ons.”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Follow-Ons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a Standard Review Follow-On without obtaining the prior approval of the Required Majority if it is (i) a Pro Rata Follow-On Investment or (ii) a Non-Negotiated Follow-On Investment.</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Pro Rata Follow-On Investment</w:t>
      </w:r>
      <w:r>
        <w:rPr>
          <w:rFonts w:ascii="Times New Roman" w:cs="Times New Roman" w:eastAsia="Times New Roman" w:hAnsi="Times New Roman"/>
          <w:sz w:val="18"/>
          <w:szCs w:val="18"/>
          <w:color w:val="auto"/>
        </w:rPr>
        <w:t>” is a Follow-On Investment (i) in which the participation of each Affiliated Fund and each Regulated Fund is proportionate to its outstanding investments in the issuer or security, as appropriate,</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immediately preceding the Follow-On Investment, and (ii) in the case of a Regulated Fund, a majority of the Board has approved the Regulated Fund’s participation in the pro rata Follow-On Investments as being in the best interests of the Regulated Fund. The Regulated Fund’s Board may refuse to approve, or at any time rescind, suspend or qualify, their approval of Pro Rata Follow-On Investments, in which case all subsequent Follow-On Investments will be submitted to the Regulated Fund’s Eligible Directors in accordance with Condition 8(c).</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Non-Negotiated Follow-On Investment</w:t>
      </w:r>
      <w:r>
        <w:rPr>
          <w:rFonts w:ascii="Times New Roman" w:cs="Times New Roman" w:eastAsia="Times New Roman" w:hAnsi="Times New Roman"/>
          <w:sz w:val="18"/>
          <w:szCs w:val="18"/>
          <w:color w:val="auto"/>
        </w:rPr>
        <w:t>” is a Follow-On Investment in which a Regulated Fund participates together with one or more Affiliated Funds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Applicants believe that these Pro Rata and Non-Negotiated Follow-On Investments do not present a significant opportunity for overreaching on the part of any Adviser and thus do not warrant the time or the attention of the Board. Pro Rata Follow-On Investments and Non-Negotiated Follow-On Investments remain subject to the Board’s periodic review in accordance with Condition 10.</w:t>
      </w:r>
    </w:p>
    <w:p>
      <w:pPr>
        <w:spacing w:after="0" w:line="176" w:lineRule="exact"/>
        <w:rPr>
          <w:sz w:val="20"/>
          <w:szCs w:val="20"/>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Follow-Ons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or more Regulated Funds and/or one or more Affiliated Funds holding Pre-Boarding Investments may have the opportunity to make a Follow-On Investment that is a Potential Co-Investment Transaction in an issuer with respect to which they have not previously participated in a Co-Investment Transaction. In these cases, the Regulated Funds and Affiliated Funds may rely on the Order to make such Follow-On Investment subject to the requirements of Condition 9. These enhanced review requirements constitute an “onboarding process” whereby Regulated Funds and Affiliated Funds may utilize the Order to participate in Co-Investment Transactions even though they already hold Pre-Boarding Investments. For a given issuer, the participating Regulated Funds and Affiliated Funds need to comply with these requirements only for the first Co-Investment Transaction. Subsequent Co-Investment Transactions with respect to the issuer will be governed by Condition 8 under the standard review process.</w:t>
      </w:r>
    </w:p>
    <w:p>
      <w:pPr>
        <w:spacing w:after="0" w:line="189" w:lineRule="exact"/>
        <w:rPr>
          <w:sz w:val="20"/>
          <w:szCs w:val="20"/>
          <w:color w:val="auto"/>
        </w:rPr>
      </w:pPr>
    </w:p>
    <w:p>
      <w:pPr>
        <w:ind w:left="560" w:hanging="552"/>
        <w:spacing w:after="0"/>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Regulated Funds and Affiliated Funds may be presented with opportunities to sell, exchange or otherwise dispose of securities in a transaction that would be prohibited by Rule 17d-1 or Section 57(a)(4), as applicable. If the Order is granted, such Dispositions will be made in a manner that, over time, is fair and equitable to all of the Regulated and Affiliated Funds and in accordance with procedures set forth in the proposed Conditions to the Order and discussed below.</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Order would divide these Dispositions into two categories: (i) if the Regulated Funds and Affiliated Funds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“Standard Review Dispositions”)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“Enhanced Review Dispositions”) would be subject to the same “onboarding process” discussed in Section III.A.4.b. below, and governed by Condition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28, below.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Dispositions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a Standard Review Disposition without obtaining the prior approval of the Required Majority if (i) the Disposition is a Pro Rata Disposition or (ii) the securities are Tradable Securities and the Disposition meets the other requirements of Condition 6(c)(ii).</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Pro Rata Disposition</w:t>
      </w:r>
      <w:r>
        <w:rPr>
          <w:rFonts w:ascii="Times New Roman" w:cs="Times New Roman" w:eastAsia="Times New Roman" w:hAnsi="Times New Roman"/>
          <w:sz w:val="18"/>
          <w:szCs w:val="18"/>
          <w:color w:val="auto"/>
        </w:rPr>
        <w:t>” is a Disposition (i) in which the participation of each Affiliated Fund and each Regulated Fund is proportionate to its outstanding investment in the security subject to Disposition immediately preceding the Disposition;</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and (ii) in the case of a Regulated Fund, a majority of the Board has approved the Regulated Fund’s participation in pro rata Dispositions as being in the best interests of the Regulated Fund. The Regulated Fund’s Board may refuse to approve, or at any time rescind, suspend or qualify, their approval of Pro Rata Dispositions, in which case all subsequent Dispositions will be submitted to the Regulated Fund’s Eligible Directors.</w:t>
      </w:r>
    </w:p>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the case of a Tradable Security, approval of the required majority is not required for the Disposition if: (x) the Disposition is not to the issuer or any affiliated person of the issuer;</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and (y) the security is sold for cash in a transaction in which the only term negotiated by or on behalf of the participating Regulated Funds and Affiliated Funds is price. Pro Rata Dispositions and Dispositions of a Tradable Security remain subject to the Board’s periodic review in accordance with Condition 10.</w:t>
      </w:r>
    </w:p>
    <w:p>
      <w:pPr>
        <w:spacing w:after="0" w:line="198" w:lineRule="exact"/>
        <w:rPr>
          <w:sz w:val="20"/>
          <w:szCs w:val="20"/>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Dispositions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or more Regulated Funds and one or more Affiliated Funds that have not previously participated in a Co-Investment Transaction with respect to an issuer may have the opportunity to make a Disposition of Pre-Boarding Investments in a Potential Co-Investment Transaction. In these cases, the Regulated Funds and Affiliated Funds may rely on the Order to make such Disposition subject to the requirements of Condition 7. As discussed above, with respect to investment in a given issuer, the participating Regulated Funds and Affiliated Funds need only complete the onboarding process for the first Co-Investment</w:t>
      </w:r>
    </w:p>
    <w:p>
      <w:pPr>
        <w:spacing w:after="0" w:line="3"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Transaction, which may be an Enhanced Review Follow-On or an Enhanced Review Disposition.</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Subsequent Co-Investment Transactions with respect to the issuer will be governed by Condition 6 or 8 under the standard review process.</w:t>
      </w:r>
    </w:p>
    <w:p>
      <w:pPr>
        <w:spacing w:after="0" w:line="200" w:lineRule="exact"/>
        <w:rPr>
          <w:sz w:val="20"/>
          <w:szCs w:val="20"/>
          <w:color w:val="auto"/>
        </w:rPr>
      </w:pPr>
    </w:p>
    <w:p>
      <w:pPr>
        <w:ind w:left="560" w:hanging="552"/>
        <w:spacing w:after="0"/>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Wholly-Owned Investment Subs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Regulated Fund may, from time to time, form one or more Wholly-Owned Investment Subs. Such a subsidiary may be prohibited from investing in a Co-Investment Transaction with a Regulated Fund (other than its parent) or any Affiliated Fund because it would be a company controlled by its parent Regulated Fund for purposes of Section 57(a)(4) and Rule 17d-1. Applicants request that each Wholly-Owned Investment Sub be permitted to participate in Co-Investment Transactions in lieu of the applicable parent Regulated Fund that owns it and that the Wholly-Owned Investment Sub’s participation in any such transaction be treated, for purposes of the Order, as though the parent Regulated Fund were participating directly.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Applicants note that an entity could not be both a Wholly-Owned Investment Sub and a BDC Downstream Fund because, in the former case, the Board of the parent Regulated Fund makes any determinations regarding the subsidiary’s investments while, in the latter case, the Independent Party makes such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26, below.</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(i.e., cash) to pay down long term liabilities.</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28"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(i.e.,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p>
    <w:p>
      <w:pPr>
        <w:spacing w:after="0" w:line="225"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17(d) and Section 57(a)(4)</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Similarly, with regard to BDCs, Section 57(a)(4) prohibits certain persons specified in Section 57(b) from participating in a joint transaction with the BDC, or a company controlled by the BDC, in contravention of rules as prescribed by the Commission. In particular, Section 57(a)(4) applies to:</w:t>
      </w:r>
    </w:p>
    <w:p>
      <w:pPr>
        <w:spacing w:after="0" w:line="162"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officer, employee, or member of an advisory board of a BDC or any person (other than the BDC itself) who is an affiliated person of the forgoing pursuant to Section 2(a)(3)(C); or</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xml:space="preserve"> or any person who is an affiliated person of any of the forgoing within the meaning of Section 2(a)(3)(C) or (D).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foregoing application of Section 57(a)(4), BDC Downstream Funds on the one hand and other Regulated Funds and Affiliated Funds on the other, may not co-invest absent an exemptive order because the BDC Downstream Funds are controlled by a BDC and the Affiliated Funds and other Regulated Funds are included in Section 57(b).</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Section 2(a)(3)(C) defines an “affiliated person” of another person to include any person directly or indirectly controlling, controlled by, or under common control with, such other person. Section 2(a)(3)(D) defines “any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Times New Roman" w:cs="Times New Roman" w:eastAsia="Times New Roman" w:hAnsi="Times New Roman"/>
          <w:sz w:val="29"/>
          <w:szCs w:val="29"/>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17830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2" w:lineRule="exact"/>
        <w:rPr>
          <w:sz w:val="20"/>
          <w:szCs w:val="20"/>
          <w:color w:val="auto"/>
        </w:rPr>
      </w:pPr>
    </w:p>
    <w:p>
      <w:pPr>
        <w:jc w:val="both"/>
        <w:ind w:left="340" w:hanging="332"/>
        <w:spacing w:after="0" w:line="210"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Also excluded from this category by Rule 57b-1 is any person who would otherwise be included (a) solely because that person is directly or indirectly controlled by a business development company, or (b) solely because that person is, within the meaning of Section 2(a)(3)(C) or (D), an affiliated person of a person described in (a) above.</w:t>
      </w:r>
    </w:p>
    <w:p>
      <w:pPr>
        <w:spacing w:after="0" w:line="2"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e.g., SEC Rel. No. IC-4697 (Sept. 8, 1966) (“For purposes of Section 2(a)(3)(C), affiliation based upon control would depend on the facts of the given situation, including such factors as extensive interlocks of officers, directors or key personnel, common investment advisers or underwriters, etc.”); Lazard Freres Asset Management, SEC No-Action Letter (pub. avail. Jan. 10, 1997) (“While, in some circumstances, the nature of an advisory relationship may give an adviser control over its client’s management or policies, whether an investment company and another entity are under common control is a factual question…”).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17d-1</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 tier affiliate. Rule 17d-1 generally prohibits participation by a registered investment company and an affiliated person (as defined in Section 2(a)(3))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w:t>
      </w:r>
    </w:p>
    <w:p>
      <w:pPr>
        <w:jc w:val="both"/>
        <w:spacing w:after="0" w:line="209" w:lineRule="auto"/>
        <w:rPr>
          <w:sz w:val="20"/>
          <w:szCs w:val="20"/>
          <w:color w:val="auto"/>
        </w:rPr>
      </w:pPr>
      <w:r>
        <w:rPr>
          <w:rFonts w:ascii="Times New Roman" w:cs="Times New Roman" w:eastAsia="Times New Roman" w:hAnsi="Times New Roman"/>
          <w:sz w:val="18"/>
          <w:szCs w:val="18"/>
          <w:color w:val="auto"/>
        </w:rPr>
        <w:t>prohibitions that do not present the dangers of overreaching.</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 The Court of Appeals for the Second Circuit has enunciated a like rationale for the purpose behind Section 17(d): “The objective of [Section] 17(d)…is to prevent…injuring the interest of stockholders of registered investment companies by causing</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to participate on a basis different from or less advantageous than that of such other participants.”</w:t>
      </w:r>
      <w:r>
        <w:rPr>
          <w:rFonts w:ascii="Times New Roman" w:cs="Times New Roman" w:eastAsia="Times New Roman" w:hAnsi="Times New Roman"/>
          <w:sz w:val="29"/>
          <w:szCs w:val="29"/>
          <w:color w:val="auto"/>
          <w:vertAlign w:val="superscript"/>
        </w:rPr>
        <w:t>19</w:t>
      </w:r>
      <w:r>
        <w:rPr>
          <w:rFonts w:ascii="Times New Roman" w:cs="Times New Roman" w:eastAsia="Times New Roman" w:hAnsi="Times New Roman"/>
          <w:sz w:val="18"/>
          <w:szCs w:val="18"/>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Times New Roman" w:cs="Times New Roman" w:eastAsia="Times New Roman" w:hAnsi="Times New Roman"/>
          <w:sz w:val="29"/>
          <w:szCs w:val="29"/>
          <w:color w:val="auto"/>
          <w:vertAlign w:val="superscript"/>
        </w:rPr>
        <w:t>20</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Applicants believe that the Conditions would ensure that the conflicts of interest that Section 17(d) and Section 57(a)(4) were designed to prevent would be addressed and the standards for an order under Rule 17d-1 and Section 57(i) would be met.</w:t>
      </w:r>
    </w:p>
    <w:p>
      <w:pPr>
        <w:spacing w:after="0" w:line="162"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Need for Relief</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Co-Investment Transactions are prohibited by Rule 17d-1 and either or both of Sections 17(d) and 57(a)(4) without a prior exemptive order of the Commission, to the extent that the Affiliated Funds and the Regulated Funds participating in such transactions fall within the category of persons described by Rule 17d-1, Section 17(d) and/or Section 57(b), as modified by Rule 57b-1 thereunder, as applicable, vis-à-vis each participating Regulated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See Protecting Investors: A Half-Century of Investment Company Regulation</w:t>
      </w:r>
      <w:r>
        <w:rPr>
          <w:rFonts w:ascii="Times New Roman" w:cs="Times New Roman" w:eastAsia="Times New Roman" w:hAnsi="Times New Roman"/>
          <w:sz w:val="18"/>
          <w:szCs w:val="18"/>
          <w:color w:val="auto"/>
        </w:rPr>
        <w:t>, 1504 Fed. Sec. L. Rep., Extra Edition (May 29, 1992) at 488 et seq.</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Securities and Exchange Commission v. Talley Industries, Inc</w:t>
      </w:r>
      <w:r>
        <w:rPr>
          <w:rFonts w:ascii="Times New Roman" w:cs="Times New Roman" w:eastAsia="Times New Roman" w:hAnsi="Times New Roman"/>
          <w:sz w:val="18"/>
          <w:szCs w:val="18"/>
          <w:color w:val="auto"/>
        </w:rPr>
        <w:t xml:space="preserve">., 399 F.2d 396, 405 (2d Cir. 1968), </w:t>
      </w:r>
      <w:r>
        <w:rPr>
          <w:rFonts w:ascii="Times New Roman" w:cs="Times New Roman" w:eastAsia="Times New Roman" w:hAnsi="Times New Roman"/>
          <w:sz w:val="18"/>
          <w:szCs w:val="18"/>
          <w:u w:val="single" w:color="auto"/>
          <w:color w:val="auto"/>
        </w:rPr>
        <w:t>cert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denied</w:t>
      </w:r>
      <w:r>
        <w:rPr>
          <w:rFonts w:ascii="Times New Roman" w:cs="Times New Roman" w:eastAsia="Times New Roman" w:hAnsi="Times New Roman"/>
          <w:sz w:val="18"/>
          <w:szCs w:val="18"/>
          <w:color w:val="auto"/>
        </w:rPr>
        <w:t>, 393 U.S. 1015 (1969). 20 H.Rep. No. 96-1341, 96th Cong., 2d Sess. 45 (1980) reprinted in 1980 U.S.C.C.A.N. 4827.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18"/>
          <w:szCs w:val="18"/>
          <w:color w:val="auto"/>
        </w:rPr>
        <w:t>Each of the participating Regulated Funds and Affiliated Funds may be deemed to be affiliated persons vis-à-vis a Regulated Fund within the meaning of Section 2(a)(3) by reason of common control because (i) an Adviser, that is either an Existing Adviser or an entity that controls, is controlled by, or under common control with an Existing Adviser, will be the investment adviser (and sub-adviser, if any) to each of the Regulated Funds and the Affiliated Funds;</w:t>
      </w:r>
    </w:p>
    <w:p>
      <w:pPr>
        <w:spacing w:after="0" w:line="1" w:lineRule="exact"/>
        <w:rPr>
          <w:sz w:val="20"/>
          <w:szCs w:val="20"/>
          <w:color w:val="auto"/>
        </w:rPr>
      </w:pPr>
    </w:p>
    <w:p>
      <w:pPr>
        <w:jc w:val="both"/>
        <w:ind w:firstLine="8"/>
        <w:spacing w:after="0" w:line="252" w:lineRule="auto"/>
        <w:tabs>
          <w:tab w:leader="none" w:pos="2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BDC Adviser will be the Adviser to, and may be deemed to control, the Existing Regulated Fund; and an Adviser will be the investment adviser (and sub-adviser(s), if any) to, and may be deemed to control, any Future Regulated Fund; (iii) the REIT Manager is the Manager to, and may be deemed to control, REFI; (iv) each BDC Downstream Fund will be deemed to be controlled by its BDC parent and/or its BDC parent’s Adviser; and (v) the Advisers, including the Existing Advisers, are under common control. Thus, each Regulated Fund and each Affiliated Fund may be deemed to be a person related to a Regulated Fund or BDC Downstream Fund in a manner described by Section 57(b) (or Section 17(d) in the case of Regulated Funds that are registered under the Act) and therefore would be prohibited by Section 57(a)(4) (or Section 17(d) in the case of Regulated Funds that are registered under the Act) and Rule 17d-1 from participating in Co-Investment Transactions without the Order.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because the BDC Downstream Funds and Wholly-Owned Investment Subs will be controlled by the Regulated Funds, the BDC Downstream Funds and Wholly-Owned Investment Subs are subject to Section 57(a)(4) (or Section 17(d) in the case of Wholly-Owned Investment Subs controlled by Regulated Funds that are registered under the Act), and thus also subject to the provisions of Rule 17d-1, and therefore would be prohibited from participating in Co-Investment Transactions without the Order.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because the Chicago Atlantic Proprietary Accounts will be controlled by an Adviser or its affiliates and, therefore, may be under common control with the Existing Regulated Fund, the Existing Advisers, and any Future Regulated Funds, the Chicago Atlantic Proprietary Accounts could be deemed to be persons related to the Regulated Funds (or a company controlled by the Regulated Funds) in a manner described by Section 17(d) or 57(b) and also prohibited from participating in the Co-Investment Program.</w:t>
      </w:r>
    </w:p>
    <w:p>
      <w:pPr>
        <w:spacing w:after="0" w:line="328"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Precedents</w:t>
      </w:r>
    </w:p>
    <w:p>
      <w:pPr>
        <w:spacing w:after="0" w:line="2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Commission has issued numerous exemptive orders under the Act permitting registered investment companies and BDCs to co-invest with affiliated persons, including precedents involving proprietary accounts.</w:t>
      </w:r>
      <w:r>
        <w:rPr>
          <w:rFonts w:ascii="Times New Roman" w:cs="Times New Roman" w:eastAsia="Times New Roman" w:hAnsi="Times New Roman"/>
          <w:sz w:val="29"/>
          <w:szCs w:val="29"/>
          <w:color w:val="auto"/>
          <w:vertAlign w:val="superscript"/>
        </w:rPr>
        <w:t>21</w:t>
      </w:r>
      <w:r>
        <w:rPr>
          <w:rFonts w:ascii="Times New Roman" w:cs="Times New Roman" w:eastAsia="Times New Roman" w:hAnsi="Times New Roman"/>
          <w:sz w:val="18"/>
          <w:szCs w:val="18"/>
          <w:color w:val="auto"/>
        </w:rPr>
        <w:t xml:space="preserve"> The relief requested in this Application with respect to Follow-On Investments is based on the temporary relief granted by the Commission on April 8, 2020.</w:t>
      </w:r>
      <w:r>
        <w:rPr>
          <w:rFonts w:ascii="Times New Roman" w:cs="Times New Roman" w:eastAsia="Times New Roman" w:hAnsi="Times New Roman"/>
          <w:sz w:val="29"/>
          <w:szCs w:val="29"/>
          <w:color w:val="auto"/>
          <w:vertAlign w:val="superscript"/>
        </w:rPr>
        <w:t>22</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Applicants submit that the allocation procedures set forth in the Conditions for relief are consistent with and expand the range of investor protections found in the orders we cite.</w:t>
      </w:r>
    </w:p>
    <w:p>
      <w:pPr>
        <w:spacing w:after="0" w:line="3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STATEMENT IN SUPPORT OF RELIEF REQUESTED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2" w:lineRule="exact"/>
        <w:rPr>
          <w:sz w:val="20"/>
          <w:szCs w:val="20"/>
          <w:color w:val="auto"/>
        </w:rPr>
      </w:pPr>
    </w:p>
    <w:p>
      <w:pPr>
        <w:jc w:val="both"/>
        <w:ind w:left="340" w:hanging="332"/>
        <w:spacing w:after="0" w:line="228"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MSD Investment, LLC, et 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No. 812-15215) Release No. IC-34477 (January 19, 2022) (notice), Release no. IC-34509 (February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2022) (order); </w:t>
      </w:r>
      <w:r>
        <w:rPr>
          <w:rFonts w:ascii="Times New Roman" w:cs="Times New Roman" w:eastAsia="Times New Roman" w:hAnsi="Times New Roman"/>
          <w:sz w:val="18"/>
          <w:szCs w:val="18"/>
          <w:u w:val="single" w:color="auto"/>
          <w:color w:val="auto"/>
        </w:rPr>
        <w:t>Silver Point Specialty Lending Fund, et al.</w:t>
      </w:r>
      <w:r>
        <w:rPr>
          <w:rFonts w:ascii="Times New Roman" w:cs="Times New Roman" w:eastAsia="Times New Roman" w:hAnsi="Times New Roman"/>
          <w:sz w:val="18"/>
          <w:szCs w:val="18"/>
          <w:color w:val="auto"/>
        </w:rPr>
        <w:t xml:space="preserve"> (File No. 812-14556) Release No. IC-34472 (January 19, 2022) (notice), Release No. IC-34506 (February 15, 2022) (order); </w:t>
      </w:r>
      <w:r>
        <w:rPr>
          <w:rFonts w:ascii="Times New Roman" w:cs="Times New Roman" w:eastAsia="Times New Roman" w:hAnsi="Times New Roman"/>
          <w:sz w:val="18"/>
          <w:szCs w:val="18"/>
          <w:u w:val="single" w:color="auto"/>
          <w:color w:val="auto"/>
        </w:rPr>
        <w:t>Flat Rock Global, LLC, et al.</w:t>
      </w:r>
      <w:r>
        <w:rPr>
          <w:rFonts w:ascii="Times New Roman" w:cs="Times New Roman" w:eastAsia="Times New Roman" w:hAnsi="Times New Roman"/>
          <w:sz w:val="18"/>
          <w:szCs w:val="18"/>
          <w:color w:val="auto"/>
        </w:rPr>
        <w:t xml:space="preserve"> (File No. 812-15223) Release No. IC-34457 (December 29, 2021) (notice), Release No. IC-34481 (January 25, 2022) (order); </w:t>
      </w:r>
      <w:r>
        <w:rPr>
          <w:rFonts w:ascii="Times New Roman" w:cs="Times New Roman" w:eastAsia="Times New Roman" w:hAnsi="Times New Roman"/>
          <w:sz w:val="18"/>
          <w:szCs w:val="18"/>
          <w:u w:val="single" w:color="auto"/>
          <w:color w:val="auto"/>
        </w:rPr>
        <w:t>Variant Alternative Income Fund, et al.</w:t>
      </w:r>
      <w:r>
        <w:rPr>
          <w:rFonts w:ascii="Times New Roman" w:cs="Times New Roman" w:eastAsia="Times New Roman" w:hAnsi="Times New Roman"/>
          <w:sz w:val="18"/>
          <w:szCs w:val="18"/>
          <w:color w:val="auto"/>
        </w:rPr>
        <w:t xml:space="preserve"> (File No. 812-15265) Release No. IC-34452 (December 23, 2021) (notice), Release No. IC-34476 (January 19, 2022) (order); </w:t>
      </w:r>
      <w:r>
        <w:rPr>
          <w:rFonts w:ascii="Times New Roman" w:cs="Times New Roman" w:eastAsia="Times New Roman" w:hAnsi="Times New Roman"/>
          <w:sz w:val="18"/>
          <w:szCs w:val="18"/>
          <w:u w:val="single" w:color="auto"/>
          <w:color w:val="auto"/>
        </w:rPr>
        <w:t>Neuberger Berman BDC LLC, et al.</w:t>
      </w:r>
      <w:r>
        <w:rPr>
          <w:rFonts w:ascii="Times New Roman" w:cs="Times New Roman" w:eastAsia="Times New Roman" w:hAnsi="Times New Roman"/>
          <w:sz w:val="18"/>
          <w:szCs w:val="18"/>
          <w:color w:val="auto"/>
        </w:rPr>
        <w:t xml:space="preserve"> (File No. 812-15124) Release No. IC-34443 (December 16, 2021) (notice), Release No. IC-34469 (January 13, 2022) (order).</w:t>
      </w:r>
    </w:p>
    <w:p>
      <w:pPr>
        <w:spacing w:after="0" w:line="5"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BDC Temporary Exemptive Order</w:t>
      </w:r>
      <w:r>
        <w:rPr>
          <w:rFonts w:ascii="Times New Roman" w:cs="Times New Roman" w:eastAsia="Times New Roman" w:hAnsi="Times New Roman"/>
          <w:sz w:val="18"/>
          <w:szCs w:val="18"/>
          <w:color w:val="auto"/>
        </w:rPr>
        <w:t>, Investment Company Act Rel. Nos. 33837 (April 8, 2020) (order) (extension granted January 5, 2021 and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extension granted April 22, 2021).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Advisers.</w:t>
      </w:r>
    </w:p>
    <w:p>
      <w:pPr>
        <w:spacing w:after="0" w:line="180"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Potential Benefits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Regulated Fund and its shareholders will benefit from the ability to participate in Co-Investment Transactions. The Board, including the Required Majority, of each Regulated Fund will determine that it is in the best interests of the Regulated Fund to participate in Co-Investment Transactions because, among other matters, (i) the Regulated Fund should be able to participate in a larger number and greater variety of transactions; (ii) 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 investments to satisfy the different needs of external investors;</w:t>
      </w:r>
    </w:p>
    <w:p>
      <w:pPr>
        <w:spacing w:after="0" w:line="3" w:lineRule="exact"/>
        <w:rPr>
          <w:sz w:val="20"/>
          <w:szCs w:val="20"/>
          <w:color w:val="auto"/>
        </w:rPr>
      </w:pPr>
    </w:p>
    <w:p>
      <w:pPr>
        <w:ind w:firstLine="8"/>
        <w:spacing w:after="0" w:line="260" w:lineRule="auto"/>
        <w:tabs>
          <w:tab w:leader="none" w:pos="2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 should be able to obtain greater attention and better deal flow from investment bankers and others who act as sources of investments; and (vi) the Conditions are fair to the Regulated Funds and their shareholders.</w:t>
      </w:r>
    </w:p>
    <w:p>
      <w:pPr>
        <w:spacing w:after="0" w:line="330"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Protective Representations and Conditions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ten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pro rata basis pursuant to Conditions 6(c)(i) and 8(b)(i) or otherwise not requiring Board approval) with respect to such Regulated Fund in accordance with the Conditions; and (iii) the Regulated Funds are required to retain and maintain certain records.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Applicants believe that participation by the Regulated Funds in Pro Rata Follow-On Investments and Pro Rata Dispositions, as provided in Conditions 6(c)</w:t>
      </w:r>
    </w:p>
    <w:p>
      <w:pPr>
        <w:spacing w:after="0" w:line="27" w:lineRule="exact"/>
        <w:rPr>
          <w:sz w:val="20"/>
          <w:szCs w:val="20"/>
          <w:color w:val="auto"/>
        </w:rPr>
      </w:pPr>
    </w:p>
    <w:p>
      <w:pPr>
        <w:jc w:val="both"/>
        <w:ind w:firstLine="8"/>
        <w:spacing w:after="0" w:line="253" w:lineRule="auto"/>
        <w:tabs>
          <w:tab w:leader="none" w:pos="22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8(b)(i), is consistent with the provisions, policies and purposes of the Act and will not be made on a basis different from or less advantageous than that of other participants. A formulaic approach, such as pro rata investment or disposition eliminates the possibility for overreaching and unnecessary prior review by the Board.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Applicants also believe that the participation by the Regulated Funds in Non-Negotiated Follow-On Investments and in Dispositions of Tradable Securities without the approval of a Required Majority is consistent with the provisions, policies and purposes of the Act as there is no opportunity for overreaching by affiliates.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If an Adviser, its principals, or any person controlling, controlled by, or under common control with the Adviser or its principals, and the Affiliated Funds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own in the aggregate more than 25 percent of the outstanding voting shares of a Regulated Fund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then the Holders will vote such Shares as required under Condition 15.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Applicants believe that this condition will ensure that the Independent Directors will act independently in evaluating Co-Investment Transactions, because the ability of an Adviser or its principals to influence the Independent Directors by a suggestion, explicit or implied, that the Independent Directors can be removed if desired by the Holders will be limited significantly. The Independent Directors shall evaluate and approve any independent party, taking into account its qualifications, reputation for independence, cost to the shareholders, and other factors that they deem relevant.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sum,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57(a)(4) and the Rules under the Act. As a result,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179"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Applicants agree that any Order granting the requested relief shall be subject to the following Conditions:</w:t>
      </w:r>
    </w:p>
    <w:p>
      <w:pPr>
        <w:spacing w:after="0" w:line="225"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Referral of Potential Co-Investment Transactions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establish, maintain and implement policies and procedures reasonably designed to ensure that each Adviser is promptly notified of all Potential Co-Investment Transactions that fall within the then-current Objectives and Strategies and Board-Established Criteria of any Regulated Fund the Adviser manages.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Approvals of Co-Investment Transactions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9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4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recommended by the Advisers to be invested in the Potential Co-Investment Transaction by the participating Regulated Funds and any participating Affiliated Funds, collectively, exceeds the amount of the investment opportunity, the investment opportunity will be allocated among them pro rata based on the size of the Internal Orders, as described in section III.A.1.b. above. Each Adviser to a participating Regulated Fund will promptly notify and provide the Eligible Directors with information concerning the Affiliated Funds’ and Regulated Funds’ order sizes to assist the Eligible Directors with their review of the applicable Regulated Fund’s investments for compliance with these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56"/>
        <w:spacing w:after="0" w:line="258" w:lineRule="auto"/>
        <w:tabs>
          <w:tab w:leader="none" w:pos="91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making the determinations required in Condition 1(b) above, each Adviser to a participating Regulated Fund will distribute written information concerning the Potential Co-Investment Transaction (including the amount proposed to be invested by each participating Regulated Fund and each participating Affiliated Fund) to the Eligible Directors of its participating Regulated Fund(s) for their consideration. A Regulated Fund will enter into a Co-Investment Transaction with one or more other Regulated Funds or Affiliated Funds only if, prior to the Regulated Fund’s participation in the Potential Co-Investment Transaction, a Required Majority concludes that:</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the Regulated Fund’s equity holders; and</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Fund’s then-current Objectives and Strategies;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33"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investment by any other Regulated Fund(s) or Affiliated Fund(s) would not disadvantage the Regulated Fund, and participation by the Regulated Fund would not be on a basis different from, or less advantageous than, that of any other Regulated Fund(s) or Affiliated Fund(s) participating in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Required Majority shall not be prohibited from reaching the conclusions required by this Condition 2(c)(iii) if:</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73"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date for another Regulated Fund or an Affiliated Fund in a Co-Investment Transaction is later than the settlement date for the Regulated Fund by no more than ten business days or earlier than the settlement date for the Regulated Fund by no more than ten business days, in either case, so long as: (x) the date on which the commitment of the Affiliated Funds and Regulated Funds is made is the same; and (y) the earliest settlement date and the latest settlement date of any Affiliated Fund or Regulated Fund participating in the transaction will occur within ten business days of each other; or</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248"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Regulated Fund or Affiliated Fund, but not the Regulated Fund itself, gains the right to nominate a director for election to a portfolio company’s board of directors, the right to have a board observer or any similar right to participate in the governance or management 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 otherwise to participate in the governance or management of the portfolio company will be shared proportionately among any participating Affiliated Funds (who may, in turn, share their portion with their affiliated persons) and any participating Regulated Fund(s) in accordance with the amount of each such party’s investment; and</w:t>
      </w:r>
    </w:p>
    <w:p>
      <w:pPr>
        <w:spacing w:after="0" w:line="195" w:lineRule="exact"/>
        <w:rPr>
          <w:rFonts w:ascii="Times New Roman" w:cs="Times New Roman" w:eastAsia="Times New Roman" w:hAnsi="Times New Roman"/>
          <w:sz w:val="18"/>
          <w:szCs w:val="18"/>
          <w:color w:val="auto"/>
        </w:rPr>
      </w:pPr>
    </w:p>
    <w:p>
      <w:pPr>
        <w:jc w:val="both"/>
        <w:ind w:left="660" w:firstLine="644"/>
        <w:spacing w:after="0" w:line="225" w:lineRule="auto"/>
        <w:tabs>
          <w:tab w:leader="none" w:pos="1641"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investment by the Regulated Fund will not involve compensation, remuneration or a direct or indirect</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xml:space="preserve"> financial benefit to the Advisers, any other Regulated Fund, the Affiliated Funds or any affiliated person of any of them (other than the parties to the Co-Investment Transaction), except (A) to the extent permitted by Condition 14, (B) to the extent permitted by Section 17(e) or 57(k), as applicable,</w:t>
      </w:r>
    </w:p>
    <w:p>
      <w:pPr>
        <w:spacing w:after="0" w:line="2"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indirectly, as a result of an interest in the securities issued by one of the parties to the Co-Investment Transaction, or (D) in the case of fees or other compensation described in Condition 2(c)(iii)(B)(z).</w:t>
      </w:r>
    </w:p>
    <w:p>
      <w:pPr>
        <w:spacing w:after="0" w:line="1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Decline.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Regulated Fund has the right to decline to participate in any Potential Co-Investment Transaction or to invest less than the amount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line="195" w:lineRule="auto"/>
        <w:tabs>
          <w:tab w:leader="none" w:pos="34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Limitation.</w:t>
      </w:r>
    </w:p>
    <w:p>
      <w:pPr>
        <w:spacing w:after="0" w:line="229"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color w:val="auto"/>
        </w:rPr>
        <w:t>Except for Follow-On Investments made in accordance with Conditions 8 and 9 below,</w:t>
      </w: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a Regulated Fund will not invest in reliance on the Order in any issuer in which a Related Party has an investment.</w:t>
      </w:r>
    </w:p>
    <w:p>
      <w:pPr>
        <w:spacing w:after="0" w:line="196"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Same Terms and Conditions</w:t>
      </w:r>
      <w:r>
        <w:rPr>
          <w:rFonts w:ascii="Times New Roman" w:cs="Times New Roman" w:eastAsia="Times New Roman" w:hAnsi="Times New Roman"/>
          <w:sz w:val="18"/>
          <w:szCs w:val="18"/>
          <w:i w:val="1"/>
          <w:iCs w:val="1"/>
          <w:u w:val="single" w:color="auto"/>
          <w:color w:val="auto"/>
        </w:rPr>
        <w: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and Affiliated Fund and (ii) the earliest settlement date and the latest settlement date of any participating Regulated Fund or Affiliated Fund will occur as close in time as practicable and in no event more than ten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337" w:lineRule="exact"/>
        <w:rPr>
          <w:sz w:val="20"/>
          <w:szCs w:val="20"/>
          <w:color w:val="auto"/>
        </w:rPr>
      </w:pPr>
    </w:p>
    <w:p>
      <w:pPr>
        <w:ind w:left="460" w:hanging="452"/>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Dispositions.</w:t>
      </w:r>
    </w:p>
    <w:p>
      <w:pPr>
        <w:spacing w:after="0" w:line="223" w:lineRule="exact"/>
        <w:rPr>
          <w:rFonts w:ascii="Times New Roman" w:cs="Times New Roman" w:eastAsia="Times New Roman" w:hAnsi="Times New Roman"/>
          <w:sz w:val="18"/>
          <w:szCs w:val="18"/>
          <w:color w:val="auto"/>
        </w:rPr>
      </w:pPr>
    </w:p>
    <w:p>
      <w:pPr>
        <w:ind w:firstLine="656"/>
        <w:spacing w:after="0" w:line="284" w:lineRule="auto"/>
        <w:tabs>
          <w:tab w:leader="none" w:pos="9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elects to sell, exchange or otherwise dispose of an interest in a security and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Funds and Affiliated Funds have previously participated in a Co-Investment Transaction with respect to the issuer, then:</w:t>
      </w:r>
    </w:p>
    <w:p>
      <w:pPr>
        <w:spacing w:after="0" w:line="163" w:lineRule="exact"/>
        <w:rPr>
          <w:rFonts w:ascii="Times New Roman" w:cs="Times New Roman" w:eastAsia="Times New Roman" w:hAnsi="Times New Roman"/>
          <w:sz w:val="18"/>
          <w:szCs w:val="18"/>
          <w:color w:val="auto"/>
        </w:rPr>
      </w:pPr>
    </w:p>
    <w:p>
      <w:pPr>
        <w:ind w:left="660" w:firstLine="644"/>
        <w:spacing w:after="0" w:line="216" w:lineRule="auto"/>
        <w:tabs>
          <w:tab w:leader="none" w:pos="152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such Regulated Fund or Affiliated Fund</w:t>
      </w:r>
      <w:r>
        <w:rPr>
          <w:rFonts w:ascii="Times New Roman" w:cs="Times New Roman" w:eastAsia="Times New Roman" w:hAnsi="Times New Roman"/>
          <w:sz w:val="29"/>
          <w:szCs w:val="29"/>
          <w:color w:val="auto"/>
          <w:vertAlign w:val="superscript"/>
        </w:rPr>
        <w:t>25</w:t>
      </w:r>
      <w:r>
        <w:rPr>
          <w:rFonts w:ascii="Times New Roman" w:cs="Times New Roman" w:eastAsia="Times New Roman" w:hAnsi="Times New Roman"/>
          <w:sz w:val="18"/>
          <w:szCs w:val="18"/>
          <w:color w:val="auto"/>
        </w:rPr>
        <w:t xml:space="preserve"> will notify each Regulated Fund that holds an investment in the issuer of the proposed Disposition at the earliest practical time; and</w:t>
      </w:r>
    </w:p>
    <w:p>
      <w:pPr>
        <w:spacing w:after="0" w:line="198"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participation by such Regulated Fund in the Disposition.</w:t>
      </w:r>
    </w:p>
    <w:p>
      <w:pPr>
        <w:spacing w:after="0" w:line="159"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 and Conditions</w:t>
      </w:r>
      <w:r>
        <w:rPr>
          <w:rFonts w:ascii="Times New Roman" w:cs="Times New Roman" w:eastAsia="Times New Roman" w:hAnsi="Times New Roman"/>
          <w:sz w:val="18"/>
          <w:szCs w:val="18"/>
          <w:color w:val="auto"/>
        </w:rPr>
        <w:t>. Each Regulated Fund will have the right to participate in such Disposition on a proportionate basis, at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on the same terms and conditions as those applicable to the Affiliated Funds and any other Regulated Fund.</w:t>
      </w:r>
    </w:p>
    <w:p>
      <w:pPr>
        <w:spacing w:after="0" w:line="15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Board Approval Required</w:t>
      </w:r>
      <w:r>
        <w:rPr>
          <w:rFonts w:ascii="Times New Roman" w:cs="Times New Roman" w:eastAsia="Times New Roman" w:hAnsi="Times New Roman"/>
          <w:sz w:val="18"/>
          <w:szCs w:val="18"/>
          <w:color w:val="auto"/>
        </w:rPr>
        <w:t>. A Regulated Fund may participate in such a Disposition without obtaining prior approval of the Required</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if:</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participation of each Regulated Fund and Affiliated Fund in such Disposition is proportionate to its then-current holding of the</w:t>
      </w:r>
    </w:p>
    <w:p>
      <w:pPr>
        <w:spacing w:after="0" w:line="27"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18"/>
          <w:szCs w:val="18"/>
          <w:color w:val="auto"/>
        </w:rPr>
        <w:t>security (or securities) of the issuer that is (or are) the subject of the Disposition;</w:t>
      </w:r>
      <w:r>
        <w:rPr>
          <w:rFonts w:ascii="Times New Roman" w:cs="Times New Roman" w:eastAsia="Times New Roman" w:hAnsi="Times New Roman"/>
          <w:sz w:val="29"/>
          <w:szCs w:val="29"/>
          <w:color w:val="auto"/>
          <w:vertAlign w:val="superscript"/>
        </w:rPr>
        <w:t>26</w:t>
      </w:r>
      <w:r>
        <w:rPr>
          <w:rFonts w:ascii="Times New Roman" w:cs="Times New Roman" w:eastAsia="Times New Roman" w:hAnsi="Times New Roman"/>
          <w:sz w:val="18"/>
          <w:szCs w:val="18"/>
          <w:color w:val="auto"/>
        </w:rPr>
        <w:t xml:space="preserve"> (B) the Board of the Regulated Fund has approved as being in the best interests of the Regulated Fund the ability to participate in such Dispositions on a pro rata basis (as described in greater detail in the Application); and (C) the Board of the Regulated Fund is provided on a quarterly basis with a list of all Dispositions made in accordance with this Condition; or</w:t>
      </w:r>
    </w:p>
    <w:p>
      <w:pPr>
        <w:spacing w:after="0" w:line="199" w:lineRule="exact"/>
        <w:rPr>
          <w:sz w:val="20"/>
          <w:szCs w:val="20"/>
          <w:color w:val="auto"/>
        </w:rPr>
      </w:pPr>
    </w:p>
    <w:p>
      <w:pPr>
        <w:jc w:val="both"/>
        <w:ind w:left="660" w:firstLine="644"/>
        <w:spacing w:after="0" w:line="266" w:lineRule="auto"/>
        <w:tabs>
          <w:tab w:leader="none" w:pos="15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is a Tradable Security and (A) the Disposition is not to the issuer or any affiliated person of the issuer; and (B) the security is sold for cash in a transaction in which the only term negotiated by or on behalf of the participating Regulated Funds and Affiliated Funds is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exception applies only to Follow-On Investments by a Regulated Fund in issuers in which that Regulated Fund already holds investments.</w:t>
      </w:r>
    </w:p>
    <w:p>
      <w:pPr>
        <w:spacing w:after="0" w:line="1" w:lineRule="exact"/>
        <w:rPr>
          <w:rFonts w:ascii="Times New Roman" w:cs="Times New Roman" w:eastAsia="Times New Roman" w:hAnsi="Times New Roman"/>
          <w:sz w:val="30"/>
          <w:szCs w:val="30"/>
          <w:color w:val="auto"/>
          <w:vertAlign w:val="superscript"/>
        </w:rPr>
      </w:pPr>
    </w:p>
    <w:p>
      <w:pPr>
        <w:ind w:left="340" w:right="20" w:hanging="332"/>
        <w:spacing w:after="0" w:line="187" w:lineRule="auto"/>
        <w:tabs>
          <w:tab w:leader="none" w:pos="3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Any Chicago Atlantic Proprietary Account that is not advised by an Adviser is itself deemed to be an Adviser for purposes of Conditions 6(a)(i), 7(a) (i), 8(a)(i) and 9(a)(i).</w:t>
      </w:r>
    </w:p>
    <w:p>
      <w:pPr>
        <w:ind w:left="340" w:hanging="332"/>
        <w:spacing w:after="0" w:line="187" w:lineRule="auto"/>
        <w:tabs>
          <w:tab w:leader="none" w:pos="3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any Disposition, proportionality will be measured by each participating Regulated Fund’s and Affiliated Fund’s outstanding investment in the security in question immediately preceding the Disposition.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56"/>
        <w:spacing w:after="0" w:line="267" w:lineRule="auto"/>
        <w:tabs>
          <w:tab w:leader="none" w:pos="90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Standard Board Approval</w:t>
      </w:r>
      <w:r>
        <w:rPr>
          <w:rFonts w:ascii="Times New Roman" w:cs="Times New Roman" w:eastAsia="Times New Roman" w:hAnsi="Times New Roman"/>
          <w:sz w:val="18"/>
          <w:szCs w:val="18"/>
          <w:color w:val="auto"/>
        </w:rPr>
        <w:t>. In all other cases, the Adviser will provide its written recommendation as to the Regulated Fund’s participation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Eligible Directors and the Regulated Fund will participate in such Disposition solely to the extent that a Required Majority determines that it is in the Regulated Fund’s best interests.</w:t>
      </w:r>
    </w:p>
    <w:p>
      <w:pPr>
        <w:spacing w:after="0" w:line="17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Dispositions</w:t>
      </w:r>
      <w:r>
        <w:rPr>
          <w:rFonts w:ascii="Times New Roman" w:cs="Times New Roman" w:eastAsia="Times New Roman" w:hAnsi="Times New Roman"/>
          <w:sz w:val="18"/>
          <w:szCs w:val="18"/>
          <w:i w:val="1"/>
          <w:iCs w:val="1"/>
          <w:u w:val="single" w:color="auto"/>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7" w:lineRule="auto"/>
        <w:tabs>
          <w:tab w:leader="none" w:pos="89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elects to sell, exchange or otherwise dispose of a Pre-Boarding Investment in a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Co-Investment Transaction and the Regulated Funds and Affiliated Funds have not previously participated in a Co-Investment Transaction with respect to the issuer: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34"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such Regulated Fund or Affiliated Fund will notify each Regulated Fund that holds an investment in the issuer of the proposed Disposition at the earliest practical time;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participation by such Regulated Fund in the Disposition;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3"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3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Board Approval</w:t>
      </w:r>
      <w:r>
        <w:rPr>
          <w:rFonts w:ascii="Times New Roman" w:cs="Times New Roman" w:eastAsia="Times New Roman" w:hAnsi="Times New Roman"/>
          <w:sz w:val="18"/>
          <w:szCs w:val="18"/>
          <w:color w:val="auto"/>
        </w:rPr>
        <w:t>. The Adviser will provide its written recommendation as to the Regulated Fund’s participation to the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the Regulated Fund will participate in such Disposition solely to the extent that a Required Majority determines that:</w:t>
      </w:r>
    </w:p>
    <w:p>
      <w:pPr>
        <w:spacing w:after="0" w:line="160"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complies with Condition 2(c)(i), (ii), (iii)(A), and (iv);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and holding of the Pre-Boarding Investments were not prohibited by Section 57 or Rule 17d-1, as applicable, and records the basis for the finding in the Board minutes.</w:t>
      </w:r>
    </w:p>
    <w:p>
      <w:pPr>
        <w:spacing w:after="0" w:line="15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Requirements: </w:t>
      </w:r>
      <w:r>
        <w:rPr>
          <w:rFonts w:ascii="Times New Roman" w:cs="Times New Roman" w:eastAsia="Times New Roman" w:hAnsi="Times New Roman"/>
          <w:sz w:val="18"/>
          <w:szCs w:val="18"/>
          <w:color w:val="auto"/>
        </w:rPr>
        <w:t>The Disposition may only be completed in reliance on the Order if:</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4" w:lineRule="auto"/>
        <w:tabs>
          <w:tab w:leader="none" w:pos="1523"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 and Conditions</w:t>
      </w:r>
      <w:r>
        <w:rPr>
          <w:rFonts w:ascii="Times New Roman" w:cs="Times New Roman" w:eastAsia="Times New Roman" w:hAnsi="Times New Roman"/>
          <w:sz w:val="18"/>
          <w:szCs w:val="18"/>
          <w:color w:val="auto"/>
        </w:rPr>
        <w:t>. Each Regulated Fund has the right to participate in such Disposition on a proportionate basis, at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on the same terms and Conditions as those applicable to the Affiliated Funds and any other Regulated Fund;</w:t>
      </w:r>
    </w:p>
    <w:p>
      <w:pPr>
        <w:spacing w:after="0" w:line="15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Investments</w:t>
      </w:r>
      <w:r>
        <w:rPr>
          <w:rFonts w:ascii="Times New Roman" w:cs="Times New Roman" w:eastAsia="Times New Roman" w:hAnsi="Times New Roman"/>
          <w:sz w:val="18"/>
          <w:szCs w:val="18"/>
          <w:color w:val="auto"/>
        </w:rPr>
        <w:t>. All of the Affiliated Funds’ and Regulated Funds’ investments in the issuer are Pre-Boarding Investments;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4" w:lineRule="auto"/>
        <w:tabs>
          <w:tab w:leader="none" w:pos="1636"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Advice of counsel</w:t>
      </w:r>
      <w:r>
        <w:rPr>
          <w:rFonts w:ascii="Times New Roman" w:cs="Times New Roman" w:eastAsia="Times New Roman" w:hAnsi="Times New Roman"/>
          <w:sz w:val="18"/>
          <w:szCs w:val="18"/>
          <w:color w:val="auto"/>
        </w:rPr>
        <w:t>. Independent counsel to the Board advises that the making and holding of the investments in the Pre-Boarding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were not prohibited by Section 57 (as modified by Rule 57b-1) or Rule 17d-1, as applicable;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53"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Multiple Classes of Securities. </w:t>
      </w:r>
      <w:r>
        <w:rPr>
          <w:rFonts w:ascii="Times New Roman" w:cs="Times New Roman" w:eastAsia="Times New Roman" w:hAnsi="Times New Roman"/>
          <w:sz w:val="18"/>
          <w:szCs w:val="18"/>
          <w:color w:val="auto"/>
        </w:rPr>
        <w:t>All Regulated Funds and Affiliated Funds that hold Pre-Boarding Investments in the issuer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w:t>
      </w:r>
    </w:p>
    <w:p>
      <w:pPr>
        <w:spacing w:after="0" w:line="1"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8"/>
          <w:szCs w:val="18"/>
          <w:color w:val="auto"/>
        </w:rPr>
        <w:t>maturity date) is immaterial</w:t>
      </w:r>
      <w:r>
        <w:rPr>
          <w:rFonts w:ascii="Times New Roman" w:cs="Times New Roman" w:eastAsia="Times New Roman" w:hAnsi="Times New Roman"/>
          <w:sz w:val="29"/>
          <w:szCs w:val="29"/>
          <w:color w:val="auto"/>
          <w:vertAlign w:val="superscript"/>
        </w:rPr>
        <w:t>27</w:t>
      </w:r>
      <w:r>
        <w:rPr>
          <w:rFonts w:ascii="Times New Roman" w:cs="Times New Roman" w:eastAsia="Times New Roman" w:hAnsi="Times New Roman"/>
          <w:sz w:val="18"/>
          <w:szCs w:val="18"/>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10" w:lineRule="auto"/>
        <w:tabs>
          <w:tab w:leader="none" w:pos="340" w:val="left"/>
        </w:tabs>
        <w:numPr>
          <w:ilvl w:val="0"/>
          <w:numId w:val="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ind w:left="660" w:firstLine="644"/>
        <w:spacing w:after="0" w:line="284" w:lineRule="auto"/>
        <w:tabs>
          <w:tab w:leader="none" w:pos="1563"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control</w:t>
      </w:r>
      <w:r>
        <w:rPr>
          <w:rFonts w:ascii="Times New Roman" w:cs="Times New Roman" w:eastAsia="Times New Roman" w:hAnsi="Times New Roman"/>
          <w:sz w:val="18"/>
          <w:szCs w:val="18"/>
          <w:color w:val="auto"/>
        </w:rPr>
        <w:t>. The Affiliated Funds, the other Regulated Funds and their affiliated persons (within the meaning of Section 2(a)(3)(C)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 individually or in the aggregate, do not control the issuer of the securities (within the meaning of Section 2(a)(9) of the Act).</w:t>
      </w:r>
    </w:p>
    <w:p>
      <w:pPr>
        <w:spacing w:after="0" w:line="30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Follow-Ons.</w:t>
      </w:r>
    </w:p>
    <w:p>
      <w:pPr>
        <w:spacing w:after="0" w:line="223" w:lineRule="exact"/>
        <w:rPr>
          <w:rFonts w:ascii="Times New Roman" w:cs="Times New Roman" w:eastAsia="Times New Roman" w:hAnsi="Times New Roman"/>
          <w:sz w:val="18"/>
          <w:szCs w:val="18"/>
          <w:color w:val="auto"/>
        </w:rPr>
      </w:pPr>
    </w:p>
    <w:p>
      <w:pPr>
        <w:ind w:right="20" w:firstLine="656"/>
        <w:spacing w:after="0" w:line="284" w:lineRule="auto"/>
        <w:tabs>
          <w:tab w:leader="none" w:pos="91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desires to make a Follow-On Investment in an issuer and the Regulated Funds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Affiliated Funds holding investments in the issuer previously participated in a Co-Investment Transaction with respect to the issuer:</w:t>
      </w:r>
    </w:p>
    <w:p>
      <w:pPr>
        <w:spacing w:after="0" w:line="160" w:lineRule="exact"/>
        <w:rPr>
          <w:rFonts w:ascii="Times New Roman" w:cs="Times New Roman" w:eastAsia="Times New Roman" w:hAnsi="Times New Roman"/>
          <w:sz w:val="18"/>
          <w:szCs w:val="18"/>
          <w:color w:val="auto"/>
        </w:rPr>
      </w:pPr>
    </w:p>
    <w:p>
      <w:pPr>
        <w:ind w:left="660" w:firstLine="644"/>
        <w:spacing w:after="0" w:line="282" w:lineRule="auto"/>
        <w:tabs>
          <w:tab w:leader="none" w:pos="1544"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such Regulated Fund or Affiliated Fund will notify each Regulated Fund that holds securities of the portfolio company of the proposed transaction at the earliest practical time; and</w:t>
      </w:r>
    </w:p>
    <w:p>
      <w:pPr>
        <w:spacing w:after="0" w:line="162" w:lineRule="exact"/>
        <w:rPr>
          <w:sz w:val="20"/>
          <w:szCs w:val="20"/>
          <w:color w:val="auto"/>
        </w:rPr>
      </w:pPr>
    </w:p>
    <w:p>
      <w:pPr>
        <w:ind w:left="660" w:firstLine="644"/>
        <w:spacing w:after="0" w:line="282" w:lineRule="auto"/>
        <w:tabs>
          <w:tab w:leader="none" w:pos="16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the proposed participation, including the amount of the proposed investment, by such Regulated Fund.</w:t>
      </w:r>
    </w:p>
    <w:p>
      <w:pPr>
        <w:spacing w:after="0" w:line="159" w:lineRule="exact"/>
        <w:rPr>
          <w:rFonts w:ascii="Times New Roman" w:cs="Times New Roman" w:eastAsia="Times New Roman" w:hAnsi="Times New Roman"/>
          <w:sz w:val="18"/>
          <w:szCs w:val="18"/>
          <w:color w:val="auto"/>
        </w:rPr>
      </w:pPr>
    </w:p>
    <w:p>
      <w:pPr>
        <w:ind w:firstLine="656"/>
        <w:spacing w:after="0" w:line="284" w:lineRule="auto"/>
        <w:tabs>
          <w:tab w:leader="none" w:pos="93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Board Approval Required</w:t>
      </w:r>
      <w:r>
        <w:rPr>
          <w:rFonts w:ascii="Times New Roman" w:cs="Times New Roman" w:eastAsia="Times New Roman" w:hAnsi="Times New Roman"/>
          <w:sz w:val="18"/>
          <w:szCs w:val="18"/>
          <w:color w:val="auto"/>
        </w:rPr>
        <w:t>. A Regulated Fund may participate in the Follow-On Investment without obtaining prior approval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Majority if:</w:t>
      </w:r>
    </w:p>
    <w:p>
      <w:pPr>
        <w:spacing w:after="0" w:line="160"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proposed participation of each Regulated Fund and each Affiliated Fund in such investment is proportionate to its outstanding</w:t>
      </w:r>
    </w:p>
    <w:p>
      <w:pPr>
        <w:spacing w:after="0" w:line="27"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8"/>
          <w:szCs w:val="18"/>
          <w:color w:val="auto"/>
        </w:rPr>
        <w:t>investments in the issuer or the security at issue, as appropriate,</w:t>
      </w:r>
      <w:r>
        <w:rPr>
          <w:rFonts w:ascii="Times New Roman" w:cs="Times New Roman" w:eastAsia="Times New Roman" w:hAnsi="Times New Roman"/>
          <w:sz w:val="29"/>
          <w:szCs w:val="29"/>
          <w:color w:val="auto"/>
          <w:vertAlign w:val="superscript"/>
        </w:rPr>
        <w:t>28</w:t>
      </w:r>
      <w:r>
        <w:rPr>
          <w:rFonts w:ascii="Times New Roman" w:cs="Times New Roman" w:eastAsia="Times New Roman" w:hAnsi="Times New Roman"/>
          <w:sz w:val="18"/>
          <w:szCs w:val="18"/>
          <w:color w:val="auto"/>
        </w:rPr>
        <w:t xml:space="preserve"> immediately preceding the Follow-On Investment; and (B) the Board of the Regulated Fund has approved as being in the best interests of the Regulated Fund the ability to participate in Follow-On Investments on a pro rata basis (as described in greater detail in this Application); or</w:t>
      </w:r>
    </w:p>
    <w:p>
      <w:pPr>
        <w:spacing w:after="0" w:line="198" w:lineRule="exact"/>
        <w:rPr>
          <w:sz w:val="20"/>
          <w:szCs w:val="20"/>
          <w:color w:val="auto"/>
        </w:rPr>
      </w:pPr>
    </w:p>
    <w:p>
      <w:pPr>
        <w:ind w:left="1560" w:hanging="256"/>
        <w:spacing w:after="0"/>
        <w:tabs>
          <w:tab w:leader="none" w:pos="15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Non-Negotiated Follow-On Investment.</w:t>
      </w:r>
    </w:p>
    <w:p>
      <w:pPr>
        <w:spacing w:after="0" w:line="223"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Standard Board Approval</w:t>
      </w:r>
      <w:r>
        <w:rPr>
          <w:rFonts w:ascii="Times New Roman" w:cs="Times New Roman" w:eastAsia="Times New Roman" w:hAnsi="Times New Roman"/>
          <w:sz w:val="18"/>
          <w:szCs w:val="18"/>
          <w:color w:val="auto"/>
        </w:rPr>
        <w:t>. In all other cases, the Adviser will provide its written recommendation as to the Regulated Fund’s participation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 Eligible Directors must complete this review of the proposed Follow-On Investment both on a stand-alone basis and together with the Pre-Boarding Investments in relation to the total economic exposure and other terms of the investment.</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w:t>
      </w:r>
      <w:r>
        <w:rPr>
          <w:rFonts w:ascii="Times New Roman" w:cs="Times New Roman" w:eastAsia="Times New Roman" w:hAnsi="Times New Roman"/>
          <w:sz w:val="18"/>
          <w:szCs w:val="18"/>
          <w:color w:val="auto"/>
        </w:rPr>
        <w:t>. If, with respect to any such Follow-On Investment:</w:t>
      </w:r>
    </w:p>
    <w:p>
      <w:pPr>
        <w:spacing w:after="0" w:line="227" w:lineRule="exact"/>
        <w:rPr>
          <w:rFonts w:ascii="Times New Roman" w:cs="Times New Roman" w:eastAsia="Times New Roman" w:hAnsi="Times New Roman"/>
          <w:sz w:val="18"/>
          <w:szCs w:val="18"/>
          <w:color w:val="auto"/>
        </w:rPr>
      </w:pPr>
    </w:p>
    <w:p>
      <w:pPr>
        <w:ind w:left="340" w:firstLine="640"/>
        <w:spacing w:after="0" w:line="282" w:lineRule="auto"/>
        <w:tabs>
          <w:tab w:leader="none" w:pos="123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161"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25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pro rata based on the size of the Internal Orders, as described in section III.A.1.b.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jc w:val="both"/>
        <w:ind w:left="340" w:hanging="332"/>
        <w:spacing w:after="0" w:line="228" w:lineRule="auto"/>
        <w:tabs>
          <w:tab w:leader="none" w:pos="340" w:val="left"/>
        </w:tabs>
        <w:numPr>
          <w:ilvl w:val="0"/>
          <w:numId w:val="7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the extent that a Follow-On Investment opportunity is in a security or arises in respect of a security held by the participating Regulated Funds and Affiliated Funds, proportionality will be measured by each participating Regulated Fund’s and Affiliated Fund’s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or Affiliated Funds, proportionality will be measured by each participating Regulated Fund’s and Affiliated Fund’s outstanding investment in the issuer immediately preceding the Follow-On Investment using the most recent available valuation thereof.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ind w:firstLine="656"/>
        <w:spacing w:after="0" w:line="284" w:lineRule="auto"/>
        <w:tabs>
          <w:tab w:leader="none" w:pos="89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Conditions</w:t>
      </w:r>
      <w:r>
        <w:rPr>
          <w:rFonts w:ascii="Times New Roman" w:cs="Times New Roman" w:eastAsia="Times New Roman" w:hAnsi="Times New Roman"/>
          <w:sz w:val="18"/>
          <w:szCs w:val="18"/>
          <w:color w:val="auto"/>
        </w:rPr>
        <w:t>. The acquisition of Follow-On Investments as permitted by this Condition will be considered a Co-Investment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 and subject to the other Conditions set forth in this application.</w:t>
      </w:r>
    </w:p>
    <w:p>
      <w:pPr>
        <w:spacing w:after="0" w:line="30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Follow-Ons.</w:t>
      </w:r>
    </w:p>
    <w:p>
      <w:pPr>
        <w:spacing w:after="0" w:line="223" w:lineRule="exact"/>
        <w:rPr>
          <w:rFonts w:ascii="Times New Roman" w:cs="Times New Roman" w:eastAsia="Times New Roman" w:hAnsi="Times New Roman"/>
          <w:sz w:val="18"/>
          <w:szCs w:val="18"/>
          <w:color w:val="auto"/>
        </w:rPr>
      </w:pPr>
    </w:p>
    <w:p>
      <w:pPr>
        <w:jc w:val="both"/>
        <w:ind w:firstLine="656"/>
        <w:spacing w:after="0" w:line="267" w:lineRule="auto"/>
        <w:tabs>
          <w:tab w:leader="none" w:pos="90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desires to make a Follow-On Investment in an issuer that is a Potential Co-Investment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and the Regulated Funds and Affiliated Funds holding investments in the issuer have not previously participated in a Co-Investment Transaction with respect to the issuer: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4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such Regulated Fund or Affiliated Fund will notify each Regulated Fund that holds securities of the portfolio company of the proposed transaction at the earliest practical time;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0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the proposed participation, including the amount of the proposed investment, by such Regulated Fund;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3"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93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Board Approval</w:t>
      </w:r>
      <w:r>
        <w:rPr>
          <w:rFonts w:ascii="Times New Roman" w:cs="Times New Roman" w:eastAsia="Times New Roman" w:hAnsi="Times New Roman"/>
          <w:sz w:val="18"/>
          <w:szCs w:val="18"/>
          <w:color w:val="auto"/>
        </w:rPr>
        <w:t>. The Adviser will provide its written recommendation as to the Regulated Fund’s participation to the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the Regulated Fund will participate in such Follow-On Investment solely to the extent that a Required Majority reviews the proposed Follow-On Investment both on a stand-alone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its minutes.</w:t>
      </w:r>
    </w:p>
    <w:p>
      <w:pPr>
        <w:spacing w:after="0" w:line="18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Requirements</w:t>
      </w:r>
      <w:r>
        <w:rPr>
          <w:rFonts w:ascii="Times New Roman" w:cs="Times New Roman" w:eastAsia="Times New Roman" w:hAnsi="Times New Roman"/>
          <w:sz w:val="18"/>
          <w:szCs w:val="18"/>
          <w:color w:val="auto"/>
        </w:rPr>
        <w:t>. The Follow-On Investment may only be completed in reliance on the Order if:</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Investments</w:t>
      </w:r>
      <w:r>
        <w:rPr>
          <w:rFonts w:ascii="Times New Roman" w:cs="Times New Roman" w:eastAsia="Times New Roman" w:hAnsi="Times New Roman"/>
          <w:sz w:val="18"/>
          <w:szCs w:val="18"/>
          <w:color w:val="auto"/>
        </w:rPr>
        <w:t>. All of the Affiliated Funds’ and Regulated Funds’ investments in the issuer are Pre-Boarding Investments;</w:t>
      </w:r>
    </w:p>
    <w:p>
      <w:pPr>
        <w:spacing w:after="0" w:line="225" w:lineRule="exact"/>
        <w:rPr>
          <w:rFonts w:ascii="Times New Roman" w:cs="Times New Roman" w:eastAsia="Times New Roman" w:hAnsi="Times New Roman"/>
          <w:sz w:val="18"/>
          <w:szCs w:val="18"/>
          <w:color w:val="auto"/>
        </w:rPr>
      </w:pPr>
    </w:p>
    <w:p>
      <w:pPr>
        <w:ind w:left="660" w:firstLine="644"/>
        <w:spacing w:after="0" w:line="284" w:lineRule="auto"/>
        <w:tabs>
          <w:tab w:leader="none" w:pos="1586"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Advice of counsel</w:t>
      </w:r>
      <w:r>
        <w:rPr>
          <w:rFonts w:ascii="Times New Roman" w:cs="Times New Roman" w:eastAsia="Times New Roman" w:hAnsi="Times New Roman"/>
          <w:sz w:val="18"/>
          <w:szCs w:val="18"/>
          <w:color w:val="auto"/>
        </w:rPr>
        <w:t>. Independent counsel to the Board advises that the making and holding of the investments in the Pre-Boarding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were not prohibited by Section 57 (as modified by Rule 57b-1) or Rule 17d-1, as applicable;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63"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Multiple Classes of Securities</w:t>
      </w:r>
      <w:r>
        <w:rPr>
          <w:rFonts w:ascii="Times New Roman" w:cs="Times New Roman" w:eastAsia="Times New Roman" w:hAnsi="Times New Roman"/>
          <w:sz w:val="18"/>
          <w:szCs w:val="18"/>
          <w:color w:val="auto"/>
        </w:rPr>
        <w:t>. All Regulated Funds and Affiliated Funds that hold Pre-Boarding Investments in the issuer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184" w:lineRule="exact"/>
        <w:rPr>
          <w:rFonts w:ascii="Times New Roman" w:cs="Times New Roman" w:eastAsia="Times New Roman" w:hAnsi="Times New Roman"/>
          <w:sz w:val="18"/>
          <w:szCs w:val="18"/>
          <w:color w:val="auto"/>
        </w:rPr>
      </w:pPr>
    </w:p>
    <w:p>
      <w:pPr>
        <w:ind w:left="660" w:right="20" w:firstLine="644"/>
        <w:spacing w:after="0" w:line="284" w:lineRule="auto"/>
        <w:tabs>
          <w:tab w:leader="none" w:pos="1613"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control</w:t>
      </w:r>
      <w:r>
        <w:rPr>
          <w:rFonts w:ascii="Times New Roman" w:cs="Times New Roman" w:eastAsia="Times New Roman" w:hAnsi="Times New Roman"/>
          <w:sz w:val="18"/>
          <w:szCs w:val="18"/>
          <w:color w:val="auto"/>
        </w:rPr>
        <w:t>. The Affiliated Funds, the other Regulated Funds and their affiliated persons (within the meaning of Section 2(a)(3)(C)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 individually or in the aggregate, do not control the issuer of the securities (within the meaning of Section 2(a)(9) of the Act).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ind w:left="920" w:hanging="264"/>
        <w:spacing w:after="0"/>
        <w:tabs>
          <w:tab w:leader="none" w:pos="9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w:t>
      </w:r>
      <w:r>
        <w:rPr>
          <w:rFonts w:ascii="Times New Roman" w:cs="Times New Roman" w:eastAsia="Times New Roman" w:hAnsi="Times New Roman"/>
          <w:sz w:val="18"/>
          <w:szCs w:val="18"/>
          <w:color w:val="auto"/>
        </w:rPr>
        <w:t>. If, with respect to any such Follow-On Investment:</w:t>
      </w:r>
    </w:p>
    <w:p>
      <w:pPr>
        <w:spacing w:after="0" w:line="22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3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3"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pro rata based on the size of the Internal Orders, as described in section III.A.1.b. above.</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89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Conditions</w:t>
      </w:r>
      <w:r>
        <w:rPr>
          <w:rFonts w:ascii="Times New Roman" w:cs="Times New Roman" w:eastAsia="Times New Roman" w:hAnsi="Times New Roman"/>
          <w:sz w:val="18"/>
          <w:szCs w:val="18"/>
          <w:color w:val="auto"/>
        </w:rPr>
        <w:t>. The acquisition of Follow-On Investments as permitted by this Condition will be considered a Co-Investment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 and subject to the other Conditions set forth in this application.</w:t>
      </w:r>
    </w:p>
    <w:p>
      <w:pPr>
        <w:spacing w:after="0" w:line="30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Reporting, Compliance and Annual Re-Approval</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89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Adviser to a Regulated Fund will present to the Board of each Regulated Fund, on a quarterly basis, and at such other times as the Board may request, (i) a record of all investments in Potential Co-Investment Transactions made by any of the other Regulated Funds or any of the Affiliated Funds during the preceding quarter that fell within the Regulated Fund’s then-current Objectives and Strategies and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other Regulated Fund during the prior quarter; and (iii) all information concerning Potential Co-Investment Transactions and Co-Investment Transactions, including investments made by other Regulated Funds or Affiliated Funds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0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presented to the Regulated Fund’s Board pursuant to this Condition will be kept for the life of the Regulated Fund and at least two years thereafter, and will be subject to examination by the Commission and its staff.</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 In the case of a BDC Downstream Fund that does not have a chief compliance officer, the chief compliance officer of the BDC that controls the BDC Downstream Fund will prepare the report for the relevant Independent Party.</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(including the non-interested members of each Independent Party) will consider at least annually whether continued participation in new and existing Co-Investment Transactions is in the Regulated Fund’s best interests.</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Keeping.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Regulated Fund will maintain the records required by Section 57(f)(3) of the Act as if each of the Regulated Funds were a BDC and each of the investments permitted under these Conditions were approved by the Required Majority under Section 57(f).</w:t>
      </w:r>
    </w:p>
    <w:p>
      <w:pPr>
        <w:spacing w:after="0" w:line="162" w:lineRule="exact"/>
        <w:rPr>
          <w:sz w:val="20"/>
          <w:szCs w:val="20"/>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Independence.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Independent Director (including the non-interested members of any Independent Party) of a Regulated Fund will also be a director, general partner, managing member or principal, or otherwise be an “affiliated person” (as defined in the Act) of any Affiliated Fund.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in proportion to the relative amounts of the securities held or being acquired or disposed of, as the case may be.</w:t>
      </w:r>
    </w:p>
    <w:p>
      <w:pPr>
        <w:spacing w:after="0" w:line="163" w:lineRule="exact"/>
        <w:rPr>
          <w:sz w:val="20"/>
          <w:szCs w:val="20"/>
          <w:color w:val="auto"/>
        </w:rPr>
      </w:pPr>
    </w:p>
    <w:p>
      <w:pPr>
        <w:ind w:left="460" w:hanging="452"/>
        <w:spacing w:after="0"/>
        <w:tabs>
          <w:tab w:leader="none" w:pos="460" w:val="left"/>
        </w:tabs>
        <w:numPr>
          <w:ilvl w:val="0"/>
          <w:numId w:val="8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29</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transaction fee (including break-up, structuring, monitoring or commitment fees but excluding brokerage or underwriting compensation permitted by Section 17(e) or 57(k)) received in connection with any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participants. None of the Advisers, the Affiliated Funds, the other Regulated Funds or any affiliated person of the Affiliated Funds or the Regulated Funds will receive any additional compensation or remuneration of any kind as a result of or in connection with a Co-Investment Transaction other than (i) in the case of the Regulated Funds and the Affiliated Funds, the pro rata transaction fees described above and fees or other compensation described in Condition 2(c)(iii)(B) (z), (ii) brokerage or underwriting compensation permitted by Section 17(e) or 57(k) or (iii) in the case of the Advisers, investment advisory compensation paid in accordance with investment advisory agreements between the applicable Regulated Fund(s) or Affiliated Fund(s) and its Adviser.</w:t>
      </w:r>
    </w:p>
    <w:p>
      <w:pPr>
        <w:spacing w:after="0" w:line="192" w:lineRule="exact"/>
        <w:rPr>
          <w:sz w:val="20"/>
          <w:szCs w:val="20"/>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Holders own in the aggregate more than 25 percent of the Shares of a Regulated Fund, then the Holders will vote such Shares in the same percentages as the Regulated Fund’s other shareholders (not including the Holders) when voting on (1) the election of directors; (2) the removal of one or more directors; or (3) any other matter under either the Act or applicable State law affecting the Board’s composition, size or manner of election.</w:t>
      </w:r>
    </w:p>
    <w:p>
      <w:pPr>
        <w:spacing w:after="0" w:line="1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PROCEDURAL MATTERS</w:t>
      </w:r>
    </w:p>
    <w:p>
      <w:pPr>
        <w:spacing w:after="0" w:line="229" w:lineRule="exact"/>
        <w:rPr>
          <w:sz w:val="20"/>
          <w:szCs w:val="20"/>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and the Notice and Order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 Andreas Bodmeier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Chicago Atlantic Group,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420 North Wabash Avenue, Suite 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Chicago, IL 60611</w:t>
      </w:r>
    </w:p>
    <w:p>
      <w:pPr>
        <w:spacing w:after="0" w:line="9" w:lineRule="exact"/>
        <w:rPr>
          <w:sz w:val="20"/>
          <w:szCs w:val="20"/>
          <w:color w:val="auto"/>
        </w:rPr>
      </w:pPr>
    </w:p>
    <w:p>
      <w:pPr>
        <w:ind w:left="5500" w:hanging="438"/>
        <w:spacing w:after="0"/>
        <w:tabs>
          <w:tab w:leader="none" w:pos="5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809-7002</w:t>
      </w:r>
    </w:p>
    <w:p>
      <w:pPr>
        <w:spacing w:after="0" w:line="9"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abodmeier@chicagoatlantic.com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Order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 J. Pinkerton, Esq.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Eversheds Sutherland (US)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700 Sixth Street,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(202) 383-0262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owenpinkerton@eversheds-sutherland.com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Applicants desire that the Commission issue an Order pursuant to Rule 0-5 without conducting a hearing.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0-2, each person executing the Application on behalf of an Applicant says that he or she has duly executed the Application for and on behalf of such Applicant; that he or she is authorized to execute the Application pursuant to the terms of an operating agreement, management agreement or otherwise; and that all actions by members, directors or other bodies necessary to authorize each person to execute and file the Application have been taken.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verifications required by Rule 0-2(d) and the authorizations required by Rule 0-2(c) are attached hereto as Exhibit A and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line="195" w:lineRule="auto"/>
        <w:tabs>
          <w:tab w:leader="none" w:pos="340" w:val="left"/>
        </w:tabs>
        <w:numPr>
          <w:ilvl w:val="0"/>
          <w:numId w:val="9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p>
    <w:p>
      <w:pPr>
        <w:spacing w:after="0" w:line="22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All requirements for the execution and filing of this Application in the name and on behalf of each Applicant by the undersigned have been complied with and the undersigned is fully authorized to do so and has duly executed this Application as of this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 2022.</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INVESTMENT COMPANY,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Partner of the Managing Member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BDC ADVISERS,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REIT MANAGER,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ADVISERS,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CREDIT ADVISERS,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REAL ESTATE FINANCE,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Co-President and 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CREDIT OPPORTUNITIES,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Partner of the Managing Member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FUND,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Andreas Bodmeier</w:t>
            </w:r>
          </w:p>
        </w:tc>
      </w:tr>
      <w:tr>
        <w:trPr>
          <w:trHeight w:val="198"/>
        </w:trPr>
        <w:tc>
          <w:tcPr>
            <w:tcW w:w="460" w:type="dxa"/>
            <w:vAlign w:val="bottom"/>
          </w:tcPr>
          <w:p>
            <w:pPr>
              <w:spacing w:after="0"/>
              <w:rPr>
                <w:sz w:val="17"/>
                <w:szCs w:val="17"/>
                <w:color w:val="auto"/>
              </w:rPr>
            </w:pP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Andreas Bodmeier</w:t>
            </w:r>
          </w:p>
        </w:tc>
      </w:tr>
      <w:tr>
        <w:trPr>
          <w:trHeight w:val="234"/>
        </w:trPr>
        <w:tc>
          <w:tcPr>
            <w:tcW w:w="4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Title:  Partner of the Managing Member</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ATLANTIC FUND QP, LLC</w:t>
            </w:r>
          </w:p>
        </w:tc>
      </w:tr>
      <w:tr>
        <w:trPr>
          <w:trHeight w:val="43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Andreas Bodmeier</w:t>
            </w:r>
          </w:p>
        </w:tc>
      </w:tr>
      <w:tr>
        <w:trPr>
          <w:trHeight w:val="198"/>
        </w:trPr>
        <w:tc>
          <w:tcPr>
            <w:tcW w:w="460" w:type="dxa"/>
            <w:vAlign w:val="bottom"/>
          </w:tcPr>
          <w:p>
            <w:pPr>
              <w:spacing w:after="0"/>
              <w:rPr>
                <w:sz w:val="17"/>
                <w:szCs w:val="17"/>
                <w:color w:val="auto"/>
              </w:rPr>
            </w:pP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Andreas Bodmeier</w:t>
            </w:r>
          </w:p>
        </w:tc>
      </w:tr>
      <w:tr>
        <w:trPr>
          <w:trHeight w:val="234"/>
        </w:trPr>
        <w:tc>
          <w:tcPr>
            <w:tcW w:w="4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Title:  Partner of the Managing Member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Verification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attached Application dated April 28, 2022 for and on behalf of the Applicants, as the case may be, that he holds the office with each such entity as indicated below, and that all actions by stockholders, officers, directors, and other bodies necessary to authorize the undersigned to execute and file such Application have been taken. The undersigned further states that he is familiar with the instrument and the contents thereof, and that the facts set forth therein are true to the best of his knowledge, information, and belief.</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INVESTMENT COMPANY,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Partner of the Managing Member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BDC ADVISERS,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REIT MANAGER,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ADVISERS,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CREDIT ADVISERS,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REAL ESTATE FINANCE,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Co-President and 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CREDIT OPPORTUNITIES,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Partner of the Managing Member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FUND,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Partner of the Managing Member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CHICAGO ATLANTIC FUND QP,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Andreas Bodmeier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Partner of the Managing Member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Initial Director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INVESTMENT COMPANY, LLC</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Manager has reviewed the Co-Investment Exemptive Application (the “</w:t>
      </w:r>
      <w:r>
        <w:rPr>
          <w:rFonts w:ascii="Times New Roman" w:cs="Times New Roman" w:eastAsia="Times New Roman" w:hAnsi="Times New Roman"/>
          <w:sz w:val="18"/>
          <w:szCs w:val="18"/>
          <w:b w:val="1"/>
          <w:bCs w:val="1"/>
          <w:i w:val="1"/>
          <w:iCs w:val="1"/>
          <w:color w:val="auto"/>
        </w:rPr>
        <w:t>Exemptive Application</w:t>
      </w:r>
      <w:r>
        <w:rPr>
          <w:rFonts w:ascii="Times New Roman" w:cs="Times New Roman" w:eastAsia="Times New Roman" w:hAnsi="Times New Roman"/>
          <w:sz w:val="18"/>
          <w:szCs w:val="18"/>
          <w:color w:val="auto"/>
        </w:rPr>
        <w:t>”) involving Chicago Atlantic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LLC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certain affiliates thereof as specified in the Exemptive Application, a copy of which is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for an order of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pursuant to Section 57(i) of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and Rule 17d-1 promulgated under the 1940 Act, permitting certain joint transactions that otherwise may be prohibited by Section 17(d) and Section 57(a)(4) of the 1940 Act.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Authorized Officers (as defined below), shall be, and each of them individually hereby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authorized, empowered and directed, in the name and on behalf of the Company, to cause to be executed, delivered and filed with the Commission the Exemptive Application, in substantially the form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shall be, and each of them individually hereby is, authorized, empowered and directed,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and on behalf of the Company, to cause to be made, executed, delivered and filed with the Commission any amendments to the Exemptive Application and any additional applications for exemptive relief as are determined necessary, advisable or appropriate by any such officers in order to effectuate the foregoing, such determination to be conclusively evidenced by the taking of any such action;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all acts and things previously done by any of the Authorized Officers, on or prior to the date hereof, in the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behalf of the Company in connection with the foregoing resolutions are in all respects authorized, ratified, approved, confirmed and adopted as the acts and deeds by and on behalf of the Company;</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any officer of the Company be, and each of them hereby is, authorized, empowered and directed to certify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copies of these resolutions to such governmental bodies, agencies, persons, firms or corporations as such officer may deem necessary and to identify by such officer’s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and</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for purposes of the foregoing resolutions, the Authorized Officers of the Company shall be the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the Chief Financial Officer, the President and the Secretary of the Company (collectively, the “</w:t>
      </w:r>
      <w:r>
        <w:rPr>
          <w:rFonts w:ascii="Times New Roman" w:cs="Times New Roman" w:eastAsia="Times New Roman" w:hAnsi="Times New Roman"/>
          <w:sz w:val="18"/>
          <w:szCs w:val="18"/>
          <w:b w:val="1"/>
          <w:bCs w:val="1"/>
          <w:i w:val="1"/>
          <w:iCs w:val="1"/>
          <w:color w:val="auto"/>
        </w:rPr>
        <w:t>Authorized Officers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(Approved by Unanimous Written Consent on April 25,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312"/>
    </w:lvl>
  </w:abstractNum>
  <w:abstractNum w:abstractNumId="1">
    <w:nsid w:val="542289EC"/>
    <w:multiLevelType w:val="hybridMultilevel"/>
    <w:lvl w:ilvl="0">
      <w:lvlJc w:val="left"/>
      <w:lvlText w:val="%1."/>
      <w:numFmt w:val="upperLetter"/>
      <w:start w:val="9"/>
    </w:lvl>
  </w:abstractNum>
  <w:abstractNum w:abstractNumId="2">
    <w:nsid w:val="6DE91B18"/>
    <w:multiLevelType w:val="hybridMultilevel"/>
    <w:lvl w:ilvl="0">
      <w:lvlJc w:val="left"/>
      <w:lvlText w:val="%1."/>
      <w:numFmt w:val="upperLetter"/>
      <w:start w:val="1"/>
    </w:lvl>
  </w:abstractNum>
  <w:abstractNum w:abstractNumId="3">
    <w:nsid w:val="38437FDB"/>
    <w:multiLevelType w:val="hybridMultilevel"/>
    <w:lvl w:ilvl="0">
      <w:lvlJc w:val="left"/>
      <w:lvlText w:val="%1."/>
      <w:numFmt w:val="upperLetter"/>
      <w:start w:val="2"/>
    </w:lvl>
    <w:lvl w:ilvl="1">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bullet"/>
      <w:start w:val="1"/>
    </w:lvl>
  </w:abstractNum>
  <w:abstractNum w:abstractNumId="6">
    <w:nsid w:val="684A481A"/>
    <w:multiLevelType w:val="hybridMultilevel"/>
    <w:lvl w:ilvl="0">
      <w:lvlJc w:val="left"/>
      <w:lvlText w:val="2"/>
      <w:numFmt w:val="bullet"/>
      <w:start w:val="1"/>
    </w:lvl>
  </w:abstractNum>
  <w:abstractNum w:abstractNumId="7">
    <w:nsid w:val="579478FE"/>
    <w:multiLevelType w:val="hybridMultilevel"/>
    <w:lvl w:ilvl="0">
      <w:lvlJc w:val="left"/>
      <w:lvlText w:val="3"/>
      <w:numFmt w:val="bullet"/>
      <w:start w:val="1"/>
    </w:lvl>
  </w:abstractNum>
  <w:abstractNum w:abstractNumId="8">
    <w:nsid w:val="749ABB43"/>
    <w:multiLevelType w:val="hybridMultilevel"/>
    <w:lvl w:ilvl="0">
      <w:lvlJc w:val="left"/>
      <w:lvlText w:val="4"/>
      <w:numFmt w:val="bullet"/>
      <w:start w:val="1"/>
    </w:lvl>
  </w:abstractNum>
  <w:abstractNum w:abstractNumId="9">
    <w:nsid w:val="3DC240FB"/>
    <w:multiLevelType w:val="hybridMultilevel"/>
    <w:lvl w:ilvl="0">
      <w:lvlJc w:val="left"/>
      <w:lvlText w:val="%1"/>
      <w:numFmt w:val="upperLetter"/>
      <w:start w:val="1"/>
    </w:lvl>
    <w:lvl w:ilvl="1">
      <w:lvlJc w:val="left"/>
      <w:lvlText w:val="o"/>
      <w:numFmt w:val="bullet"/>
      <w:start w:val="1"/>
    </w:lvl>
  </w:abstractNum>
  <w:abstractNum w:abstractNumId="10">
    <w:nsid w:val="1BA026FA"/>
    <w:multiLevelType w:val="hybridMultilevel"/>
    <w:lvl w:ilvl="0">
      <w:lvlJc w:val="left"/>
      <w:lvlText w:val="(%1)"/>
      <w:numFmt w:val="decimal"/>
      <w:start w:val="7"/>
    </w:lvl>
  </w:abstractNum>
  <w:abstractNum w:abstractNumId="11">
    <w:nsid w:val="79A1DEAA"/>
    <w:multiLevelType w:val="hybridMultilevel"/>
    <w:lvl w:ilvl="0">
      <w:lvlJc w:val="left"/>
      <w:lvlText w:val="5"/>
      <w:numFmt w:val="bullet"/>
      <w:start w:val="1"/>
    </w:lvl>
  </w:abstractNum>
  <w:abstractNum w:abstractNumId="12">
    <w:nsid w:val="75C6C33A"/>
    <w:multiLevelType w:val="hybridMultilevel"/>
    <w:lvl w:ilvl="0">
      <w:lvlJc w:val="left"/>
      <w:lvlText w:val="6"/>
      <w:numFmt w:val="bullet"/>
      <w:start w:val="1"/>
    </w:lvl>
  </w:abstractNum>
  <w:abstractNum w:abstractNumId="13">
    <w:nsid w:val="12E685FB"/>
    <w:multiLevelType w:val="hybridMultilevel"/>
    <w:lvl w:ilvl="0">
      <w:lvlJc w:val="left"/>
      <w:lvlText w:val="%1)"/>
      <w:numFmt w:val="lowerRoman"/>
      <w:start w:val="1"/>
    </w:lvl>
  </w:abstractNum>
  <w:abstractNum w:abstractNumId="14">
    <w:nsid w:val="70C6A529"/>
    <w:multiLevelType w:val="hybridMultilevel"/>
    <w:lvl w:ilvl="0">
      <w:lvlJc w:val="left"/>
      <w:lvlText w:val="%1)"/>
      <w:numFmt w:val="lowerRoman"/>
      <w:start w:val="1"/>
    </w:lvl>
  </w:abstractNum>
  <w:abstractNum w:abstractNumId="15">
    <w:nsid w:val="520EEDD1"/>
    <w:multiLevelType w:val="hybridMultilevel"/>
    <w:lvl w:ilvl="0">
      <w:lvlJc w:val="left"/>
      <w:lvlText w:val="7"/>
      <w:numFmt w:val="bullet"/>
      <w:start w:val="1"/>
    </w:lvl>
  </w:abstractNum>
  <w:abstractNum w:abstractNumId="16">
    <w:nsid w:val="374A3FE6"/>
    <w:multiLevelType w:val="hybridMultilevel"/>
    <w:lvl w:ilvl="0">
      <w:lvlJc w:val="left"/>
      <w:lvlText w:val="%1."/>
      <w:numFmt w:val="upperLetter"/>
      <w:start w:val="35"/>
    </w:lvl>
  </w:abstractNum>
  <w:abstractNum w:abstractNumId="17">
    <w:nsid w:val="4F4EF005"/>
    <w:multiLevelType w:val="hybridMultilevel"/>
    <w:lvl w:ilvl="0">
      <w:lvlJc w:val="left"/>
      <w:lvlText w:val="%1."/>
      <w:numFmt w:val="upperLetter"/>
      <w:start w:val="1"/>
    </w:lvl>
  </w:abstractNum>
  <w:abstractNum w:abstractNumId="18">
    <w:nsid w:val="23F9C13C"/>
    <w:multiLevelType w:val="hybridMultilevel"/>
    <w:lvl w:ilvl="0">
      <w:lvlJc w:val="left"/>
      <w:lvlText w:val="%1."/>
      <w:numFmt w:val="upperLetter"/>
      <w:start w:val="2"/>
    </w:lvl>
  </w:abstractNum>
  <w:abstractNum w:abstractNumId="19">
    <w:nsid w:val="649BB77C"/>
    <w:multiLevelType w:val="hybridMultilevel"/>
    <w:lvl w:ilvl="0">
      <w:lvlJc w:val="left"/>
      <w:lvlText w:val="%1."/>
      <w:numFmt w:val="upperLetter"/>
      <w:start w:val="3"/>
    </w:lvl>
  </w:abstractNum>
  <w:abstractNum w:abstractNumId="20">
    <w:nsid w:val="275AC794"/>
    <w:multiLevelType w:val="hybridMultilevel"/>
    <w:lvl w:ilvl="0">
      <w:lvlJc w:val="left"/>
      <w:lvlText w:val="(%1)"/>
      <w:numFmt w:val="lowerRoman"/>
      <w:start w:val="1"/>
    </w:lvl>
  </w:abstractNum>
  <w:abstractNum w:abstractNumId="21">
    <w:nsid w:val="39386575"/>
    <w:multiLevelType w:val="hybridMultilevel"/>
    <w:lvl w:ilvl="0">
      <w:lvlJc w:val="left"/>
      <w:lvlText w:val="%1."/>
      <w:numFmt w:val="upperLetter"/>
      <w:start w:val="4"/>
    </w:lvl>
  </w:abstractNum>
  <w:abstractNum w:abstractNumId="22">
    <w:nsid w:val="1CF10FD8"/>
    <w:multiLevelType w:val="hybridMultilevel"/>
    <w:lvl w:ilvl="0">
      <w:lvlJc w:val="left"/>
      <w:lvlText w:val="8"/>
      <w:numFmt w:val="bullet"/>
      <w:start w:val="1"/>
    </w:lvl>
  </w:abstractNum>
  <w:abstractNum w:abstractNumId="23">
    <w:nsid w:val="180115BE"/>
    <w:multiLevelType w:val="hybridMultilevel"/>
    <w:lvl w:ilvl="0">
      <w:lvlJc w:val="left"/>
      <w:lvlText w:val="%1."/>
      <w:numFmt w:val="upperLetter"/>
      <w:start w:val="5"/>
    </w:lvl>
  </w:abstractNum>
  <w:abstractNum w:abstractNumId="24">
    <w:nsid w:val="235BA861"/>
    <w:multiLevelType w:val="hybridMultilevel"/>
    <w:lvl w:ilvl="0">
      <w:lvlJc w:val="left"/>
      <w:lvlText w:val="%1."/>
      <w:numFmt w:val="upperLetter"/>
      <w:start w:val="6"/>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upperLetter"/>
      <w:start w:val="7"/>
    </w:lvl>
  </w:abstractNum>
  <w:abstractNum w:abstractNumId="27">
    <w:nsid w:val="15B5AF5C"/>
    <w:multiLevelType w:val="hybridMultilevel"/>
    <w:lvl w:ilvl="0">
      <w:lvlJc w:val="left"/>
      <w:lvlText w:val="%1."/>
      <w:numFmt w:val="upperLetter"/>
      <w:start w:val="61"/>
    </w:lvl>
  </w:abstractNum>
  <w:abstractNum w:abstractNumId="28">
    <w:nsid w:val="741226BB"/>
    <w:multiLevelType w:val="hybridMultilevel"/>
    <w:lvl w:ilvl="0">
      <w:lvlJc w:val="left"/>
      <w:lvlText w:val="%1."/>
      <w:numFmt w:val="upperLetter"/>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lowerLetter"/>
      <w:start w:val="1"/>
    </w:lvl>
  </w:abstractNum>
  <w:abstractNum w:abstractNumId="31">
    <w:nsid w:val="3F6AB60F"/>
    <w:multiLevelType w:val="hybridMultilevel"/>
    <w:lvl w:ilvl="0">
      <w:lvlJc w:val="left"/>
      <w:lvlText w:val="9"/>
      <w:numFmt w:val="bullet"/>
      <w:start w:val="1"/>
    </w:lvl>
  </w:abstractNum>
  <w:abstractNum w:abstractNumId="32">
    <w:nsid w:val="61574095"/>
    <w:multiLevelType w:val="hybridMultilevel"/>
    <w:lvl w:ilvl="0">
      <w:lvlJc w:val="left"/>
      <w:lvlText w:val="(%1)"/>
      <w:numFmt w:val="lowerLetter"/>
      <w:start w:val="2"/>
    </w:lvl>
  </w:abstractNum>
  <w:abstractNum w:abstractNumId="33">
    <w:nsid w:val="7E0C57B1"/>
    <w:multiLevelType w:val="hybridMultilevel"/>
    <w:lvl w:ilvl="0">
      <w:lvlJc w:val="left"/>
      <w:lvlText w:val="(%1)"/>
      <w:numFmt w:val="lowerLetter"/>
      <w:start w:val="3"/>
    </w:lvl>
  </w:abstractNum>
  <w:abstractNum w:abstractNumId="34">
    <w:nsid w:val="77AE35EB"/>
    <w:multiLevelType w:val="hybridMultilevel"/>
    <w:lvl w:ilvl="0">
      <w:lvlJc w:val="left"/>
      <w:lvlText w:val="%1"/>
      <w:numFmt w:val="decimal"/>
      <w:start w:val="10"/>
    </w:lvl>
  </w:abstractNum>
  <w:abstractNum w:abstractNumId="35">
    <w:nsid w:val="579BE4F1"/>
    <w:multiLevelType w:val="hybridMultilevel"/>
    <w:lvl w:ilvl="0">
      <w:lvlJc w:val="left"/>
      <w:lvlText w:val="%1."/>
      <w:numFmt w:val="decimal"/>
      <w:start w:val="2"/>
    </w:lvl>
  </w:abstractNum>
  <w:abstractNum w:abstractNumId="36">
    <w:nsid w:val="310C50B3"/>
    <w:multiLevelType w:val="hybridMultilevel"/>
    <w:lvl w:ilvl="0">
      <w:lvlJc w:val="left"/>
      <w:lvlText w:val="%1."/>
      <w:numFmt w:val="decimal"/>
      <w:start w:val="3"/>
    </w:lvl>
  </w:abstractNum>
  <w:abstractNum w:abstractNumId="37">
    <w:nsid w:val="5FF87E05"/>
    <w:multiLevelType w:val="hybridMultilevel"/>
    <w:lvl w:ilvl="0">
      <w:lvlJc w:val="left"/>
      <w:lvlText w:val="(%1)"/>
      <w:numFmt w:val="lowerLetter"/>
      <w:start w:val="1"/>
    </w:lvl>
  </w:abstractNum>
  <w:abstractNum w:abstractNumId="38">
    <w:nsid w:val="2F305DEF"/>
    <w:multiLevelType w:val="hybridMultilevel"/>
    <w:lvl w:ilvl="0">
      <w:lvlJc w:val="left"/>
      <w:lvlText w:val="(%1)"/>
      <w:numFmt w:val="lowerLetter"/>
      <w:start w:val="2"/>
    </w:lvl>
  </w:abstractNum>
  <w:abstractNum w:abstractNumId="39">
    <w:nsid w:val="25A70BF7"/>
    <w:multiLevelType w:val="hybridMultilevel"/>
    <w:lvl w:ilvl="0">
      <w:lvlJc w:val="left"/>
      <w:lvlText w:val="%1."/>
      <w:numFmt w:val="decimal"/>
      <w:start w:val="4"/>
    </w:lvl>
  </w:abstractNum>
  <w:abstractNum w:abstractNumId="40">
    <w:nsid w:val="1DBABF00"/>
    <w:multiLevelType w:val="hybridMultilevel"/>
    <w:lvl w:ilvl="0">
      <w:lvlJc w:val="left"/>
      <w:lvlText w:val="%1"/>
      <w:numFmt w:val="decimal"/>
      <w:start w:val="12"/>
    </w:lvl>
  </w:abstractNum>
  <w:abstractNum w:abstractNumId="41">
    <w:nsid w:val="4AD084E9"/>
    <w:multiLevelType w:val="hybridMultilevel"/>
    <w:lvl w:ilvl="0">
      <w:lvlJc w:val="left"/>
      <w:lvlText w:val="(%1)"/>
      <w:numFmt w:val="lowerLetter"/>
      <w:start w:val="1"/>
    </w:lvl>
  </w:abstractNum>
  <w:abstractNum w:abstractNumId="42">
    <w:nsid w:val="1F48EAA1"/>
    <w:multiLevelType w:val="hybridMultilevel"/>
    <w:lvl w:ilvl="0">
      <w:lvlJc w:val="left"/>
      <w:lvlText w:val="(%1)"/>
      <w:numFmt w:val="lowerLetter"/>
      <w:start w:val="2"/>
    </w:lvl>
  </w:abstractNum>
  <w:abstractNum w:abstractNumId="43">
    <w:nsid w:val="1381823A"/>
    <w:multiLevelType w:val="hybridMultilevel"/>
    <w:lvl w:ilvl="0">
      <w:lvlJc w:val="left"/>
      <w:lvlText w:val="%1."/>
      <w:numFmt w:val="decimal"/>
      <w:start w:val="5"/>
    </w:lvl>
  </w:abstractNum>
  <w:abstractNum w:abstractNumId="44">
    <w:nsid w:val="5DB70AE5"/>
    <w:multiLevelType w:val="hybridMultilevel"/>
    <w:lvl w:ilvl="0">
      <w:lvlJc w:val="left"/>
      <w:lvlText w:val="%1"/>
      <w:numFmt w:val="decimal"/>
      <w:start w:val="13"/>
    </w:lvl>
  </w:abstractNum>
  <w:abstractNum w:abstractNumId="45">
    <w:nsid w:val="100F8FCA"/>
    <w:multiLevelType w:val="hybridMultilevel"/>
    <w:lvl w:ilvl="0">
      <w:lvlJc w:val="left"/>
      <w:lvlText w:val="%1."/>
      <w:numFmt w:val="upperLetter"/>
      <w:start w:val="2"/>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decimal"/>
      <w:start w:val="16"/>
    </w:lvl>
  </w:abstractNum>
  <w:abstractNum w:abstractNumId="49">
    <w:nsid w:val="98A3148"/>
    <w:multiLevelType w:val="hybridMultilevel"/>
    <w:lvl w:ilvl="0">
      <w:lvlJc w:val="left"/>
      <w:lvlText w:val="%1."/>
      <w:numFmt w:val="decimal"/>
      <w:start w:val="2"/>
    </w:lvl>
  </w:abstractNum>
  <w:abstractNum w:abstractNumId="50">
    <w:nsid w:val="799D0247"/>
    <w:multiLevelType w:val="hybridMultilevel"/>
    <w:lvl w:ilvl="0">
      <w:lvlJc w:val="left"/>
      <w:lvlText w:val="%1."/>
      <w:numFmt w:val="upperLetter"/>
      <w:start w:val="3"/>
    </w:lvl>
  </w:abstractNum>
  <w:abstractNum w:abstractNumId="51">
    <w:nsid w:val="6B94764"/>
    <w:multiLevelType w:val="hybridMultilevel"/>
    <w:lvl w:ilvl="0">
      <w:lvlJc w:val="left"/>
      <w:lvlText w:val="%1"/>
      <w:numFmt w:val="decimal"/>
      <w:start w:val="18"/>
    </w:lvl>
  </w:abstractNum>
  <w:abstractNum w:abstractNumId="52">
    <w:nsid w:val="42C296BD"/>
    <w:multiLevelType w:val="hybridMultilevel"/>
    <w:lvl w:ilvl="0">
      <w:lvlJc w:val="left"/>
      <w:lvlText w:val="(%1)"/>
      <w:numFmt w:val="lowerRoman"/>
      <w:start w:val="2"/>
    </w:lvl>
  </w:abstractNum>
  <w:abstractNum w:abstractNumId="53">
    <w:nsid w:val="168E121F"/>
    <w:multiLevelType w:val="hybridMultilevel"/>
    <w:lvl w:ilvl="0">
      <w:lvlJc w:val="left"/>
      <w:lvlText w:val="%1."/>
      <w:numFmt w:val="upperLetter"/>
      <w:start w:val="4"/>
    </w:lvl>
  </w:abstractNum>
  <w:abstractNum w:abstractNumId="54">
    <w:nsid w:val="1EBA5D23"/>
    <w:multiLevelType w:val="hybridMultilevel"/>
    <w:lvl w:ilvl="0">
      <w:lvlJc w:val="left"/>
      <w:lvlText w:val="%1"/>
      <w:numFmt w:val="decimal"/>
      <w:start w:val="21"/>
    </w:lvl>
  </w:abstractNum>
  <w:abstractNum w:abstractNumId="55">
    <w:nsid w:val="661E3F1E"/>
    <w:multiLevelType w:val="hybridMultilevel"/>
    <w:lvl w:ilvl="0">
      <w:lvlJc w:val="left"/>
      <w:lvlText w:val="%1."/>
      <w:numFmt w:val="upperLetter"/>
      <w:start w:val="1"/>
    </w:lvl>
  </w:abstractNum>
  <w:abstractNum w:abstractNumId="56">
    <w:nsid w:val="5DC79EA8"/>
    <w:multiLevelType w:val="hybridMultilevel"/>
    <w:lvl w:ilvl="0">
      <w:lvlJc w:val="left"/>
      <w:lvlText w:val="(%1)"/>
      <w:numFmt w:val="lowerRoman"/>
      <w:start w:val="5"/>
    </w:lvl>
  </w:abstractNum>
  <w:abstractNum w:abstractNumId="57">
    <w:nsid w:val="540A471C"/>
    <w:multiLevelType w:val="hybridMultilevel"/>
    <w:lvl w:ilvl="0">
      <w:lvlJc w:val="left"/>
      <w:lvlText w:val="%1."/>
      <w:numFmt w:val="upperLetter"/>
      <w:start w:val="2"/>
    </w:lvl>
  </w:abstractNum>
  <w:abstractNum w:abstractNumId="58">
    <w:nsid w:val="7BD3EE7B"/>
    <w:multiLevelType w:val="hybridMultilevel"/>
    <w:lvl w:ilvl="0">
      <w:lvlJc w:val="left"/>
      <w:lvlText w:val="(%1)"/>
      <w:numFmt w:val="lowerRoman"/>
      <w:start w:val="1"/>
    </w:lvl>
  </w:abstractNum>
  <w:abstractNum w:abstractNumId="59">
    <w:nsid w:val="51D9C564"/>
    <w:multiLevelType w:val="hybridMultilevel"/>
    <w:lvl w:ilvl="0">
      <w:lvlJc w:val="left"/>
      <w:lvlText w:val="%1."/>
      <w:numFmt w:val="upperLetter"/>
      <w:start w:val="22"/>
    </w:lvl>
  </w:abstractNum>
  <w:abstractNum w:abstractNumId="60">
    <w:nsid w:val="613EFDC5"/>
    <w:multiLevelType w:val="hybridMultilevel"/>
    <w:lvl w:ilvl="0">
      <w:lvlJc w:val="left"/>
      <w:lvlText w:val="%1."/>
      <w:numFmt w:val="decimal"/>
      <w:start w:val="1"/>
    </w:lvl>
    <w:lvl w:ilvl="1">
      <w:lvlJc w:val="left"/>
      <w:lvlText w:val="(%2)"/>
      <w:numFmt w:val="lowerLetter"/>
      <w:start w:val="1"/>
    </w:lvl>
  </w:abstractNum>
  <w:abstractNum w:abstractNumId="61">
    <w:nsid w:val="BF72B1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62">
    <w:nsid w:val="11447B7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3">
    <w:nsid w:val="42963E5A"/>
    <w:multiLevelType w:val="hybridMultilevel"/>
    <w:lvl w:ilvl="0">
      <w:lvlJc w:val="left"/>
      <w:lvlText w:val="%1"/>
      <w:numFmt w:val="decimal"/>
      <w:start w:val="23"/>
    </w:lvl>
  </w:abstractNum>
  <w:abstractNum w:abstractNumId="64">
    <w:nsid w:val="A0382C5"/>
    <w:multiLevelType w:val="hybridMultilevel"/>
    <w:lvl w:ilvl="0">
      <w:lvlJc w:val="left"/>
      <w:lvlText w:val="%1."/>
      <w:numFmt w:val="decimal"/>
      <w:start w:val="4"/>
    </w:lvl>
  </w:abstractNum>
  <w:abstractNum w:abstractNumId="65">
    <w:nsid w:val="8F2B15E"/>
    <w:multiLevelType w:val="hybridMultilevel"/>
    <w:lvl w:ilvl="0">
      <w:lvlJc w:val="left"/>
      <w:lvlText w:val="%1."/>
      <w:numFmt w:val="decimal"/>
      <w:start w:val="5"/>
    </w:lvl>
  </w:abstractNum>
  <w:abstractNum w:abstractNumId="66">
    <w:nsid w:val="1A32234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7">
    <w:nsid w:val="3B0FD379"/>
    <w:multiLevelType w:val="hybridMultilevel"/>
    <w:lvl w:ilvl="0">
      <w:lvlJc w:val="left"/>
      <w:lvlText w:val="(%1)"/>
      <w:numFmt w:val="lowerRoman"/>
      <w:start w:val="2"/>
    </w:lvl>
  </w:abstractNum>
  <w:abstractNum w:abstractNumId="68">
    <w:nsid w:val="68EB2F63"/>
    <w:multiLevelType w:val="hybridMultilevel"/>
    <w:lvl w:ilvl="0">
      <w:lvlJc w:val="left"/>
      <w:lvlText w:val="%1"/>
      <w:numFmt w:val="decimal"/>
      <w:start w:val="24"/>
    </w:lvl>
  </w:abstractNum>
  <w:abstractNum w:abstractNumId="69">
    <w:nsid w:val="4962813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0">
    <w:nsid w:val="60B6DF7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1">
    <w:nsid w:val="6A5EE64"/>
    <w:multiLevelType w:val="hybridMultilevel"/>
    <w:lvl w:ilvl="0">
      <w:lvlJc w:val="left"/>
      <w:lvlText w:val="%1"/>
      <w:numFmt w:val="decimal"/>
      <w:start w:val="27"/>
    </w:lvl>
  </w:abstractNum>
  <w:abstractNum w:abstractNumId="72">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73">
    <w:nsid w:val="7FFFCA1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74">
    <w:nsid w:val="1A27709E"/>
    <w:multiLevelType w:val="hybridMultilevel"/>
    <w:lvl w:ilvl="0">
      <w:lvlJc w:val="left"/>
      <w:lvlText w:val="%1"/>
      <w:numFmt w:val="lowerLetter"/>
      <w:start w:val="1"/>
    </w:lvl>
    <w:lvl w:ilvl="1">
      <w:lvlJc w:val="left"/>
      <w:lvlText w:val="(%2)"/>
      <w:numFmt w:val="lowerLetter"/>
      <w:start w:val="35"/>
    </w:lvl>
  </w:abstractNum>
  <w:abstractNum w:abstractNumId="75">
    <w:nsid w:val="71EA1109"/>
    <w:multiLevelType w:val="hybridMultilevel"/>
    <w:lvl w:ilvl="0">
      <w:lvlJc w:val="left"/>
      <w:lvlText w:val="(%1)"/>
      <w:numFmt w:val="lowerLetter"/>
      <w:start w:val="2"/>
    </w:lvl>
    <w:lvl w:ilvl="1">
      <w:lvlJc w:val="left"/>
      <w:lvlText w:val="(%2)"/>
      <w:numFmt w:val="lowerLetter"/>
      <w:start w:val="9"/>
    </w:lvl>
  </w:abstractNum>
  <w:abstractNum w:abstractNumId="76">
    <w:nsid w:val="100F59D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77">
    <w:nsid w:val="7FB7E0AA"/>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78">
    <w:nsid w:val="6EB5BD4"/>
    <w:multiLevelType w:val="hybridMultilevel"/>
    <w:lvl w:ilvl="0">
      <w:lvlJc w:val="left"/>
      <w:lvlText w:val="%1"/>
      <w:numFmt w:val="decimal"/>
      <w:start w:val="28"/>
    </w:lvl>
  </w:abstractNum>
  <w:abstractNum w:abstractNumId="79">
    <w:nsid w:val="6F6DD9A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0">
    <w:nsid w:val="94211F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1">
    <w:nsid w:val="885E1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2">
    <w:nsid w:val="7627211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3">
    <w:nsid w:val="4C04A8AF"/>
    <w:multiLevelType w:val="hybridMultilevel"/>
    <w:lvl w:ilvl="0">
      <w:lvlJc w:val="left"/>
      <w:lvlText w:val="%1."/>
      <w:numFmt w:val="decimal"/>
      <w:start w:val="12"/>
    </w:lvl>
  </w:abstractNum>
  <w:abstractNum w:abstractNumId="84">
    <w:nsid w:val="1716703B"/>
    <w:multiLevelType w:val="hybridMultilevel"/>
    <w:lvl w:ilvl="0">
      <w:lvlJc w:val="left"/>
      <w:lvlText w:val="%1."/>
      <w:numFmt w:val="decimal"/>
      <w:start w:val="13"/>
    </w:lvl>
  </w:abstractNum>
  <w:abstractNum w:abstractNumId="85">
    <w:nsid w:val="14E17E33"/>
    <w:multiLevelType w:val="hybridMultilevel"/>
    <w:lvl w:ilvl="0">
      <w:lvlJc w:val="left"/>
      <w:lvlText w:val="%1."/>
      <w:numFmt w:val="decimal"/>
      <w:start w:val="14"/>
    </w:lvl>
  </w:abstractNum>
  <w:abstractNum w:abstractNumId="86">
    <w:nsid w:val="3222E7CD"/>
    <w:multiLevelType w:val="hybridMultilevel"/>
    <w:lvl w:ilvl="0">
      <w:lvlJc w:val="left"/>
      <w:lvlText w:val="%1."/>
      <w:numFmt w:val="decimal"/>
      <w:start w:val="15"/>
    </w:lvl>
  </w:abstractNum>
  <w:abstractNum w:abstractNumId="87">
    <w:nsid w:val="74DE0EE3"/>
    <w:multiLevelType w:val="hybridMultilevel"/>
    <w:lvl w:ilvl="0">
      <w:lvlJc w:val="left"/>
      <w:lvlText w:val="%1."/>
      <w:numFmt w:val="upperLetter"/>
      <w:start w:val="1"/>
    </w:lvl>
  </w:abstractNum>
  <w:abstractNum w:abstractNumId="88">
    <w:nsid w:val="68EBC550"/>
    <w:multiLevelType w:val="hybridMultilevel"/>
    <w:lvl w:ilvl="0">
      <w:lvlJc w:val="left"/>
      <w:lvlText w:val="(%1)"/>
      <w:numFmt w:val="decimal"/>
      <w:start w:val="312"/>
    </w:lvl>
  </w:abstractNum>
  <w:abstractNum w:abstractNumId="89">
    <w:nsid w:val="2DF6D648"/>
    <w:multiLevelType w:val="hybridMultilevel"/>
    <w:lvl w:ilvl="0">
      <w:lvlJc w:val="left"/>
      <w:lvlText w:val="%1"/>
      <w:numFmt w:val="decimal"/>
      <w:start w:val="29"/>
    </w:lvl>
  </w:abstractNum>
  <w:abstractNum w:abstractNumId="90">
    <w:nsid w:val="46B7D447"/>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2022-04-29T05:36:50Z</dcterms:created>
  <dcterms:modified xsi:type="dcterms:W3CDTF">2022-04-29T05:36:50Z</dcterms:modified>
</cp:coreProperties>
</file>