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FORM 8-K</w:t>
      </w:r>
    </w:p>
    <w:p>
      <w:pPr>
        <w:spacing w:after="0" w:line="19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98" w:lineRule="exact"/>
        <w:rPr>
          <w:sz w:val="24"/>
          <w:szCs w:val="24"/>
          <w:color w:val="auto"/>
        </w:rPr>
      </w:pPr>
    </w:p>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May 7, 2026</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Chicago Atlantic Real Estate Finance, Inc.</w:t>
      </w:r>
    </w:p>
    <w:p>
      <w:pPr>
        <w:spacing w:after="0" w:line="26" w:lineRule="exact"/>
        <w:rPr>
          <w:sz w:val="24"/>
          <w:szCs w:val="24"/>
          <w:color w:val="auto"/>
        </w:rPr>
      </w:pPr>
    </w:p>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80" w:lineRule="exact"/>
        <w:rPr>
          <w:sz w:val="24"/>
          <w:szCs w:val="24"/>
          <w:color w:val="auto"/>
        </w:rPr>
      </w:pPr>
    </w:p>
    <w:tbl>
      <w:tblPr>
        <w:tblLayout w:type="fixed"/>
        <w:tblInd w:w="4" w:type="dxa"/>
        <w:tblCellMar>
          <w:top w:w="0" w:type="dxa"/>
          <w:left w:w="0" w:type="dxa"/>
          <w:bottom w:w="0" w:type="dxa"/>
          <w:right w:w="0" w:type="dxa"/>
        </w:tblCellMar>
      </w:tblPr>
      <w:tr>
        <w:trPr>
          <w:trHeight w:val="214"/>
        </w:trPr>
        <w:tc>
          <w:tcPr>
            <w:tcW w:w="4660" w:type="dxa"/>
            <w:vAlign w:val="bottom"/>
            <w:gridSpan w:val="3"/>
          </w:tcPr>
          <w:p>
            <w:pPr>
              <w:jc w:val="center"/>
              <w:ind w:right="1060"/>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2780" w:type="dxa"/>
            <w:vAlign w:val="bottom"/>
            <w:gridSpan w:val="3"/>
          </w:tcPr>
          <w:p>
            <w:pPr>
              <w:jc w:val="right"/>
              <w:ind w:right="1460"/>
              <w:spacing w:after="0"/>
              <w:rPr>
                <w:sz w:val="20"/>
                <w:szCs w:val="20"/>
                <w:color w:val="auto"/>
              </w:rPr>
            </w:pPr>
            <w:r>
              <w:rPr>
                <w:rFonts w:ascii="Times New Roman" w:cs="Times New Roman" w:eastAsia="Times New Roman" w:hAnsi="Times New Roman"/>
                <w:sz w:val="16"/>
                <w:szCs w:val="16"/>
                <w:b w:val="1"/>
                <w:bCs w:val="1"/>
                <w:color w:val="auto"/>
              </w:rPr>
              <w:t>001-41123</w:t>
            </w: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86-3125132</w:t>
            </w:r>
          </w:p>
        </w:tc>
      </w:tr>
      <w:tr>
        <w:trPr>
          <w:trHeight w:val="173"/>
        </w:trPr>
        <w:tc>
          <w:tcPr>
            <w:tcW w:w="360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(State or Other Jurisdiction</w:t>
            </w:r>
          </w:p>
        </w:tc>
        <w:tc>
          <w:tcPr>
            <w:tcW w:w="2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780" w:type="dxa"/>
            <w:vAlign w:val="bottom"/>
            <w:tcBorders>
              <w:top w:val="single" w:sz="8" w:color="auto"/>
            </w:tcBorders>
            <w:gridSpan w:val="3"/>
          </w:tcPr>
          <w:p>
            <w:pPr>
              <w:jc w:val="center"/>
              <w:ind w:right="820"/>
              <w:spacing w:after="0" w:line="173" w:lineRule="exact"/>
              <w:rPr>
                <w:sz w:val="20"/>
                <w:szCs w:val="20"/>
                <w:color w:val="auto"/>
              </w:rPr>
            </w:pPr>
            <w:r>
              <w:rPr>
                <w:rFonts w:ascii="Times New Roman" w:cs="Times New Roman" w:eastAsia="Times New Roman" w:hAnsi="Times New Roman"/>
                <w:sz w:val="16"/>
                <w:szCs w:val="16"/>
                <w:b w:val="1"/>
                <w:bCs w:val="1"/>
                <w:color w:val="auto"/>
                <w:w w:val="99"/>
              </w:rPr>
              <w:t>(Commission File Number)</w:t>
            </w:r>
          </w:p>
        </w:tc>
        <w:tc>
          <w:tcPr>
            <w:tcW w:w="22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8"/>
              </w:rPr>
              <w:t>(IRS Employer</w:t>
            </w:r>
          </w:p>
        </w:tc>
      </w:tr>
      <w:tr>
        <w:trPr>
          <w:trHeight w:val="210"/>
        </w:trPr>
        <w:tc>
          <w:tcPr>
            <w:tcW w:w="4660" w:type="dxa"/>
            <w:vAlign w:val="bottom"/>
            <w:gridSpan w:val="3"/>
          </w:tcPr>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of Incorporation)</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Identification No.)</w:t>
            </w:r>
          </w:p>
        </w:tc>
      </w:tr>
      <w:tr>
        <w:trPr>
          <w:trHeight w:val="422"/>
        </w:trPr>
        <w:tc>
          <w:tcPr>
            <w:tcW w:w="466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w w:val="99"/>
              </w:rPr>
              <w:t>1680 Michigan Avenue Suite 700 Miami Beach, Florida</w:t>
            </w:r>
          </w:p>
        </w:tc>
        <w:tc>
          <w:tcPr>
            <w:tcW w:w="8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00"/>
              <w:spacing w:after="0"/>
              <w:rPr>
                <w:sz w:val="20"/>
                <w:szCs w:val="20"/>
                <w:color w:val="auto"/>
              </w:rPr>
            </w:pPr>
            <w:r>
              <w:rPr>
                <w:rFonts w:ascii="Times New Roman" w:cs="Times New Roman" w:eastAsia="Times New Roman" w:hAnsi="Times New Roman"/>
                <w:sz w:val="16"/>
                <w:szCs w:val="16"/>
                <w:b w:val="1"/>
                <w:bCs w:val="1"/>
                <w:color w:val="auto"/>
              </w:rPr>
              <w:t>33139</w:t>
            </w:r>
          </w:p>
        </w:tc>
      </w:tr>
      <w:tr>
        <w:trPr>
          <w:trHeight w:val="210"/>
        </w:trPr>
        <w:tc>
          <w:tcPr>
            <w:tcW w:w="4660" w:type="dxa"/>
            <w:vAlign w:val="bottom"/>
            <w:gridSpan w:val="3"/>
          </w:tcPr>
          <w:p>
            <w:pPr>
              <w:ind w:left="136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jc w:val="right"/>
              <w:ind w:right="2320"/>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(312) 625-9295</w:t>
      </w:r>
    </w:p>
    <w:p>
      <w:pPr>
        <w:spacing w:after="0" w:line="39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0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8"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96" w:lineRule="exact"/>
        <w:rPr>
          <w:rFonts w:ascii="MS PGothic" w:cs="MS PGothic" w:eastAsia="MS PGothic" w:hAnsi="MS PGothic"/>
          <w:sz w:val="16"/>
          <w:szCs w:val="16"/>
          <w:color w:val="auto"/>
        </w:rPr>
      </w:pPr>
    </w:p>
    <w:p>
      <w:pPr>
        <w:ind w:left="3684"/>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390" w:lineRule="exact"/>
        <w:rPr>
          <w:sz w:val="24"/>
          <w:szCs w:val="24"/>
          <w:color w:val="auto"/>
        </w:rPr>
      </w:pPr>
    </w:p>
    <w:tbl>
      <w:tblPr>
        <w:tblLayout w:type="fixed"/>
        <w:tblInd w:w="4" w:type="dxa"/>
        <w:tblCellMar>
          <w:top w:w="0" w:type="dxa"/>
          <w:left w:w="0" w:type="dxa"/>
          <w:bottom w:w="0" w:type="dxa"/>
          <w:right w:w="0" w:type="dxa"/>
        </w:tblCellMar>
      </w:tblPr>
      <w:tr>
        <w:trPr>
          <w:trHeight w:val="214"/>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191"/>
        </w:trPr>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Common Stock, par value $0.01 per share</w:t>
            </w:r>
          </w:p>
        </w:tc>
        <w:tc>
          <w:tcPr>
            <w:tcW w:w="24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REFI</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Nasdaq Global Market</w:t>
            </w:r>
          </w:p>
        </w:tc>
      </w:tr>
    </w:tbl>
    <w:p>
      <w:pPr>
        <w:spacing w:after="0" w:line="175" w:lineRule="exact"/>
        <w:rPr>
          <w:sz w:val="24"/>
          <w:szCs w:val="24"/>
          <w:color w:val="auto"/>
        </w:rPr>
      </w:pPr>
    </w:p>
    <w:p>
      <w:pPr>
        <w:ind w:left="4" w:right="10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08" w:lineRule="exact"/>
        <w:rPr>
          <w:sz w:val="24"/>
          <w:szCs w:val="24"/>
          <w:color w:val="auto"/>
        </w:rPr>
      </w:pPr>
    </w:p>
    <w:p>
      <w:pPr>
        <w:ind w:left="4"/>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34" w:lineRule="exact"/>
        <w:rPr>
          <w:sz w:val="24"/>
          <w:szCs w:val="24"/>
          <w:color w:val="auto"/>
        </w:rPr>
      </w:pPr>
    </w:p>
    <w:p>
      <w:pPr>
        <w:ind w:left="4" w:right="200"/>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129540</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524510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68" w:right="3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200" w:lineRule="exact"/>
        <w:rPr>
          <w:sz w:val="20"/>
          <w:szCs w:val="20"/>
          <w:color w:val="auto"/>
        </w:rPr>
      </w:pPr>
    </w:p>
    <w:p>
      <w:pPr>
        <w:ind w:left="4" w:right="120" w:firstLine="613"/>
        <w:spacing w:after="0" w:line="280" w:lineRule="auto"/>
        <w:rPr>
          <w:sz w:val="20"/>
          <w:szCs w:val="20"/>
          <w:color w:val="auto"/>
        </w:rPr>
      </w:pPr>
      <w:r>
        <w:rPr>
          <w:rFonts w:ascii="Times New Roman" w:cs="Times New Roman" w:eastAsia="Times New Roman" w:hAnsi="Times New Roman"/>
          <w:sz w:val="16"/>
          <w:szCs w:val="16"/>
          <w:color w:val="auto"/>
        </w:rPr>
        <w:t>On May 7, 2026, Chicago Atlantic Real Estate Finance, Inc. (the “Company”) issued a press release announcing its financial results for the first quarter ended March 31, 2026. The text of the press release is included as Exhibit 99.1 to this Form 8-K and is incorporated herein by reference.</w:t>
      </w:r>
    </w:p>
    <w:p>
      <w:pPr>
        <w:spacing w:after="0" w:line="144" w:lineRule="exact"/>
        <w:rPr>
          <w:sz w:val="20"/>
          <w:szCs w:val="20"/>
          <w:color w:val="auto"/>
        </w:rPr>
      </w:pPr>
    </w:p>
    <w:p>
      <w:pPr>
        <w:ind w:left="4" w:right="180" w:firstLine="574"/>
        <w:spacing w:after="0" w:line="259" w:lineRule="auto"/>
        <w:rPr>
          <w:sz w:val="20"/>
          <w:szCs w:val="20"/>
          <w:color w:val="auto"/>
        </w:rPr>
      </w:pPr>
      <w:r>
        <w:rPr>
          <w:rFonts w:ascii="Times New Roman" w:cs="Times New Roman" w:eastAsia="Times New Roman" w:hAnsi="Times New Roman"/>
          <w:sz w:val="16"/>
          <w:szCs w:val="16"/>
          <w:color w:val="auto"/>
        </w:rPr>
        <w:t>The information set forth under this Item 2.02, including Exhibit 99.1, is being furnished and shall not be deemed “filed” for purposes of Section 18 of the Securities Exchange Act of 1934, as amended, or otherwise subject to the liabilities of that section. The information set forth under this Item 2.02, including Exhibit 99.1, shall not be incorporated by reference into any registration statement or other document pursuant to the Securities Act of 1933, as amended, unless it is specifically incorporated by reference therein.</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200" w:lineRule="exact"/>
        <w:rPr>
          <w:sz w:val="20"/>
          <w:szCs w:val="20"/>
          <w:color w:val="auto"/>
        </w:rPr>
      </w:pPr>
    </w:p>
    <w:p>
      <w:pPr>
        <w:ind w:left="4" w:right="240" w:firstLine="574"/>
        <w:spacing w:after="0" w:line="265" w:lineRule="auto"/>
        <w:rPr>
          <w:sz w:val="20"/>
          <w:szCs w:val="20"/>
          <w:color w:val="auto"/>
        </w:rPr>
      </w:pPr>
      <w:r>
        <w:rPr>
          <w:rFonts w:ascii="Times New Roman" w:cs="Times New Roman" w:eastAsia="Times New Roman" w:hAnsi="Times New Roman"/>
          <w:sz w:val="16"/>
          <w:szCs w:val="16"/>
          <w:color w:val="auto"/>
        </w:rPr>
        <w:t>On May 7, 2026, the Company disseminated a presentation to be used in connection with its conference call to discuss its financial results for the first quarter ended March 31, 2026, which will be held on Thursday, May 7, 2026, at 9:00 a.m. (eastern time). A copy of the presentation has been posted to the Company’s Investor Relations page of its website and is included herewith as Exhibit 99.2, and by this reference incorporated herein.</w:t>
      </w:r>
    </w:p>
    <w:p>
      <w:pPr>
        <w:spacing w:after="0" w:line="155" w:lineRule="exact"/>
        <w:rPr>
          <w:sz w:val="20"/>
          <w:szCs w:val="20"/>
          <w:color w:val="auto"/>
        </w:rPr>
      </w:pPr>
    </w:p>
    <w:p>
      <w:pPr>
        <w:ind w:left="4" w:right="340" w:firstLine="574"/>
        <w:spacing w:after="0" w:line="265" w:lineRule="auto"/>
        <w:rPr>
          <w:sz w:val="20"/>
          <w:szCs w:val="20"/>
          <w:color w:val="auto"/>
        </w:rPr>
      </w:pPr>
      <w:r>
        <w:rPr>
          <w:rFonts w:ascii="Times New Roman" w:cs="Times New Roman" w:eastAsia="Times New Roman" w:hAnsi="Times New Roman"/>
          <w:sz w:val="16"/>
          <w:szCs w:val="16"/>
          <w:color w:val="auto"/>
        </w:rPr>
        <w:t>The information disclosed under this Item 7.01, including Exhibit 99.2 hereto, is being furnished and shall not be deemed “filed” for purposes of Section 18 of the Securities Exchange Act of 1934, as amended, or otherwise subject to the liabilities of that section. The information provided herein shall not be deemed incorporated by reference into any filing made under the Securities Act of 1933, as amended, except as expressly set forth by specific reference in such filing.</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00"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d) Exhibits</w:t>
            </w: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320" w:type="dxa"/>
            <w:vAlign w:val="bottom"/>
          </w:tcPr>
          <w:p>
            <w:pPr>
              <w:spacing w:after="0"/>
              <w:rPr>
                <w:sz w:val="18"/>
                <w:szCs w:val="18"/>
                <w:color w:val="auto"/>
              </w:rPr>
            </w:pPr>
          </w:p>
        </w:tc>
      </w:tr>
      <w:tr>
        <w:trPr>
          <w:trHeight w:val="364"/>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320" w:type="dxa"/>
            <w:vAlign w:val="bottom"/>
          </w:tcPr>
          <w:p>
            <w:pPr>
              <w:spacing w:after="0"/>
              <w:rPr>
                <w:sz w:val="24"/>
                <w:szCs w:val="24"/>
                <w:color w:val="auto"/>
              </w:rPr>
            </w:pPr>
          </w:p>
        </w:tc>
      </w:tr>
      <w:tr>
        <w:trPr>
          <w:trHeight w:val="214"/>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8"/>
                <w:szCs w:val="18"/>
                <w:color w:val="auto"/>
              </w:rPr>
            </w:pPr>
          </w:p>
        </w:tc>
        <w:tc>
          <w:tcPr>
            <w:tcW w:w="10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55"/>
        </w:trPr>
        <w:tc>
          <w:tcPr>
            <w:tcW w:w="10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99.1</w:t>
            </w:r>
          </w:p>
        </w:tc>
        <w:tc>
          <w:tcPr>
            <w:tcW w:w="120" w:type="dxa"/>
            <w:vAlign w:val="bottom"/>
            <w:shd w:val="clear" w:color="auto" w:fill="CCEEFF"/>
          </w:tcPr>
          <w:p>
            <w:pPr>
              <w:spacing w:after="0"/>
              <w:rPr>
                <w:sz w:val="13"/>
                <w:szCs w:val="13"/>
                <w:color w:val="auto"/>
              </w:rPr>
            </w:pPr>
          </w:p>
        </w:tc>
        <w:tc>
          <w:tcPr>
            <w:tcW w:w="1012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Press release dated May 7, 2026.</w:t>
            </w:r>
          </w:p>
        </w:tc>
      </w:tr>
      <w:tr>
        <w:trPr>
          <w:trHeight w:val="36"/>
        </w:trPr>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80" w:type="dxa"/>
            <w:vAlign w:val="bottom"/>
            <w:shd w:val="clear" w:color="auto" w:fill="0000EE"/>
          </w:tcPr>
          <w:p>
            <w:pPr>
              <w:spacing w:after="0"/>
              <w:rPr>
                <w:sz w:val="3"/>
                <w:szCs w:val="3"/>
                <w:color w:val="auto"/>
              </w:rPr>
            </w:pPr>
          </w:p>
        </w:tc>
        <w:tc>
          <w:tcPr>
            <w:tcW w:w="2720" w:type="dxa"/>
            <w:vAlign w:val="bottom"/>
            <w:shd w:val="clear" w:color="auto" w:fill="CCEEFF"/>
          </w:tcPr>
          <w:p>
            <w:pPr>
              <w:spacing w:after="0"/>
              <w:rPr>
                <w:sz w:val="3"/>
                <w:szCs w:val="3"/>
                <w:color w:val="auto"/>
              </w:rPr>
            </w:pPr>
          </w:p>
        </w:tc>
        <w:tc>
          <w:tcPr>
            <w:tcW w:w="5320" w:type="dxa"/>
            <w:vAlign w:val="bottom"/>
            <w:shd w:val="clear" w:color="auto" w:fill="CCEEFF"/>
          </w:tcPr>
          <w:p>
            <w:pPr>
              <w:spacing w:after="0"/>
              <w:rPr>
                <w:sz w:val="3"/>
                <w:szCs w:val="3"/>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99.2</w:t>
            </w:r>
          </w:p>
        </w:tc>
        <w:tc>
          <w:tcPr>
            <w:tcW w:w="120" w:type="dxa"/>
            <w:vAlign w:val="bottom"/>
          </w:tcPr>
          <w:p>
            <w:pPr>
              <w:spacing w:after="0"/>
              <w:rPr>
                <w:sz w:val="13"/>
                <w:szCs w:val="13"/>
                <w:color w:val="auto"/>
              </w:rPr>
            </w:pPr>
          </w:p>
        </w:tc>
        <w:tc>
          <w:tcPr>
            <w:tcW w:w="4800" w:type="dxa"/>
            <w:vAlign w:val="bottom"/>
            <w:tcBorders>
              <w:bottom w:val="single" w:sz="8" w:color="0000EE"/>
            </w:tcBorders>
            <w:gridSpan w:val="2"/>
          </w:tcPr>
          <w:p>
            <w:pPr>
              <w:spacing w:after="0" w:line="155" w:lineRule="exact"/>
              <w:rPr>
                <w:sz w:val="20"/>
                <w:szCs w:val="20"/>
                <w:color w:val="auto"/>
              </w:rPr>
            </w:pPr>
            <w:r>
              <w:rPr>
                <w:rFonts w:ascii="Times New Roman" w:cs="Times New Roman" w:eastAsia="Times New Roman" w:hAnsi="Times New Roman"/>
                <w:sz w:val="16"/>
                <w:szCs w:val="16"/>
                <w:color w:val="0000EE"/>
                <w:w w:val="99"/>
              </w:rPr>
              <w:t>First Quarter 2026 Earnings Supplemental Presentation dated May 7, 2026.</w:t>
            </w:r>
          </w:p>
        </w:tc>
        <w:tc>
          <w:tcPr>
            <w:tcW w:w="5320" w:type="dxa"/>
            <w:vAlign w:val="bottom"/>
          </w:tcPr>
          <w:p>
            <w:pPr>
              <w:spacing w:after="0"/>
              <w:rPr>
                <w:sz w:val="13"/>
                <w:szCs w:val="13"/>
                <w:color w:val="auto"/>
              </w:rPr>
            </w:pPr>
          </w:p>
        </w:tc>
      </w:tr>
    </w:tbl>
    <w:p>
      <w:pPr>
        <w:spacing w:after="0" w:line="7" w:lineRule="exact"/>
        <w:rPr>
          <w:sz w:val="20"/>
          <w:szCs w:val="20"/>
          <w:color w:val="auto"/>
        </w:rPr>
      </w:pPr>
    </w:p>
    <w:p>
      <w:pPr>
        <w:ind w:left="5584" w:right="5020" w:hanging="5584"/>
        <w:spacing w:after="0" w:line="543" w:lineRule="auto"/>
        <w:tabs>
          <w:tab w:leader="none" w:pos="1131"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-236855</wp:posOffset>
            </wp:positionV>
            <wp:extent cx="7148195" cy="121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248285</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2" w:name="page3"/>
    <w:bookmarkEnd w:id="2"/>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CHICAGO ATLANTIC REAL ESTATE FINANCE, INC.</w:t>
      </w:r>
    </w:p>
    <w:p>
      <w:pPr>
        <w:spacing w:after="0" w:line="19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6"/>
          <w:szCs w:val="16"/>
          <w:color w:val="auto"/>
        </w:rPr>
        <w:t>Date: May 7, 2026</w:t>
      </w:r>
      <w:r>
        <w:rPr>
          <w:sz w:val="20"/>
          <w:szCs w:val="20"/>
          <w:color w:val="auto"/>
        </w:rPr>
        <w:tab/>
      </w:r>
      <w:r>
        <w:rPr>
          <w:rFonts w:ascii="Times New Roman" w:cs="Times New Roman" w:eastAsia="Times New Roman" w:hAnsi="Times New Roman"/>
          <w:sz w:val="16"/>
          <w:szCs w:val="16"/>
          <w:color w:val="auto"/>
        </w:rPr>
        <w:t>By:  /s/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15240</wp:posOffset>
            </wp:positionV>
            <wp:extent cx="264096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40965" cy="15240"/>
                    </a:xfrm>
                    <a:prstGeom prst="rect">
                      <a:avLst/>
                    </a:prstGeom>
                    <a:noFill/>
                  </pic:spPr>
                </pic:pic>
              </a:graphicData>
            </a:graphic>
          </wp:anchor>
        </w:drawing>
      </w:r>
    </w:p>
    <w:p>
      <w:pPr>
        <w:spacing w:after="0" w:line="1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6"/>
          <w:szCs w:val="16"/>
          <w:color w:val="auto"/>
        </w:rPr>
        <w:t>Peter Sack, Co-Chief Executive Officer</w:t>
      </w:r>
    </w:p>
    <w:p>
      <w:pPr>
        <w:spacing w:after="0" w:line="39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820"/>
          </w:cols>
          <w:pgMar w:left="320" w:top="814"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3062605</wp:posOffset>
            </wp:positionH>
            <wp:positionV relativeFrom="paragraph">
              <wp:posOffset>137795</wp:posOffset>
            </wp:positionV>
            <wp:extent cx="1069975" cy="7664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69975" cy="766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6"/>
          <w:szCs w:val="16"/>
          <w:b w:val="1"/>
          <w:bCs w:val="1"/>
          <w:color w:val="auto"/>
        </w:rPr>
        <w:t>Chicago Atlantic Real Estate Finance Announces First Quarter 2026 Financial Results</w:t>
      </w:r>
    </w:p>
    <w:p>
      <w:pPr>
        <w:spacing w:after="0" w:line="200" w:lineRule="exact"/>
        <w:rPr>
          <w:sz w:val="20"/>
          <w:szCs w:val="20"/>
          <w:color w:val="auto"/>
        </w:rPr>
      </w:pPr>
    </w:p>
    <w:p>
      <w:pPr>
        <w:ind w:right="600"/>
        <w:spacing w:after="0" w:line="280" w:lineRule="auto"/>
        <w:rPr>
          <w:sz w:val="20"/>
          <w:szCs w:val="20"/>
          <w:color w:val="auto"/>
        </w:rPr>
      </w:pPr>
      <w:r>
        <w:rPr>
          <w:rFonts w:ascii="Times New Roman" w:cs="Times New Roman" w:eastAsia="Times New Roman" w:hAnsi="Times New Roman"/>
          <w:sz w:val="16"/>
          <w:szCs w:val="16"/>
          <w:color w:val="auto"/>
        </w:rPr>
        <w:t>CHICAGO— (May 7, 2026) Chicago Atlantic Real Estate Finance, Inc. (NASDAQ: REFI) (“Chicago Atlantic” or the “Company”), a commercial mortgage real estate investment trust, today announced its financial results for the first quarter ended March 31, 2026.</w:t>
      </w:r>
    </w:p>
    <w:p>
      <w:pPr>
        <w:spacing w:after="0" w:line="14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6"/>
          <w:szCs w:val="16"/>
          <w:color w:val="auto"/>
        </w:rPr>
        <w:t>Peter Sack, Co-Chief Executive Officer, noted, “Chicago Atlantic delivered stable results for the first quarter of 2026 in an unstable macro environment by continuing to differentiate ourselves from other capital providers. Sourcing loans with shorter durations that are not broadly marketed and backed by operators and facilities that are profitable and diversified across geographies and distribution channels has kept our portfolio relatively insulated from the current pressures impacting the broader private credit markets. With 100% of our loans protected by either fixed rates or floating rates with floors at or above the Prime rate, we have been able to generate a consistent weighted average portfolio yield. We remain encouraged by opportunities for the cannabis industry, and the rescheduling of medical cannabis from Schedule I to Schedule III by an order of the Federal government last month marks the most significant federal policy for the industry in its history. We expect this order, when implemented, to strengthen operator balance sheets and improve cash flows which would improve the credit profiles of our borrowers. We look forward to the establishment of a framework in upcoming months for the new policy.”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Quarterly Results of Operations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8"/>
        </w:trPr>
        <w:tc>
          <w:tcPr>
            <w:tcW w:w="45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8"/>
              </w:rPr>
              <w:t>For the three months ended</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7"/>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6"/>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gridSpan w:val="6"/>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4"/>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20" w:type="dxa"/>
            <w:vAlign w:val="bottom"/>
          </w:tcPr>
          <w:p>
            <w:pPr>
              <w:spacing w:after="0"/>
              <w:rPr>
                <w:sz w:val="18"/>
                <w:szCs w:val="18"/>
                <w:color w:val="auto"/>
              </w:rPr>
            </w:pPr>
          </w:p>
        </w:tc>
      </w:tr>
      <w:tr>
        <w:trPr>
          <w:trHeight w:val="173"/>
        </w:trPr>
        <w:tc>
          <w:tcPr>
            <w:tcW w:w="45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tcPr>
          <w:p>
            <w:pPr>
              <w:jc w:val="right"/>
              <w:ind w:right="460"/>
              <w:spacing w:after="0" w:line="173" w:lineRule="exact"/>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tcPr>
          <w:p>
            <w:pPr>
              <w:jc w:val="right"/>
              <w:ind w:right="460"/>
              <w:spacing w:after="0" w:line="173" w:lineRule="exact"/>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jc w:val="right"/>
              <w:ind w:right="540"/>
              <w:spacing w:after="0" w:line="173" w:lineRule="exact"/>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14"/>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7"/>
              </w:rPr>
              <w:t>Per Share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7"/>
              </w:rPr>
              <w:t>Per Share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7"/>
              </w:rPr>
              <w:t>Per Share</w:t>
            </w:r>
          </w:p>
        </w:tc>
      </w:tr>
      <w:tr>
        <w:trPr>
          <w:trHeight w:val="191"/>
        </w:trPr>
        <w:tc>
          <w:tcPr>
            <w:tcW w:w="4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RESULTS</w:t>
            </w: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interest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13,124,086</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0.61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14,238,203</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0.66</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13,041,933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0.61</w:t>
            </w:r>
          </w:p>
        </w:tc>
      </w:tr>
      <w:tr>
        <w:trPr>
          <w:trHeight w:val="191"/>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Total expenses before provision for expected credit losses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4,239,871</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0.20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5,981,137</w:t>
            </w:r>
          </w:p>
        </w:tc>
        <w:tc>
          <w:tcPr>
            <w:tcW w:w="180" w:type="dxa"/>
            <w:vAlign w:val="bottom"/>
          </w:tcPr>
          <w:p>
            <w:pPr>
              <w:spacing w:after="0"/>
              <w:rPr>
                <w:sz w:val="16"/>
                <w:szCs w:val="16"/>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0.28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4,073,897</w:t>
            </w:r>
          </w:p>
        </w:tc>
        <w:tc>
          <w:tcPr>
            <w:tcW w:w="2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0.19</w:t>
            </w:r>
          </w:p>
        </w:tc>
      </w:tr>
      <w:tr>
        <w:trPr>
          <w:trHeight w:val="191"/>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4,840,364</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0.23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8,157,249</w:t>
            </w:r>
          </w:p>
        </w:tc>
        <w:tc>
          <w:tcPr>
            <w:tcW w:w="18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0.38</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10,041,312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0.47</w:t>
            </w:r>
          </w:p>
        </w:tc>
      </w:tr>
      <w:tr>
        <w:trPr>
          <w:trHeight w:val="191"/>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(Benefit) provision for current expected credit losses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3,837,851</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0.18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99,817</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0.00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(1,073,276)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(0.05)</w:t>
            </w:r>
          </w:p>
        </w:tc>
      </w:tr>
      <w:tr>
        <w:trPr>
          <w:trHeight w:val="191"/>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Distributable earnings - 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9,833,020</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0.47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9,251,310</w:t>
            </w:r>
          </w:p>
        </w:tc>
        <w:tc>
          <w:tcPr>
            <w:tcW w:w="18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0.44</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9,727,657</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0.47</w:t>
            </w:r>
          </w:p>
        </w:tc>
      </w:tr>
      <w:tr>
        <w:trPr>
          <w:trHeight w:val="191"/>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Distributable earnings -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9,833,020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0.46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9,251,310</w:t>
            </w:r>
          </w:p>
        </w:tc>
        <w:tc>
          <w:tcPr>
            <w:tcW w:w="180" w:type="dxa"/>
            <w:vAlign w:val="bottom"/>
          </w:tcPr>
          <w:p>
            <w:pPr>
              <w:spacing w:after="0"/>
              <w:rPr>
                <w:sz w:val="16"/>
                <w:szCs w:val="16"/>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0.43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9,727,657</w:t>
            </w:r>
          </w:p>
        </w:tc>
        <w:tc>
          <w:tcPr>
            <w:tcW w:w="2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0.46</w:t>
            </w:r>
          </w:p>
        </w:tc>
      </w:tr>
      <w:tr>
        <w:trPr>
          <w:trHeight w:val="191"/>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weighted average shares of common stock outstanding</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21,484,118</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21,485,739</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21,264,891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r>
      <w:tr>
        <w:trPr>
          <w:trHeight w:val="191"/>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Regular dividends declared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9,907,728</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0.47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9,907,728</w:t>
            </w:r>
          </w:p>
        </w:tc>
        <w:tc>
          <w:tcPr>
            <w:tcW w:w="180" w:type="dxa"/>
            <w:vAlign w:val="bottom"/>
          </w:tcPr>
          <w:p>
            <w:pPr>
              <w:spacing w:after="0"/>
              <w:rPr>
                <w:sz w:val="16"/>
                <w:szCs w:val="16"/>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9,820,079</w:t>
            </w:r>
          </w:p>
        </w:tc>
        <w:tc>
          <w:tcPr>
            <w:tcW w:w="2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0.47</w:t>
            </w:r>
          </w:p>
        </w:tc>
      </w:tr>
      <w:tr>
        <w:trPr>
          <w:trHeight w:val="191"/>
        </w:trPr>
        <w:tc>
          <w:tcPr>
            <w:tcW w:w="4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4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PORTFOLIO PERFORMANCE</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loan principal outstanding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413,589,833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411,075,088</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407,011,816</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Portfolio companies</w:t>
            </w:r>
          </w:p>
        </w:tc>
        <w:tc>
          <w:tcPr>
            <w:tcW w:w="1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Unfunded commitments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4,450,293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31,116,960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19,795,000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Gross unlevered weighted average yield to maturity</w:t>
            </w:r>
          </w:p>
        </w:tc>
        <w:tc>
          <w:tcPr>
            <w:tcW w:w="10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Aggregate loan portfolio bearing a variable interest rate</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64.8%</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62.4%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Book value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14.39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14.60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Debt/equity ratio</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601"/>
        </w:trPr>
        <w:tc>
          <w:tcPr>
            <w:tcW w:w="4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121" w:right="31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6"/>
          <w:szCs w:val="16"/>
          <w:b w:val="1"/>
          <w:bCs w:val="1"/>
          <w:color w:val="auto"/>
        </w:rPr>
        <w:t>Portfolio Activity</w:t>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following table summarizes the Company’s primary investment activities:</w:t>
      </w:r>
    </w:p>
    <w:p>
      <w:pPr>
        <w:spacing w:after="0" w:line="1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p>
      <w:pPr>
        <w:spacing w:after="0" w:line="26" w:lineRule="exact"/>
        <w:rPr>
          <w:sz w:val="20"/>
          <w:szCs w:val="20"/>
          <w:color w:val="auto"/>
        </w:rPr>
      </w:pPr>
    </w:p>
    <w:tbl>
      <w:tblPr>
        <w:tblLayout w:type="fixed"/>
        <w:tblInd w:w="4" w:type="dxa"/>
        <w:tblCellMar>
          <w:top w:w="0" w:type="dxa"/>
          <w:left w:w="0" w:type="dxa"/>
          <w:bottom w:w="0" w:type="dxa"/>
          <w:right w:w="0" w:type="dxa"/>
        </w:tblCellMar>
      </w:tblPr>
      <w:tr>
        <w:trPr>
          <w:trHeight w:val="177"/>
        </w:trPr>
        <w:tc>
          <w:tcPr>
            <w:tcW w:w="9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tcPr>
          <w:p>
            <w:pPr>
              <w:jc w:val="right"/>
              <w:ind w:right="260"/>
              <w:spacing w:after="0" w:line="177" w:lineRule="exact"/>
              <w:rPr>
                <w:sz w:val="20"/>
                <w:szCs w:val="20"/>
                <w:color w:val="auto"/>
              </w:rPr>
            </w:pPr>
            <w:r>
              <w:rPr>
                <w:rFonts w:ascii="Times New Roman" w:cs="Times New Roman" w:eastAsia="Times New Roman" w:hAnsi="Times New Roman"/>
                <w:sz w:val="16"/>
                <w:szCs w:val="16"/>
                <w:b w:val="1"/>
                <w:bCs w:val="1"/>
                <w:color w:val="auto"/>
              </w:rPr>
              <w:t>Portfolio</w:t>
            </w:r>
          </w:p>
        </w:tc>
      </w:tr>
      <w:tr>
        <w:trPr>
          <w:trHeight w:val="214"/>
        </w:trPr>
        <w:tc>
          <w:tcPr>
            <w:tcW w:w="91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Companies</w:t>
            </w:r>
          </w:p>
        </w:tc>
      </w:tr>
      <w:tr>
        <w:trPr>
          <w:trHeight w:val="191"/>
        </w:trPr>
        <w:tc>
          <w:tcPr>
            <w:tcW w:w="9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Loans Outstanding December 31, 2025</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$ 411,075,088</w:t>
            </w: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top w:val="single" w:sz="8" w:color="CCEEFF"/>
            </w:tcBorders>
            <w:shd w:val="clear" w:color="auto" w:fill="CCEEFF"/>
          </w:tcPr>
          <w:p>
            <w:pPr>
              <w:spacing w:after="0"/>
              <w:rPr>
                <w:sz w:val="16"/>
                <w:szCs w:val="16"/>
                <w:color w:val="auto"/>
              </w:rPr>
            </w:pPr>
          </w:p>
        </w:tc>
      </w:tr>
      <w:tr>
        <w:trPr>
          <w:trHeight w:val="227"/>
        </w:trPr>
        <w:tc>
          <w:tcPr>
            <w:tcW w:w="9120" w:type="dxa"/>
            <w:vAlign w:val="bottom"/>
          </w:tcPr>
          <w:p>
            <w:pPr>
              <w:spacing w:after="0" w:line="227" w:lineRule="exact"/>
              <w:rPr>
                <w:sz w:val="20"/>
                <w:szCs w:val="20"/>
                <w:color w:val="auto"/>
              </w:rPr>
            </w:pPr>
            <w:r>
              <w:rPr>
                <w:rFonts w:ascii="Times New Roman" w:cs="Times New Roman" w:eastAsia="Times New Roman" w:hAnsi="Times New Roman"/>
                <w:sz w:val="16"/>
                <w:szCs w:val="16"/>
                <w:b w:val="1"/>
                <w:bCs w:val="1"/>
                <w:color w:val="auto"/>
              </w:rPr>
              <w:t>Principal Advances</w:t>
            </w:r>
            <w:r>
              <w:rPr>
                <w:rFonts w:ascii="Times New Roman" w:cs="Times New Roman" w:eastAsia="Times New Roman" w:hAnsi="Times New Roman"/>
                <w:sz w:val="26"/>
                <w:szCs w:val="26"/>
                <w:b w:val="1"/>
                <w:bCs w:val="1"/>
                <w:color w:val="auto"/>
                <w:vertAlign w:val="superscript"/>
              </w:rPr>
              <w:t>1</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91"/>
        </w:trPr>
        <w:tc>
          <w:tcPr>
            <w:tcW w:w="9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New portfolio companies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16,211,500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9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Existing portfolio companies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37,868,649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r>
      <w:tr>
        <w:trPr>
          <w:trHeight w:val="191"/>
        </w:trPr>
        <w:tc>
          <w:tcPr>
            <w:tcW w:w="91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54,080,149</w:t>
            </w: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9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Scheduled Principal Repayments</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9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New portfolio companies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7"/>
        </w:trPr>
        <w:tc>
          <w:tcPr>
            <w:tcW w:w="9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Existing portfolio companies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(3,349,541)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w:t>
            </w:r>
          </w:p>
        </w:tc>
      </w:tr>
      <w:tr>
        <w:trPr>
          <w:trHeight w:val="191"/>
        </w:trPr>
        <w:tc>
          <w:tcPr>
            <w:tcW w:w="91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(3,349,541)</w:t>
            </w: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9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Unscheduled Principal Repayments</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9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New portfolio companies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7"/>
        </w:trPr>
        <w:tc>
          <w:tcPr>
            <w:tcW w:w="9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Existing portfolio companies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(48,215,862)</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r>
      <w:tr>
        <w:trPr>
          <w:trHeight w:val="191"/>
        </w:trPr>
        <w:tc>
          <w:tcPr>
            <w:tcW w:w="91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(48,215,862)</w:t>
            </w: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9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3"/>
        </w:trPr>
        <w:tc>
          <w:tcPr>
            <w:tcW w:w="9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change in principal outstanding</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2,514,745</w:t>
            </w: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r>
      <w:tr>
        <w:trPr>
          <w:trHeight w:val="203"/>
        </w:trPr>
        <w:tc>
          <w:tcPr>
            <w:tcW w:w="9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Loans Outstanding March 31, 2026</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$ 413,589,833</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7"/>
                <w:szCs w:val="17"/>
                <w:color w:val="auto"/>
              </w:rPr>
            </w:pPr>
          </w:p>
        </w:tc>
      </w:tr>
      <w:tr>
        <w:trPr>
          <w:trHeight w:val="20"/>
        </w:trPr>
        <w:tc>
          <w:tcPr>
            <w:tcW w:w="9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60" w:lineRule="exact"/>
        <w:rPr>
          <w:sz w:val="20"/>
          <w:szCs w:val="20"/>
          <w:color w:val="auto"/>
        </w:rPr>
      </w:pPr>
    </w:p>
    <w:p>
      <w:pPr>
        <w:ind w:left="284" w:hanging="284"/>
        <w:spacing w:after="0"/>
        <w:tabs>
          <w:tab w:leader="none" w:pos="284"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Principal advances include capitalized paid-in-kind (“PIK”) interest and/or other fees, if any, that were capitalized to the outstanding loan balance of the subject loan(s).</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Capital Activity</w:t>
      </w:r>
    </w:p>
    <w:p>
      <w:pPr>
        <w:spacing w:after="0" w:line="200" w:lineRule="exact"/>
        <w:rPr>
          <w:sz w:val="20"/>
          <w:szCs w:val="20"/>
          <w:color w:val="auto"/>
        </w:rPr>
      </w:pPr>
    </w:p>
    <w:p>
      <w:pPr>
        <w:ind w:left="564" w:right="380" w:hanging="278"/>
        <w:spacing w:after="0" w:line="280" w:lineRule="auto"/>
        <w:tabs>
          <w:tab w:leader="none" w:pos="56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2026, the Company had approximately $117.1 million of total drawn leverage, comprised of $67.1 million drawn on the secured revolving credit facility and $50.0 million of outstanding senior unsecured notes due 2028.</w:t>
      </w:r>
    </w:p>
    <w:p>
      <w:pPr>
        <w:spacing w:after="0" w:line="144" w:lineRule="exact"/>
        <w:rPr>
          <w:rFonts w:ascii="Times New Roman" w:cs="Times New Roman" w:eastAsia="Times New Roman" w:hAnsi="Times New Roman"/>
          <w:sz w:val="16"/>
          <w:szCs w:val="16"/>
          <w:color w:val="auto"/>
        </w:rPr>
      </w:pPr>
    </w:p>
    <w:p>
      <w:pPr>
        <w:ind w:left="564" w:right="240" w:hanging="278"/>
        <w:spacing w:after="0" w:line="260" w:lineRule="auto"/>
        <w:tabs>
          <w:tab w:leader="none" w:pos="56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May 7, 2026, the Company has $59.0 million available on its secured revolving credit facility, and total liquidity, net of estimated liabilities, of approximately $54 million.</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2026 Outlook</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Chicago Atlantic offered the following outlook for full year 2026:</w:t>
      </w:r>
    </w:p>
    <w:p>
      <w:pPr>
        <w:spacing w:after="0" w:line="198" w:lineRule="exact"/>
        <w:rPr>
          <w:sz w:val="20"/>
          <w:szCs w:val="20"/>
          <w:color w:val="auto"/>
        </w:rPr>
      </w:pPr>
    </w:p>
    <w:p>
      <w:pPr>
        <w:ind w:left="564" w:right="40" w:hanging="278"/>
        <w:spacing w:after="0" w:line="280" w:lineRule="auto"/>
        <w:tabs>
          <w:tab w:leader="none" w:pos="56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expects to maintain a dividend payout ratio based on Distributable Earnings per weighted average diluted share of approximately 90% to 100% on a full year basis.</w:t>
      </w:r>
    </w:p>
    <w:p>
      <w:pPr>
        <w:spacing w:after="0" w:line="144" w:lineRule="exact"/>
        <w:rPr>
          <w:rFonts w:ascii="Times New Roman" w:cs="Times New Roman" w:eastAsia="Times New Roman" w:hAnsi="Times New Roman"/>
          <w:sz w:val="16"/>
          <w:szCs w:val="16"/>
          <w:color w:val="auto"/>
        </w:rPr>
      </w:pPr>
    </w:p>
    <w:p>
      <w:pPr>
        <w:ind w:left="564" w:right="420" w:hanging="278"/>
        <w:spacing w:after="0" w:line="280" w:lineRule="auto"/>
        <w:tabs>
          <w:tab w:leader="none" w:pos="56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Company’s taxable income requires additional distribution in excess of the regular quarterly dividend, in order to meet its 2026 taxable income distribution requirements, the Company expects to meet that requirement with a special dividend in the fourth quarter of 2026.</w:t>
      </w:r>
    </w:p>
    <w:p>
      <w:pPr>
        <w:spacing w:after="0" w:line="33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Conference Call and Quarterly Earnings Supplemental Details</w:t>
      </w:r>
    </w:p>
    <w:p>
      <w:pPr>
        <w:spacing w:after="0" w:line="20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Chicago Atlantic will host a conference call and live audio webcast, both open for the general public to hear, later today at 9:00 a.m. Eastern Time. The number to call for this interactive teleconference is (833) 630-1956 (international callers: 412-317-1837). The live audio webcast of the Company’s quarterly conference call will be available online in the Investor Relations section of the Company’s website at www.refi.reit. The online replay will be available approximately one hour after the end of the call and archived for one year.</w:t>
      </w:r>
    </w:p>
    <w:p>
      <w:pPr>
        <w:spacing w:after="0" w:line="162"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5"/>
          <w:szCs w:val="15"/>
          <w:color w:val="auto"/>
        </w:rPr>
        <w:t>Chicago Atlantic posted its First Quarter 2026 Earnings Supplemental on the Investor Relations page of its website. Chicago Atlantic routinely posts important information for investors on its website, www.refi.reit. The Company intends to use this website as a means of disclosing material information, for complying with our disclosure obligations under Regulation FD and to post and update investor presentations and similar materials on a regular basis. The Company encourages investors, analysts, the media and others interested in Chicago Atlantic to monitor the Investor Relations page of its website, in addition to following its press releases, SEC filings, publicly available earnings calls, presentations, webcasts and other information posted from time to time on the website. Please visit the IR Resources section of the website to sign up for email notifications.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Chicago Atlantic Real Estate Finance, Inc.</w:t>
      </w:r>
    </w:p>
    <w:p>
      <w:pPr>
        <w:spacing w:after="0" w:line="200"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6"/>
          <w:szCs w:val="16"/>
          <w:u w:val="single" w:color="auto"/>
          <w:color w:val="auto"/>
        </w:rPr>
        <w:t>Chicago Atlantic Real Estate Finance, Inc</w:t>
      </w:r>
      <w:r>
        <w:rPr>
          <w:rFonts w:ascii="Times New Roman" w:cs="Times New Roman" w:eastAsia="Times New Roman" w:hAnsi="Times New Roman"/>
          <w:sz w:val="16"/>
          <w:szCs w:val="16"/>
          <w:color w:val="auto"/>
        </w:rPr>
        <w:t>. (NASDAQ: REFI) is a market-leading commercial mortgage REIT utilizing significant real estate, credit and cannabis expertise to originate senior secured loans primarily to state-licensed cannabis operators in limited-license states in the United States. REFI is part of the Chicago Atlantic platform, which has offices in Chicago, Miami, New York, and London.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6"/>
          <w:szCs w:val="16"/>
          <w:color w:val="auto"/>
        </w:rPr>
        <w:t>This release contains forward-looking statements within the meaning of the Private Securities Litigation Reform Act of 1995 that reflect our current views and projections with respect to, among other things, future events and financial performance. Words such as “believes,” “expects,” “will,” “intends,” “plans,” “guidance,” “estimates,” “projects,” “anticipates,” and “future” or similar expressions are intended to identify forward- looking statements. These forward-looking statements, including statements about our future growth and strategies for such growth, are subject to the inherent uncertainties in predicting future results and conditions and are not guarantees of future performance, conditions or results. More information on these risks and other potential factors that could affect our business and financial results is included in our filings with the SEC. New risks and uncertainties arise over time, and it is not possible to predict those events or how they may affect us. We do not undertake any obligation to publicly update or revise any forward-looking statements, whether as a result of new information, future events or otherwise, except as required by law.</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Contact: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Tripp Sullivan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Lisa Kampf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SCR Partners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IR@REFI.reit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Loans held for investment</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Loans held for investment - related party</w:t>
      </w:r>
    </w:p>
    <w:p>
      <w:pPr>
        <w:spacing w:after="0" w:line="26" w:lineRule="exact"/>
        <w:rPr>
          <w:sz w:val="20"/>
          <w:szCs w:val="20"/>
          <w:color w:val="auto"/>
        </w:rPr>
      </w:pPr>
    </w:p>
    <w:p>
      <w:pPr>
        <w:ind w:left="140" w:right="240" w:firstLine="143"/>
        <w:spacing w:after="0" w:line="272" w:lineRule="auto"/>
        <w:rPr>
          <w:sz w:val="20"/>
          <w:szCs w:val="20"/>
          <w:color w:val="auto"/>
        </w:rPr>
      </w:pPr>
      <w:r>
        <w:rPr>
          <w:rFonts w:ascii="Times New Roman" w:cs="Times New Roman" w:eastAsia="Times New Roman" w:hAnsi="Times New Roman"/>
          <w:sz w:val="16"/>
          <w:szCs w:val="16"/>
          <w:color w:val="auto"/>
        </w:rPr>
        <w:t>Loans held for investment, at carrying value Current expected credit loss reserve</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Loans held for investment at carrying value, net</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Interest receivable</w:t>
      </w:r>
    </w:p>
    <w:p>
      <w:pPr>
        <w:spacing w:after="0" w:line="7" w:lineRule="exact"/>
        <w:rPr>
          <w:sz w:val="20"/>
          <w:szCs w:val="20"/>
          <w:color w:val="auto"/>
        </w:rPr>
      </w:pPr>
    </w:p>
    <w:p>
      <w:pPr>
        <w:ind w:left="140" w:right="1120"/>
        <w:spacing w:after="0" w:line="252" w:lineRule="auto"/>
        <w:rPr>
          <w:sz w:val="20"/>
          <w:szCs w:val="20"/>
          <w:color w:val="auto"/>
        </w:rPr>
      </w:pPr>
      <w:r>
        <w:rPr>
          <w:rFonts w:ascii="Times New Roman" w:cs="Times New Roman" w:eastAsia="Times New Roman" w:hAnsi="Times New Roman"/>
          <w:sz w:val="16"/>
          <w:szCs w:val="16"/>
          <w:color w:val="auto"/>
        </w:rPr>
        <w:t>Other receivables and assets, net Related party receivables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 Assets</w:t>
      </w:r>
    </w:p>
    <w:p>
      <w:pPr>
        <w:spacing w:after="0" w:line="20" w:lineRule="exact"/>
        <w:rPr>
          <w:sz w:val="20"/>
          <w:szCs w:val="20"/>
          <w:color w:val="auto"/>
        </w:rPr>
      </w:pPr>
      <w:r>
        <w:rPr>
          <w:sz w:val="20"/>
          <w:szCs w:val="20"/>
          <w:color w:val="auto"/>
        </w:rPr>
        <w:br w:type="column"/>
      </w:r>
    </w:p>
    <w:p>
      <w:pPr>
        <w:jc w:val="center"/>
        <w:ind w:right="3660"/>
        <w:spacing w:after="0"/>
        <w:rPr>
          <w:sz w:val="20"/>
          <w:szCs w:val="20"/>
          <w:color w:val="auto"/>
        </w:rPr>
      </w:pPr>
      <w:r>
        <w:rPr>
          <w:rFonts w:ascii="Times New Roman" w:cs="Times New Roman" w:eastAsia="Times New Roman" w:hAnsi="Times New Roman"/>
          <w:sz w:val="15"/>
          <w:szCs w:val="15"/>
          <w:b w:val="1"/>
          <w:bCs w:val="1"/>
          <w:color w:val="auto"/>
        </w:rPr>
        <w:t>CHICAGO ATLANTIC REAL ESTATE FINANCE, INC.</w:t>
      </w:r>
    </w:p>
    <w:p>
      <w:pPr>
        <w:spacing w:after="0" w:line="37" w:lineRule="exact"/>
        <w:rPr>
          <w:sz w:val="20"/>
          <w:szCs w:val="20"/>
          <w:color w:val="auto"/>
        </w:rPr>
      </w:pPr>
    </w:p>
    <w:p>
      <w:pPr>
        <w:jc w:val="center"/>
        <w:ind w:right="366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180"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6" w:lineRule="exact"/>
        <w:rPr>
          <w:sz w:val="20"/>
          <w:szCs w:val="20"/>
          <w:color w:val="auto"/>
        </w:rPr>
      </w:pPr>
    </w:p>
    <w:p>
      <w:pPr>
        <w:ind w:left="5080"/>
        <w:spacing w:after="0"/>
        <w:tabs>
          <w:tab w:leader="none" w:pos="6780" w:val="left"/>
        </w:tabs>
        <w:rPr>
          <w:sz w:val="20"/>
          <w:szCs w:val="20"/>
          <w:color w:val="auto"/>
        </w:rPr>
      </w:pPr>
      <w:r>
        <w:rPr>
          <w:rFonts w:ascii="Times New Roman" w:cs="Times New Roman" w:eastAsia="Times New Roman" w:hAnsi="Times New Roman"/>
          <w:sz w:val="16"/>
          <w:szCs w:val="16"/>
          <w:b w:val="1"/>
          <w:bCs w:val="1"/>
          <w:u w:val="single" w:color="auto"/>
          <w:color w:val="auto"/>
        </w:rPr>
        <w:t>March 31, 2026</w:t>
      </w:r>
      <w:r>
        <w:rPr>
          <w:sz w:val="20"/>
          <w:szCs w:val="20"/>
          <w:color w:val="auto"/>
        </w:rPr>
        <w:tab/>
      </w:r>
      <w:r>
        <w:rPr>
          <w:rFonts w:ascii="Times New Roman" w:cs="Times New Roman" w:eastAsia="Times New Roman" w:hAnsi="Times New Roman"/>
          <w:sz w:val="15"/>
          <w:szCs w:val="15"/>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4445</wp:posOffset>
            </wp:positionV>
            <wp:extent cx="70548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5485" cy="15240"/>
                    </a:xfrm>
                    <a:prstGeom prst="rect">
                      <a:avLst/>
                    </a:prstGeom>
                    <a:noFill/>
                  </pic:spPr>
                </pic:pic>
              </a:graphicData>
            </a:graphic>
          </wp:anchor>
        </w:drawing>
      </w:r>
    </w:p>
    <w:p>
      <w:pPr>
        <w:ind w:left="520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tbl>
      <w:tblPr>
        <w:tblLayout w:type="fixed"/>
        <w:tblInd w:w="5040" w:type="dxa"/>
        <w:tblCellMar>
          <w:top w:w="0" w:type="dxa"/>
          <w:left w:w="0" w:type="dxa"/>
          <w:bottom w:w="0" w:type="dxa"/>
          <w:right w:w="0" w:type="dxa"/>
        </w:tblCellMar>
      </w:tblPr>
      <w:tr>
        <w:trPr>
          <w:trHeight w:val="203"/>
        </w:trPr>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332,462,151</w:t>
            </w:r>
          </w:p>
        </w:tc>
        <w:tc>
          <w:tcPr>
            <w:tcW w:w="240" w:type="dxa"/>
            <w:vAlign w:val="bottom"/>
          </w:tcPr>
          <w:p>
            <w:pPr>
              <w:spacing w:after="0"/>
              <w:rPr>
                <w:sz w:val="17"/>
                <w:szCs w:val="17"/>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332,772,244</w:t>
            </w:r>
          </w:p>
        </w:tc>
        <w:tc>
          <w:tcPr>
            <w:tcW w:w="60" w:type="dxa"/>
            <w:vAlign w:val="bottom"/>
          </w:tcPr>
          <w:p>
            <w:pPr>
              <w:spacing w:after="0"/>
              <w:rPr>
                <w:sz w:val="17"/>
                <w:szCs w:val="17"/>
                <w:color w:val="auto"/>
              </w:rPr>
            </w:pPr>
          </w:p>
        </w:tc>
      </w:tr>
      <w:tr>
        <w:trPr>
          <w:trHeight w:val="212"/>
        </w:trPr>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76,775,335</w:t>
            </w: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76,183,323</w:t>
            </w:r>
          </w:p>
        </w:tc>
      </w:tr>
      <w:tr>
        <w:trPr>
          <w:trHeight w:val="175"/>
        </w:trPr>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409,237,486</w:t>
            </w: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408,955,567</w:t>
            </w:r>
          </w:p>
        </w:tc>
        <w:tc>
          <w:tcPr>
            <w:tcW w:w="60" w:type="dxa"/>
            <w:vAlign w:val="bottom"/>
          </w:tcPr>
          <w:p>
            <w:pPr>
              <w:spacing w:after="0"/>
              <w:rPr>
                <w:sz w:val="15"/>
                <w:szCs w:val="15"/>
                <w:color w:val="auto"/>
              </w:rPr>
            </w:pPr>
          </w:p>
        </w:tc>
      </w:tr>
      <w:tr>
        <w:trPr>
          <w:trHeight w:val="224"/>
        </w:trPr>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(8,680,583)</w:t>
            </w:r>
          </w:p>
        </w:tc>
        <w:tc>
          <w:tcPr>
            <w:tcW w:w="2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(5,062,785)</w:t>
            </w:r>
          </w:p>
        </w:tc>
      </w:tr>
      <w:tr>
        <w:trPr>
          <w:trHeight w:val="175"/>
        </w:trPr>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400,556,903</w:t>
            </w: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403,892,782</w:t>
            </w:r>
          </w:p>
        </w:tc>
        <w:tc>
          <w:tcPr>
            <w:tcW w:w="60" w:type="dxa"/>
            <w:vAlign w:val="bottom"/>
          </w:tcPr>
          <w:p>
            <w:pPr>
              <w:spacing w:after="0"/>
              <w:rPr>
                <w:sz w:val="15"/>
                <w:szCs w:val="15"/>
                <w:color w:val="auto"/>
              </w:rPr>
            </w:pPr>
          </w:p>
        </w:tc>
      </w:tr>
      <w:tr>
        <w:trPr>
          <w:trHeight w:val="191"/>
        </w:trPr>
        <w:tc>
          <w:tcPr>
            <w:tcW w:w="20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27,855,945</w:t>
            </w:r>
          </w:p>
        </w:tc>
        <w:tc>
          <w:tcPr>
            <w:tcW w:w="20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14,948,884</w:t>
            </w:r>
          </w:p>
        </w:tc>
      </w:tr>
      <w:tr>
        <w:trPr>
          <w:trHeight w:val="191"/>
        </w:trPr>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4,907,288</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4,009,800</w:t>
            </w:r>
          </w:p>
        </w:tc>
        <w:tc>
          <w:tcPr>
            <w:tcW w:w="60" w:type="dxa"/>
            <w:vAlign w:val="bottom"/>
          </w:tcPr>
          <w:p>
            <w:pPr>
              <w:spacing w:after="0"/>
              <w:rPr>
                <w:sz w:val="16"/>
                <w:szCs w:val="16"/>
                <w:color w:val="auto"/>
              </w:rPr>
            </w:pPr>
          </w:p>
        </w:tc>
      </w:tr>
      <w:tr>
        <w:trPr>
          <w:trHeight w:val="203"/>
        </w:trPr>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2,562,700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874,245</w:t>
            </w:r>
          </w:p>
        </w:tc>
      </w:tr>
      <w:tr>
        <w:trPr>
          <w:trHeight w:val="212"/>
        </w:trPr>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65,776</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1,189,937</w:t>
            </w:r>
          </w:p>
        </w:tc>
        <w:tc>
          <w:tcPr>
            <w:tcW w:w="60" w:type="dxa"/>
            <w:vAlign w:val="bottom"/>
          </w:tcPr>
          <w:p>
            <w:pPr>
              <w:spacing w:after="0"/>
              <w:rPr>
                <w:sz w:val="18"/>
                <w:szCs w:val="18"/>
                <w:color w:val="auto"/>
              </w:rPr>
            </w:pPr>
          </w:p>
        </w:tc>
      </w:tr>
      <w:tr>
        <w:trPr>
          <w:trHeight w:val="219"/>
        </w:trPr>
        <w:tc>
          <w:tcPr>
            <w:tcW w:w="2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435,948,612</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424,915,648</w:t>
            </w:r>
          </w:p>
        </w:tc>
        <w:tc>
          <w:tcPr>
            <w:tcW w:w="60" w:type="dxa"/>
            <w:vAlign w:val="bottom"/>
          </w:tcPr>
          <w:p>
            <w:pPr>
              <w:spacing w:after="0"/>
              <w:rPr>
                <w:sz w:val="19"/>
                <w:szCs w:val="19"/>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-2313305</wp:posOffset>
            </wp:positionH>
            <wp:positionV relativeFrom="paragraph">
              <wp:posOffset>-1334770</wp:posOffset>
            </wp:positionV>
            <wp:extent cx="7148195" cy="1212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-2313305</wp:posOffset>
            </wp:positionH>
            <wp:positionV relativeFrom="paragraph">
              <wp:posOffset>-1076960</wp:posOffset>
            </wp:positionV>
            <wp:extent cx="714819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28905"/>
                    </a:xfrm>
                    <a:prstGeom prst="rect">
                      <a:avLst/>
                    </a:prstGeom>
                    <a:noFill/>
                  </pic:spPr>
                </pic:pic>
              </a:graphicData>
            </a:graphic>
          </wp:anchor>
        </w:drawing>
        <w:drawing>
          <wp:anchor simplePos="0" relativeHeight="251657728" behindDoc="1" locked="0" layoutInCell="0" allowOverlap="1">
            <wp:simplePos x="0" y="0"/>
            <wp:positionH relativeFrom="column">
              <wp:posOffset>-2313305</wp:posOffset>
            </wp:positionH>
            <wp:positionV relativeFrom="paragraph">
              <wp:posOffset>-811530</wp:posOffset>
            </wp:positionV>
            <wp:extent cx="714819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28905"/>
                    </a:xfrm>
                    <a:prstGeom prst="rect">
                      <a:avLst/>
                    </a:prstGeom>
                    <a:noFill/>
                  </pic:spPr>
                </pic:pic>
              </a:graphicData>
            </a:graphic>
          </wp:anchor>
        </w:drawing>
        <w:drawing>
          <wp:anchor simplePos="0" relativeHeight="251657728" behindDoc="1" locked="0" layoutInCell="0" allowOverlap="1">
            <wp:simplePos x="0" y="0"/>
            <wp:positionH relativeFrom="column">
              <wp:posOffset>-2313305</wp:posOffset>
            </wp:positionH>
            <wp:positionV relativeFrom="paragraph">
              <wp:posOffset>-560705</wp:posOffset>
            </wp:positionV>
            <wp:extent cx="7148195" cy="1212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-2313305</wp:posOffset>
            </wp:positionH>
            <wp:positionV relativeFrom="paragraph">
              <wp:posOffset>-318135</wp:posOffset>
            </wp:positionV>
            <wp:extent cx="7148195" cy="136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3652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340" w:space="300"/>
            <w:col w:w="7620"/>
          </w:cols>
          <w:pgMar w:left="320" w:top="814" w:right="319" w:bottom="1440" w:gutter="0" w:footer="0" w:header="0"/>
        </w:sectPr>
      </w:pPr>
    </w:p>
    <w:tbl>
      <w:tblPr>
        <w:tblLayout w:type="fixed"/>
        <w:tblInd w:w="0" w:type="dxa"/>
        <w:tblCellMar>
          <w:top w:w="0" w:type="dxa"/>
          <w:left w:w="0" w:type="dxa"/>
          <w:bottom w:w="0" w:type="dxa"/>
          <w:right w:w="0" w:type="dxa"/>
        </w:tblCellMar>
      </w:tblPr>
      <w:tr>
        <w:trPr>
          <w:trHeight w:val="171"/>
        </w:trPr>
        <w:tc>
          <w:tcPr>
            <w:tcW w:w="8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8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Revolving loan</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67,050,000</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49,100,000</w:t>
            </w:r>
          </w:p>
        </w:tc>
        <w:tc>
          <w:tcPr>
            <w:tcW w:w="0" w:type="dxa"/>
            <w:vAlign w:val="bottom"/>
          </w:tcPr>
          <w:p>
            <w:pPr>
              <w:spacing w:after="0"/>
              <w:rPr>
                <w:sz w:val="1"/>
                <w:szCs w:val="1"/>
                <w:color w:val="auto"/>
              </w:rPr>
            </w:pPr>
          </w:p>
        </w:tc>
      </w:tr>
      <w:tr>
        <w:trPr>
          <w:trHeight w:val="191"/>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Notes payable, net</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49,393,248</w:t>
            </w: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49,334,459</w:t>
            </w: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 payable</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11,347,028</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11,157,220</w:t>
            </w:r>
          </w:p>
        </w:tc>
        <w:tc>
          <w:tcPr>
            <w:tcW w:w="0" w:type="dxa"/>
            <w:vAlign w:val="bottom"/>
          </w:tcPr>
          <w:p>
            <w:pPr>
              <w:spacing w:after="0"/>
              <w:rPr>
                <w:sz w:val="1"/>
                <w:szCs w:val="1"/>
                <w:color w:val="auto"/>
              </w:rPr>
            </w:pPr>
          </w:p>
        </w:tc>
      </w:tr>
      <w:tr>
        <w:trPr>
          <w:trHeight w:val="191"/>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Related party payables</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1,453,942</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2,214,920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Management and incentive fees payable</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1,719,495</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3,098,576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payable</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310,106</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1,348,334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1,242,135</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834,977</w:t>
            </w:r>
          </w:p>
        </w:tc>
        <w:tc>
          <w:tcPr>
            <w:tcW w:w="0" w:type="dxa"/>
            <w:vAlign w:val="bottom"/>
          </w:tcPr>
          <w:p>
            <w:pPr>
              <w:spacing w:after="0"/>
              <w:rPr>
                <w:sz w:val="1"/>
                <w:szCs w:val="1"/>
                <w:color w:val="auto"/>
              </w:rPr>
            </w:pPr>
          </w:p>
        </w:tc>
      </w:tr>
      <w:tr>
        <w:trPr>
          <w:trHeight w:val="207"/>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reserve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10,000</w:t>
            </w: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12,686</w:t>
            </w:r>
          </w:p>
        </w:tc>
        <w:tc>
          <w:tcPr>
            <w:tcW w:w="0" w:type="dxa"/>
            <w:vAlign w:val="bottom"/>
          </w:tcPr>
          <w:p>
            <w:pPr>
              <w:spacing w:after="0"/>
              <w:rPr>
                <w:sz w:val="1"/>
                <w:szCs w:val="1"/>
                <w:color w:val="auto"/>
              </w:rPr>
            </w:pPr>
          </w:p>
        </w:tc>
      </w:tr>
      <w:tr>
        <w:trPr>
          <w:trHeight w:val="211"/>
        </w:trPr>
        <w:tc>
          <w:tcPr>
            <w:tcW w:w="8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132,525,954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117,101,172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34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34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auto"/>
              </w:rPr>
              <w:t>Common stock, par value $0.01 per share, 100,000,000 shares authorized and 21,080,272 and 21,080,272 shares issued and</w:t>
            </w: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outstanding, respectively</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210,803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210,803</w:t>
            </w:r>
          </w:p>
        </w:tc>
        <w:tc>
          <w:tcPr>
            <w:tcW w:w="0" w:type="dxa"/>
            <w:vAlign w:val="bottom"/>
          </w:tcPr>
          <w:p>
            <w:pPr>
              <w:spacing w:after="0"/>
              <w:rPr>
                <w:sz w:val="1"/>
                <w:szCs w:val="1"/>
                <w:color w:val="auto"/>
              </w:rPr>
            </w:pPr>
          </w:p>
        </w:tc>
      </w:tr>
      <w:tr>
        <w:trPr>
          <w:trHeight w:val="191"/>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paid-in-capital</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323,991,208</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323,125,854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(20,779,353)</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(15,522,181)</w:t>
            </w:r>
          </w:p>
        </w:tc>
        <w:tc>
          <w:tcPr>
            <w:tcW w:w="0" w:type="dxa"/>
            <w:vAlign w:val="bottom"/>
          </w:tcPr>
          <w:p>
            <w:pPr>
              <w:spacing w:after="0"/>
              <w:rPr>
                <w:sz w:val="1"/>
                <w:szCs w:val="1"/>
                <w:color w:val="auto"/>
              </w:rPr>
            </w:pPr>
          </w:p>
        </w:tc>
      </w:tr>
      <w:tr>
        <w:trPr>
          <w:trHeight w:val="179"/>
        </w:trPr>
        <w:tc>
          <w:tcPr>
            <w:tcW w:w="8340" w:type="dxa"/>
            <w:vAlign w:val="bottom"/>
            <w:tcBorders>
              <w:top w:val="single" w:sz="8" w:color="CCEEFF"/>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340" w:type="dxa"/>
            <w:vAlign w:val="bottom"/>
            <w:tcBorders>
              <w:top w:val="single" w:sz="8" w:color="CCEEFF"/>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303,422,658</w:t>
            </w:r>
          </w:p>
        </w:tc>
        <w:tc>
          <w:tcPr>
            <w:tcW w:w="240" w:type="dxa"/>
            <w:vAlign w:val="bottom"/>
            <w:tcBorders>
              <w:top w:val="single" w:sz="8" w:color="CCEEFF"/>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307,814,476</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435,948,612</w:t>
            </w:r>
          </w:p>
        </w:tc>
        <w:tc>
          <w:tcPr>
            <w:tcW w:w="240" w:type="dxa"/>
            <w:vAlign w:val="bottom"/>
          </w:tcPr>
          <w:p>
            <w:pPr>
              <w:spacing w:after="0"/>
              <w:rPr>
                <w:sz w:val="20"/>
                <w:szCs w:val="20"/>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424,915,648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ind w:left="5580"/>
              <w:spacing w:after="0"/>
              <w:rPr>
                <w:sz w:val="20"/>
                <w:szCs w:val="20"/>
                <w:color w:val="auto"/>
              </w:rPr>
            </w:pPr>
            <w:r>
              <w:rPr>
                <w:rFonts w:ascii="Times New Roman" w:cs="Times New Roman" w:eastAsia="Times New Roman" w:hAnsi="Times New Roman"/>
                <w:sz w:val="16"/>
                <w:szCs w:val="16"/>
                <w:color w:val="auto"/>
              </w:rPr>
              <w:t>4</w:t>
            </w: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834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4" w:right="319" w:bottom="1440" w:gutter="0" w:footer="0" w:header="0"/>
          <w:type w:val="continuous"/>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CHICAGO ATLANTIC REAL ESTATE FINANCE, INC.</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INCOME</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80"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p>
      <w:pPr>
        <w:spacing w:after="0" w:line="26"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r>
      <w:tr>
        <w:trPr>
          <w:trHeight w:val="191"/>
        </w:trPr>
        <w:tc>
          <w:tcPr>
            <w:tcW w:w="5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3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15,164,688</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15,107,315</w:t>
            </w:r>
          </w:p>
        </w:tc>
      </w:tr>
      <w:tr>
        <w:trPr>
          <w:trHeight w:val="207"/>
        </w:trPr>
        <w:tc>
          <w:tcPr>
            <w:tcW w:w="5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(2,040,602)</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(2,065,382)</w:t>
            </w:r>
          </w:p>
        </w:tc>
      </w:tr>
      <w:tr>
        <w:trPr>
          <w:trHeight w:val="195"/>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36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13,124,086</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13,041,933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73" w:lineRule="exact"/>
        <w:rPr>
          <w:sz w:val="20"/>
          <w:szCs w:val="20"/>
          <w:color w:val="auto"/>
        </w:rPr>
      </w:pPr>
    </w:p>
    <w:p>
      <w:pPr>
        <w:sectPr>
          <w:pgSz w:w="11900" w:h="16838" w:orient="portrait"/>
          <w:cols w:equalWidth="0" w:num="1">
            <w:col w:w="11260"/>
          </w:cols>
          <w:pgMar w:left="320" w:top="814" w:right="319" w:bottom="1440" w:gutter="0" w:footer="0" w:header="0"/>
        </w:sectPr>
      </w:pPr>
    </w:p>
    <w:p>
      <w:pPr>
        <w:spacing w:after="0"/>
        <w:rPr>
          <w:sz w:val="20"/>
          <w:szCs w:val="20"/>
          <w:color w:val="auto"/>
        </w:rPr>
      </w:pPr>
      <w:r>
        <w:rPr>
          <w:rFonts w:ascii="Times New Roman" w:cs="Times New Roman" w:eastAsia="Times New Roman" w:hAnsi="Times New Roman"/>
          <w:sz w:val="16"/>
          <w:szCs w:val="16"/>
          <w:b w:val="1"/>
          <w:bCs w:val="1"/>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-104140</wp:posOffset>
            </wp:positionV>
            <wp:extent cx="7148195" cy="1212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Management and incentive fees,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212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212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6"/>
          <w:szCs w:val="16"/>
          <w:color w:val="auto"/>
        </w:rPr>
        <w:t>Stock based compensation</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Provision (benefit) for current expected credit losses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148195" cy="151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151765"/>
                    </a:xfrm>
                    <a:prstGeom prst="rect">
                      <a:avLst/>
                    </a:prstGeom>
                    <a:noFill/>
                  </pic:spPr>
                </pic:pic>
              </a:graphicData>
            </a:graphic>
          </wp:anchor>
        </w:drawing>
      </w:r>
    </w:p>
    <w:p>
      <w:pPr>
        <w:spacing w:after="0" w:line="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Change in unrealized loss on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44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144145"/>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Realized gain on debt securities, at fair value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48195" cy="144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144145"/>
                    </a:xfrm>
                    <a:prstGeom prst="rect">
                      <a:avLst/>
                    </a:prstGeom>
                    <a:noFill/>
                  </pic:spPr>
                </pic:pic>
              </a:graphicData>
            </a:graphic>
          </wp:anchor>
        </w:drawing>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Income tax expense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income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480"/>
        <w:spacing w:after="0"/>
        <w:tabs>
          <w:tab w:leader="none" w:pos="1800" w:val="left"/>
        </w:tabs>
        <w:rPr>
          <w:sz w:val="20"/>
          <w:szCs w:val="20"/>
          <w:color w:val="auto"/>
        </w:rPr>
      </w:pPr>
      <w:r>
        <w:rPr>
          <w:rFonts w:ascii="Times New Roman" w:cs="Times New Roman" w:eastAsia="Times New Roman" w:hAnsi="Times New Roman"/>
          <w:sz w:val="16"/>
          <w:szCs w:val="16"/>
          <w:color w:val="auto"/>
        </w:rPr>
        <w:t>1,719,495</w:t>
      </w:r>
      <w:r>
        <w:rPr>
          <w:sz w:val="20"/>
          <w:szCs w:val="20"/>
          <w:color w:val="auto"/>
        </w:rPr>
        <w:tab/>
      </w:r>
      <w:r>
        <w:rPr>
          <w:rFonts w:ascii="Times New Roman" w:cs="Times New Roman" w:eastAsia="Times New Roman" w:hAnsi="Times New Roman"/>
          <w:sz w:val="16"/>
          <w:szCs w:val="16"/>
          <w:color w:val="auto"/>
        </w:rPr>
        <w:t>1,735,533</w:t>
      </w:r>
    </w:p>
    <w:p>
      <w:pPr>
        <w:spacing w:after="0" w:line="24" w:lineRule="exact"/>
        <w:rPr>
          <w:sz w:val="20"/>
          <w:szCs w:val="20"/>
          <w:color w:val="auto"/>
        </w:rPr>
      </w:pPr>
    </w:p>
    <w:p>
      <w:pPr>
        <w:ind w:left="480"/>
        <w:spacing w:after="0"/>
        <w:tabs>
          <w:tab w:leader="none" w:pos="1800" w:val="left"/>
        </w:tabs>
        <w:rPr>
          <w:sz w:val="20"/>
          <w:szCs w:val="20"/>
          <w:color w:val="auto"/>
        </w:rPr>
      </w:pPr>
      <w:r>
        <w:rPr>
          <w:rFonts w:ascii="Times New Roman" w:cs="Times New Roman" w:eastAsia="Times New Roman" w:hAnsi="Times New Roman"/>
          <w:sz w:val="16"/>
          <w:szCs w:val="16"/>
          <w:color w:val="auto"/>
        </w:rPr>
        <w:t>1,151,474</w:t>
      </w:r>
      <w:r>
        <w:rPr>
          <w:sz w:val="20"/>
          <w:szCs w:val="20"/>
          <w:color w:val="auto"/>
        </w:rPr>
        <w:tab/>
      </w:r>
      <w:r>
        <w:rPr>
          <w:rFonts w:ascii="Times New Roman" w:cs="Times New Roman" w:eastAsia="Times New Roman" w:hAnsi="Times New Roman"/>
          <w:sz w:val="16"/>
          <w:szCs w:val="16"/>
          <w:color w:val="auto"/>
        </w:rPr>
        <w:t>1,196,106</w:t>
      </w:r>
    </w:p>
    <w:p>
      <w:pPr>
        <w:spacing w:after="0" w:line="7" w:lineRule="exact"/>
        <w:rPr>
          <w:sz w:val="20"/>
          <w:szCs w:val="20"/>
          <w:color w:val="auto"/>
        </w:rPr>
      </w:pPr>
    </w:p>
    <w:p>
      <w:pPr>
        <w:ind w:left="600"/>
        <w:spacing w:after="0"/>
        <w:tabs>
          <w:tab w:leader="none" w:pos="1920" w:val="left"/>
        </w:tabs>
        <w:rPr>
          <w:sz w:val="20"/>
          <w:szCs w:val="20"/>
          <w:color w:val="auto"/>
        </w:rPr>
      </w:pPr>
      <w:r>
        <w:rPr>
          <w:rFonts w:ascii="Times New Roman" w:cs="Times New Roman" w:eastAsia="Times New Roman" w:hAnsi="Times New Roman"/>
          <w:sz w:val="16"/>
          <w:szCs w:val="16"/>
          <w:color w:val="auto"/>
        </w:rPr>
        <w:t>503,548</w:t>
      </w:r>
      <w:r>
        <w:rPr>
          <w:sz w:val="20"/>
          <w:szCs w:val="20"/>
          <w:color w:val="auto"/>
        </w:rPr>
        <w:tab/>
      </w:r>
      <w:r>
        <w:rPr>
          <w:rFonts w:ascii="Times New Roman" w:cs="Times New Roman" w:eastAsia="Times New Roman" w:hAnsi="Times New Roman"/>
          <w:sz w:val="16"/>
          <w:szCs w:val="16"/>
          <w:color w:val="auto"/>
        </w:rPr>
        <w:t>492,946</w:t>
      </w:r>
    </w:p>
    <w:p>
      <w:pPr>
        <w:spacing w:after="0" w:line="7" w:lineRule="exact"/>
        <w:rPr>
          <w:sz w:val="20"/>
          <w:szCs w:val="20"/>
          <w:color w:val="auto"/>
        </w:rPr>
      </w:pPr>
    </w:p>
    <w:p>
      <w:pPr>
        <w:ind w:left="600"/>
        <w:spacing w:after="0"/>
        <w:tabs>
          <w:tab w:leader="none" w:pos="1920" w:val="left"/>
        </w:tabs>
        <w:rPr>
          <w:sz w:val="20"/>
          <w:szCs w:val="20"/>
          <w:color w:val="auto"/>
        </w:rPr>
      </w:pPr>
      <w:r>
        <w:rPr>
          <w:rFonts w:ascii="Times New Roman" w:cs="Times New Roman" w:eastAsia="Times New Roman" w:hAnsi="Times New Roman"/>
          <w:sz w:val="16"/>
          <w:szCs w:val="16"/>
          <w:color w:val="auto"/>
        </w:rPr>
        <w:t>865,354</w:t>
      </w:r>
      <w:r>
        <w:rPr>
          <w:sz w:val="20"/>
          <w:szCs w:val="20"/>
          <w:color w:val="auto"/>
        </w:rPr>
        <w:tab/>
      </w:r>
      <w:r>
        <w:rPr>
          <w:rFonts w:ascii="Times New Roman" w:cs="Times New Roman" w:eastAsia="Times New Roman" w:hAnsi="Times New Roman"/>
          <w:sz w:val="16"/>
          <w:szCs w:val="16"/>
          <w:color w:val="auto"/>
        </w:rPr>
        <w:t>649,312</w:t>
      </w:r>
    </w:p>
    <w:p>
      <w:pPr>
        <w:spacing w:after="0" w:line="7" w:lineRule="exact"/>
        <w:rPr>
          <w:sz w:val="20"/>
          <w:szCs w:val="20"/>
          <w:color w:val="auto"/>
        </w:rPr>
      </w:pPr>
    </w:p>
    <w:p>
      <w:pPr>
        <w:jc w:val="both"/>
        <w:ind w:left="480"/>
        <w:spacing w:after="0"/>
        <w:tabs>
          <w:tab w:leader="none" w:pos="1760" w:val="left"/>
        </w:tabs>
        <w:rPr>
          <w:sz w:val="20"/>
          <w:szCs w:val="20"/>
          <w:color w:val="auto"/>
        </w:rPr>
      </w:pPr>
      <w:r>
        <w:rPr>
          <w:rFonts w:ascii="Times New Roman" w:cs="Times New Roman" w:eastAsia="Times New Roman" w:hAnsi="Times New Roman"/>
          <w:sz w:val="16"/>
          <w:szCs w:val="16"/>
          <w:color w:val="auto"/>
        </w:rPr>
        <w:t>3,837,851</w:t>
      </w:r>
      <w:r>
        <w:rPr>
          <w:sz w:val="20"/>
          <w:szCs w:val="20"/>
          <w:color w:val="auto"/>
        </w:rPr>
        <w:tab/>
      </w:r>
      <w:r>
        <w:rPr>
          <w:rFonts w:ascii="Times New Roman" w:cs="Times New Roman" w:eastAsia="Times New Roman" w:hAnsi="Times New Roman"/>
          <w:sz w:val="16"/>
          <w:szCs w:val="16"/>
          <w:color w:val="auto"/>
        </w:rPr>
        <w:t>(1,073,276)</w:t>
      </w:r>
    </w:p>
    <w:p>
      <w:pPr>
        <w:spacing w:after="0" w:line="26" w:lineRule="exact"/>
        <w:rPr>
          <w:sz w:val="20"/>
          <w:szCs w:val="20"/>
          <w:color w:val="auto"/>
        </w:rPr>
      </w:pPr>
    </w:p>
    <w:p>
      <w:pPr>
        <w:ind w:left="480"/>
        <w:spacing w:after="0"/>
        <w:tabs>
          <w:tab w:leader="none" w:pos="1800" w:val="left"/>
        </w:tabs>
        <w:rPr>
          <w:sz w:val="20"/>
          <w:szCs w:val="20"/>
          <w:color w:val="auto"/>
        </w:rPr>
      </w:pPr>
      <w:r>
        <w:rPr>
          <w:rFonts w:ascii="Times New Roman" w:cs="Times New Roman" w:eastAsia="Times New Roman" w:hAnsi="Times New Roman"/>
          <w:sz w:val="16"/>
          <w:szCs w:val="16"/>
          <w:color w:val="auto"/>
        </w:rPr>
        <w:t>8,077,722</w:t>
      </w:r>
      <w:r>
        <w:rPr>
          <w:sz w:val="20"/>
          <w:szCs w:val="20"/>
          <w:color w:val="auto"/>
        </w:rPr>
        <w:tab/>
      </w:r>
      <w:r>
        <w:rPr>
          <w:rFonts w:ascii="Times New Roman" w:cs="Times New Roman" w:eastAsia="Times New Roman" w:hAnsi="Times New Roman"/>
          <w:sz w:val="16"/>
          <w:szCs w:val="16"/>
          <w:color w:val="auto"/>
        </w:rPr>
        <w:t>3,000,621</w:t>
      </w:r>
    </w:p>
    <w:p>
      <w:pPr>
        <w:spacing w:after="0" w:line="31" w:lineRule="exact"/>
        <w:rPr>
          <w:sz w:val="20"/>
          <w:szCs w:val="20"/>
          <w:color w:val="auto"/>
        </w:rPr>
      </w:pPr>
    </w:p>
    <w:p>
      <w:pPr>
        <w:ind w:left="560"/>
        <w:spacing w:after="0"/>
        <w:tabs>
          <w:tab w:leader="none" w:pos="2400" w:val="left"/>
        </w:tabs>
        <w:rPr>
          <w:sz w:val="20"/>
          <w:szCs w:val="20"/>
          <w:color w:val="auto"/>
        </w:rPr>
      </w:pPr>
      <w:r>
        <w:rPr>
          <w:rFonts w:ascii="Times New Roman" w:cs="Times New Roman" w:eastAsia="Times New Roman" w:hAnsi="Times New Roman"/>
          <w:sz w:val="16"/>
          <w:szCs w:val="16"/>
          <w:color w:val="auto"/>
        </w:rPr>
        <w:t>(206,000)</w:t>
      </w:r>
      <w:r>
        <w:rPr>
          <w:sz w:val="20"/>
          <w:szCs w:val="20"/>
          <w:color w:val="auto"/>
        </w:rPr>
        <w:tab/>
      </w:r>
      <w:r>
        <w:rPr>
          <w:rFonts w:ascii="Times New Roman" w:cs="Times New Roman" w:eastAsia="Times New Roman" w:hAnsi="Times New Roman"/>
          <w:sz w:val="16"/>
          <w:szCs w:val="16"/>
          <w:color w:val="auto"/>
        </w:rPr>
        <w:t>-</w:t>
      </w:r>
    </w:p>
    <w:p>
      <w:pPr>
        <w:spacing w:after="0" w:line="24" w:lineRule="exact"/>
        <w:rPr>
          <w:sz w:val="20"/>
          <w:szCs w:val="20"/>
          <w:color w:val="auto"/>
        </w:rPr>
      </w:pPr>
    </w:p>
    <w:p>
      <w:pPr>
        <w:ind w:left="1080"/>
        <w:spacing w:after="0"/>
        <w:tabs>
          <w:tab w:leader="none" w:pos="240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4" w:lineRule="exact"/>
        <w:rPr>
          <w:sz w:val="20"/>
          <w:szCs w:val="20"/>
          <w:color w:val="auto"/>
        </w:rPr>
      </w:pPr>
    </w:p>
    <w:p>
      <w:pPr>
        <w:ind w:left="480"/>
        <w:spacing w:after="0"/>
        <w:tabs>
          <w:tab w:leader="none" w:pos="1720" w:val="left"/>
        </w:tabs>
        <w:rPr>
          <w:sz w:val="20"/>
          <w:szCs w:val="20"/>
          <w:color w:val="auto"/>
        </w:rPr>
      </w:pPr>
      <w:r>
        <w:rPr>
          <w:rFonts w:ascii="Times New Roman" w:cs="Times New Roman" w:eastAsia="Times New Roman" w:hAnsi="Times New Roman"/>
          <w:sz w:val="16"/>
          <w:szCs w:val="16"/>
          <w:b w:val="1"/>
          <w:bCs w:val="1"/>
          <w:color w:val="auto"/>
        </w:rPr>
        <w:t>4,840,364</w:t>
      </w:r>
      <w:r>
        <w:rPr>
          <w:sz w:val="20"/>
          <w:szCs w:val="20"/>
          <w:color w:val="auto"/>
        </w:rPr>
        <w:tab/>
      </w:r>
      <w:r>
        <w:rPr>
          <w:rFonts w:ascii="Times New Roman" w:cs="Times New Roman" w:eastAsia="Times New Roman" w:hAnsi="Times New Roman"/>
          <w:sz w:val="16"/>
          <w:szCs w:val="16"/>
          <w:b w:val="1"/>
          <w:bCs w:val="1"/>
          <w:color w:val="auto"/>
        </w:rPr>
        <w:t>10,041,312</w:t>
      </w:r>
    </w:p>
    <w:p>
      <w:pPr>
        <w:spacing w:after="0" w:line="26" w:lineRule="exact"/>
        <w:rPr>
          <w:sz w:val="20"/>
          <w:szCs w:val="20"/>
          <w:color w:val="auto"/>
        </w:rPr>
      </w:pPr>
    </w:p>
    <w:p>
      <w:pPr>
        <w:ind w:left="1080"/>
        <w:spacing w:after="0"/>
        <w:tabs>
          <w:tab w:leader="none" w:pos="240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48" w:lineRule="exact"/>
        <w:rPr>
          <w:sz w:val="20"/>
          <w:szCs w:val="20"/>
          <w:color w:val="auto"/>
        </w:rPr>
      </w:pPr>
    </w:p>
    <w:p>
      <w:pPr>
        <w:spacing w:after="0"/>
        <w:tabs>
          <w:tab w:leader="none" w:pos="460" w:val="left"/>
          <w:tab w:leader="none" w:pos="1340" w:val="left"/>
          <w:tab w:leader="none" w:pos="1720" w:val="left"/>
        </w:tabs>
        <w:rPr>
          <w:sz w:val="20"/>
          <w:szCs w:val="20"/>
          <w:color w:val="auto"/>
        </w:rPr>
      </w:pPr>
      <w:r>
        <w:rPr>
          <w:rFonts w:ascii="Times New Roman" w:cs="Times New Roman" w:eastAsia="Times New Roman" w:hAnsi="Times New Roman"/>
          <w:sz w:val="16"/>
          <w:szCs w:val="16"/>
          <w:b w:val="1"/>
          <w:bCs w:val="1"/>
          <w:color w:val="auto"/>
        </w:rPr>
        <w:t>$</w:t>
      </w:r>
      <w:r>
        <w:rPr>
          <w:sz w:val="20"/>
          <w:szCs w:val="20"/>
          <w:color w:val="auto"/>
        </w:rPr>
        <w:tab/>
      </w:r>
      <w:r>
        <w:rPr>
          <w:rFonts w:ascii="Times New Roman" w:cs="Times New Roman" w:eastAsia="Times New Roman" w:hAnsi="Times New Roman"/>
          <w:sz w:val="16"/>
          <w:szCs w:val="16"/>
          <w:b w:val="1"/>
          <w:bCs w:val="1"/>
          <w:color w:val="auto"/>
        </w:rPr>
        <w:t>4,840,364</w:t>
        <w:tab/>
        <w:t>$</w:t>
      </w:r>
      <w:r>
        <w:rPr>
          <w:sz w:val="20"/>
          <w:szCs w:val="20"/>
          <w:color w:val="auto"/>
        </w:rPr>
        <w:tab/>
      </w:r>
      <w:r>
        <w:rPr>
          <w:rFonts w:ascii="Times New Roman" w:cs="Times New Roman" w:eastAsia="Times New Roman" w:hAnsi="Times New Roman"/>
          <w:sz w:val="16"/>
          <w:szCs w:val="16"/>
          <w:b w:val="1"/>
          <w:bCs w:val="1"/>
          <w:color w:val="auto"/>
        </w:rPr>
        <w:t>10,041,312</w:t>
      </w:r>
    </w:p>
    <w:p>
      <w:pPr>
        <w:spacing w:after="0" w:line="26" w:lineRule="exact"/>
        <w:rPr>
          <w:sz w:val="20"/>
          <w:szCs w:val="20"/>
          <w:color w:val="auto"/>
        </w:rPr>
      </w:pPr>
    </w:p>
    <w:p>
      <w:pPr>
        <w:sectPr>
          <w:pgSz w:w="11900" w:h="16838" w:orient="portrait"/>
          <w:cols w:equalWidth="0" w:num="2">
            <w:col w:w="7960" w:space="720"/>
            <w:col w:w="2580"/>
          </w:cols>
          <w:pgMar w:left="320" w:top="814" w:right="319" w:bottom="1440" w:gutter="0" w:footer="0" w:header="0"/>
          <w:type w:val="continuous"/>
        </w:sectPr>
      </w:pPr>
    </w:p>
    <w:tbl>
      <w:tblPr>
        <w:tblLayout w:type="fixed"/>
        <w:tblInd w:w="0" w:type="dxa"/>
        <w:tblCellMar>
          <w:top w:w="0" w:type="dxa"/>
          <w:left w:w="0" w:type="dxa"/>
          <w:bottom w:w="0" w:type="dxa"/>
          <w:right w:w="0" w:type="dxa"/>
        </w:tblCellMar>
      </w:tblPr>
      <w:tr>
        <w:trPr>
          <w:trHeight w:val="231"/>
        </w:trPr>
        <w:tc>
          <w:tcPr>
            <w:tcW w:w="4800" w:type="dxa"/>
            <w:vAlign w:val="bottom"/>
            <w:tcBorders>
              <w:top w:val="single" w:sz="8" w:color="CCEEFF"/>
            </w:tcBorders>
            <w:shd w:val="clear" w:color="auto" w:fill="CCEEFF"/>
          </w:tcPr>
          <w:p>
            <w:pPr>
              <w:spacing w:after="0"/>
              <w:rPr>
                <w:sz w:val="20"/>
                <w:szCs w:val="20"/>
                <w:color w:val="auto"/>
              </w:rPr>
            </w:pPr>
          </w:p>
        </w:tc>
        <w:tc>
          <w:tcPr>
            <w:tcW w:w="38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r>
      <w:tr>
        <w:trPr>
          <w:trHeight w:val="191"/>
        </w:trPr>
        <w:tc>
          <w:tcPr>
            <w:tcW w:w="4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3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4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0.23</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0.48</w:t>
            </w:r>
          </w:p>
        </w:tc>
      </w:tr>
      <w:tr>
        <w:trPr>
          <w:trHeight w:val="191"/>
        </w:trPr>
        <w:tc>
          <w:tcPr>
            <w:tcW w:w="4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4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0.23</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0.47</w:t>
            </w:r>
          </w:p>
        </w:tc>
      </w:tr>
      <w:tr>
        <w:trPr>
          <w:trHeight w:val="191"/>
        </w:trPr>
        <w:tc>
          <w:tcPr>
            <w:tcW w:w="4800" w:type="dxa"/>
            <w:vAlign w:val="bottom"/>
            <w:shd w:val="clear" w:color="auto" w:fill="CCEEFF"/>
          </w:tcPr>
          <w:p>
            <w:pPr>
              <w:spacing w:after="0"/>
              <w:rPr>
                <w:sz w:val="16"/>
                <w:szCs w:val="16"/>
                <w:color w:val="auto"/>
              </w:rPr>
            </w:pPr>
          </w:p>
        </w:tc>
        <w:tc>
          <w:tcPr>
            <w:tcW w:w="3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4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Weighted average number of common shares outstanding:</w:t>
            </w:r>
          </w:p>
        </w:tc>
        <w:tc>
          <w:tcPr>
            <w:tcW w:w="3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weighted average shares of common stock outstanding</w:t>
            </w:r>
          </w:p>
        </w:tc>
        <w:tc>
          <w:tcPr>
            <w:tcW w:w="3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21,080,272</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20,858,466</w:t>
            </w:r>
          </w:p>
        </w:tc>
      </w:tr>
      <w:tr>
        <w:trPr>
          <w:trHeight w:val="208"/>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Diluted weighted average shares of common stock outstanding</w:t>
            </w:r>
          </w:p>
        </w:tc>
        <w:tc>
          <w:tcPr>
            <w:tcW w:w="3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21,484,118</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21,264,891</w:t>
            </w:r>
          </w:p>
        </w:tc>
      </w:tr>
      <w:tr>
        <w:trPr>
          <w:trHeight w:val="561"/>
        </w:trPr>
        <w:tc>
          <w:tcPr>
            <w:tcW w:w="48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jc w:val="right"/>
              <w:ind w:right="2940"/>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4" w:right="31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i w:val="1"/>
          <w:iCs w:val="1"/>
          <w:color w:val="auto"/>
        </w:rPr>
        <w:t>Distributable Earnings</w:t>
      </w:r>
    </w:p>
    <w:p>
      <w:pPr>
        <w:spacing w:after="0" w:line="20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6"/>
          <w:szCs w:val="16"/>
          <w:color w:val="auto"/>
        </w:rPr>
        <w:t>In addition to using certain financial metrics prepared in accordance with GAAP to evaluate our performance, we also use Distributable Earnings to evaluate our performance. Distributable Earnings is a measure that is not prepared in accordance with GAAP. We define Distributable Earnings as, for a specified period, the net income (loss) computed in accordance with GAAP, excluding (i) non-cash equity compensation expense, (ii) depreciation and amortization, (iii) any unrealized gains, losses or other non-cash items recorded in net income (loss) for the period, regardless of whether such items are included in other comprehensive income or loss, or in net income (loss); provided that Distributable Earnings does not exclude, in the case of investments with a deferred interest feature (such as OID, debt instruments with PIK interest and zero coupon securities), accrued income that we have not yet received in cash, (iv) provision for current expected credit losses and (v) one-time events pursuant to changes in GAAP and certain non-cash charges, in each case after discussions between our Manager and our independent directors and after approval by a majority of such independent directors. We believe providing Distributable Earnings on a supplemental basis to our net income as determined in accordance with GAAP is helpful to stockholders in assessing the overall performance of our business. As a REIT, we are required to distribute at least 90% of our annual REIT taxable income and to pay tax at regular corporate rates to the extent that we annually distribute less than 100% of such taxable income. Given these requirements and our belief that dividends are generally one of the principal reasons that stockholders invest in our common stock, we generally intend to attempt to pay dividends to our stockholders in an amount equal to our net taxable income, if and to the extent authorized by our Board. Distributable Earnings is one of many factors considered by our Board in authorizing dividends and, while not a direct measure of net taxable income, over time, the measure can be considered a useful indicator of our dividends.</w:t>
      </w:r>
    </w:p>
    <w:p>
      <w:pPr>
        <w:spacing w:after="0" w:line="16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6"/>
          <w:szCs w:val="16"/>
          <w:color w:val="auto"/>
        </w:rPr>
        <w:t>In our Annual Report on Form 10-K for the year ended December 31, 2025, we defined Distributable Earnings so that, in addition to the exclusions noted above, the term also excluded from net income Incentive Compensation paid to our Manager. We believe that revising the term Distributable Earnings so that it is presented net of Incentive Compensation, while not a direct measure of net taxable income, over time, can be considered a more useful indicator of our ability to pay dividends. This adjustment to the calculation of Distributable Earnings has no impact on period-to-period comparisons. Distributable Earnings should not be considered as substitutes for GAAP net income. We caution readers that our methodology for calculating Distributable Earnings may differ from the methodologies employed by other REITs to calculate the same or similar supplemental performance measures, and as a result, our reported Distributable Earnings may not be comparable to similar measures presented by other REITs.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360" w:type="dxa"/>
            <w:vAlign w:val="bottom"/>
            <w:tcBorders>
              <w:top w:val="single" w:sz="8" w:color="auto"/>
            </w:tcBorders>
            <w:gridSpan w:val="3"/>
          </w:tcPr>
          <w:p>
            <w:pPr>
              <w:jc w:val="right"/>
              <w:ind w:right="280"/>
              <w:spacing w:after="0" w:line="173" w:lineRule="exact"/>
              <w:rPr>
                <w:sz w:val="20"/>
                <w:szCs w:val="20"/>
                <w:color w:val="auto"/>
              </w:rPr>
            </w:pPr>
            <w:r>
              <w:rPr>
                <w:rFonts w:ascii="Times New Roman" w:cs="Times New Roman" w:eastAsia="Times New Roman" w:hAnsi="Times New Roman"/>
                <w:sz w:val="16"/>
                <w:szCs w:val="16"/>
                <w:b w:val="1"/>
                <w:bCs w:val="1"/>
                <w:color w:val="auto"/>
                <w:w w:val="99"/>
              </w:rPr>
              <w:t>March 31, 2026</w:t>
            </w:r>
          </w:p>
        </w:tc>
        <w:tc>
          <w:tcPr>
            <w:tcW w:w="1100" w:type="dxa"/>
            <w:vAlign w:val="bottom"/>
            <w:tcBorders>
              <w:top w:val="single" w:sz="8" w:color="auto"/>
            </w:tcBorders>
            <w:gridSpan w:val="2"/>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w w:val="99"/>
              </w:rPr>
              <w:t>March 31, 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0" w:type="dxa"/>
            <w:vAlign w:val="bottom"/>
          </w:tcPr>
          <w:p>
            <w:pPr>
              <w:spacing w:after="0"/>
              <w:rPr>
                <w:sz w:val="1"/>
                <w:szCs w:val="1"/>
                <w:color w:val="auto"/>
              </w:rPr>
            </w:pPr>
          </w:p>
        </w:tc>
      </w:tr>
      <w:tr>
        <w:trPr>
          <w:trHeight w:val="191"/>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4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4,840,364</w:t>
            </w: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10,041,312</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Adjustments to net income</w:t>
            </w:r>
          </w:p>
        </w:tc>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based compensation</w:t>
            </w:r>
          </w:p>
        </w:tc>
        <w:tc>
          <w:tcPr>
            <w:tcW w:w="3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865,354</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649,312</w:t>
            </w:r>
          </w:p>
        </w:tc>
        <w:tc>
          <w:tcPr>
            <w:tcW w:w="0" w:type="dxa"/>
            <w:vAlign w:val="bottom"/>
          </w:tcPr>
          <w:p>
            <w:pPr>
              <w:spacing w:after="0"/>
              <w:rPr>
                <w:sz w:val="1"/>
                <w:szCs w:val="1"/>
                <w:color w:val="auto"/>
              </w:rPr>
            </w:pPr>
          </w:p>
        </w:tc>
      </w:tr>
      <w:tr>
        <w:trPr>
          <w:trHeight w:val="191"/>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83,451</w:t>
            </w: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110,309</w:t>
            </w:r>
          </w:p>
        </w:tc>
        <w:tc>
          <w:tcPr>
            <w:tcW w:w="0" w:type="dxa"/>
            <w:vAlign w:val="bottom"/>
          </w:tcPr>
          <w:p>
            <w:pPr>
              <w:spacing w:after="0"/>
              <w:rPr>
                <w:sz w:val="1"/>
                <w:szCs w:val="1"/>
                <w:color w:val="auto"/>
              </w:rPr>
            </w:pPr>
          </w:p>
        </w:tc>
      </w:tr>
      <w:tr>
        <w:trPr>
          <w:trHeight w:val="191"/>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(benefit) for current expected credit losses</w:t>
            </w:r>
          </w:p>
        </w:tc>
        <w:tc>
          <w:tcPr>
            <w:tcW w:w="3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3,837,851</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(1,073,276)</w:t>
            </w:r>
          </w:p>
        </w:tc>
        <w:tc>
          <w:tcPr>
            <w:tcW w:w="0" w:type="dxa"/>
            <w:vAlign w:val="bottom"/>
          </w:tcPr>
          <w:p>
            <w:pPr>
              <w:spacing w:after="0"/>
              <w:rPr>
                <w:sz w:val="1"/>
                <w:szCs w:val="1"/>
                <w:color w:val="auto"/>
              </w:rPr>
            </w:pPr>
          </w:p>
        </w:tc>
      </w:tr>
      <w:tr>
        <w:trPr>
          <w:trHeight w:val="203"/>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unrealized loss on investment</w:t>
            </w:r>
          </w:p>
        </w:tc>
        <w:tc>
          <w:tcPr>
            <w:tcW w:w="3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206,000</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Distributable Earnings</w:t>
            </w:r>
          </w:p>
        </w:tc>
        <w:tc>
          <w:tcPr>
            <w:tcW w:w="34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220" w:type="dxa"/>
            <w:vAlign w:val="bottom"/>
            <w:vMerge w:val="continue"/>
            <w:shd w:val="clear" w:color="auto" w:fill="CCEEFF"/>
          </w:tcPr>
          <w:p>
            <w:pPr>
              <w:spacing w:after="0"/>
              <w:rPr>
                <w:sz w:val="19"/>
                <w:szCs w:val="19"/>
                <w:color w:val="auto"/>
              </w:rPr>
            </w:pPr>
          </w:p>
        </w:tc>
        <w:tc>
          <w:tcPr>
            <w:tcW w:w="3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9,833,020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9,727,657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Basic weighted average shares of common stock outstanding (in shares)</w:t>
            </w:r>
          </w:p>
        </w:tc>
        <w:tc>
          <w:tcPr>
            <w:tcW w:w="3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220" w:type="dxa"/>
            <w:vAlign w:val="bottom"/>
            <w:vMerge w:val="continue"/>
          </w:tcPr>
          <w:p>
            <w:pPr>
              <w:spacing w:after="0"/>
              <w:rPr>
                <w:sz w:val="16"/>
                <w:szCs w:val="16"/>
                <w:color w:val="auto"/>
              </w:rPr>
            </w:pPr>
          </w:p>
        </w:tc>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21,080,272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20,858,466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Basic Distributable Earnings per Weighted Average Share</w:t>
            </w:r>
          </w:p>
        </w:tc>
        <w:tc>
          <w:tcPr>
            <w:tcW w:w="3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0.47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0.47</w:t>
            </w:r>
          </w:p>
        </w:tc>
        <w:tc>
          <w:tcPr>
            <w:tcW w:w="0" w:type="dxa"/>
            <w:vAlign w:val="bottom"/>
          </w:tcPr>
          <w:p>
            <w:pPr>
              <w:spacing w:after="0"/>
              <w:rPr>
                <w:sz w:val="1"/>
                <w:szCs w:val="1"/>
                <w:color w:val="auto"/>
              </w:rPr>
            </w:pPr>
          </w:p>
        </w:tc>
      </w:tr>
      <w:tr>
        <w:trPr>
          <w:trHeight w:val="191"/>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 weighted average shares of common stock outstanding (in shares)</w:t>
            </w:r>
          </w:p>
        </w:tc>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21,484,118</w:t>
            </w: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21,264,891</w:t>
            </w:r>
          </w:p>
        </w:tc>
        <w:tc>
          <w:tcPr>
            <w:tcW w:w="0" w:type="dxa"/>
            <w:vAlign w:val="bottom"/>
          </w:tcPr>
          <w:p>
            <w:pPr>
              <w:spacing w:after="0"/>
              <w:rPr>
                <w:sz w:val="1"/>
                <w:szCs w:val="1"/>
                <w:color w:val="auto"/>
              </w:rPr>
            </w:pPr>
          </w:p>
        </w:tc>
      </w:tr>
      <w:tr>
        <w:trPr>
          <w:trHeight w:val="191"/>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Diluted Distributable Earnings per Weighted Average Share</w:t>
            </w:r>
          </w:p>
        </w:tc>
        <w:tc>
          <w:tcPr>
            <w:tcW w:w="3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0.46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0.46</w:t>
            </w:r>
          </w:p>
        </w:tc>
        <w:tc>
          <w:tcPr>
            <w:tcW w:w="0" w:type="dxa"/>
            <w:vAlign w:val="bottom"/>
          </w:tcPr>
          <w:p>
            <w:pPr>
              <w:spacing w:after="0"/>
              <w:rPr>
                <w:sz w:val="1"/>
                <w:szCs w:val="1"/>
                <w:color w:val="auto"/>
              </w:rPr>
            </w:pPr>
          </w:p>
        </w:tc>
      </w:tr>
      <w:tr>
        <w:trPr>
          <w:trHeight w:val="577"/>
        </w:trPr>
        <w:tc>
          <w:tcPr>
            <w:tcW w:w="52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jc w:val="right"/>
              <w:ind w:right="294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2" w:right="319" w:bottom="1440" w:gutter="0" w:footer="0" w:header="0"/>
        </w:sectPr>
      </w:pPr>
    </w:p>
    <w:bookmarkStart w:id="9" w:name="page10"/>
    <w:bookmarkEnd w:id="9"/>
    <w:p>
      <w:pPr>
        <w:ind w:left="9300"/>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137795</wp:posOffset>
            </wp:positionV>
            <wp:extent cx="7203440" cy="41960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211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4211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211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4211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203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4203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04"/>
    </w:lvl>
  </w:abstractNum>
  <w:abstractNum w:abstractNumId="2">
    <w:nsid w:val="625558EC"/>
    <w:multiLevelType w:val="hybridMultilevel"/>
    <w:lvl w:ilvl="0">
      <w:lvlJc w:val="left"/>
      <w:lvlText w:val="1"/>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2026-05-07T06:10:53Z</dcterms:created>
  <dcterms:modified xsi:type="dcterms:W3CDTF">2026-05-07T06:10:53Z</dcterms:modified>
</cp:coreProperties>
</file>