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88"/>
          <w:szCs w:val="88"/>
          <w:color w:val="00001A"/>
          <w:highlight w:val="white"/>
        </w:rPr>
        <w:t>PRUDENT.</w:t>
      </w:r>
    </w:p>
    <w:p>
      <w:pPr>
        <w:spacing w:after="0" w:line="204" w:lineRule="auto"/>
        <w:rPr>
          <w:sz w:val="20"/>
          <w:szCs w:val="20"/>
          <w:color w:val="auto"/>
        </w:rPr>
      </w:pPr>
      <w:r>
        <w:rPr>
          <w:rFonts w:ascii="Arial" w:cs="Arial" w:eastAsia="Arial" w:hAnsi="Arial"/>
          <w:sz w:val="88"/>
          <w:szCs w:val="88"/>
          <w:color w:val="00001A"/>
          <w:highlight w:val="white"/>
        </w:rPr>
        <w:t>DISCIPLINED.</w:t>
      </w:r>
    </w:p>
    <w:p>
      <w:pPr>
        <w:spacing w:after="0" w:line="217" w:lineRule="auto"/>
        <w:rPr>
          <w:sz w:val="20"/>
          <w:szCs w:val="20"/>
          <w:color w:val="auto"/>
        </w:rPr>
      </w:pPr>
      <w:r>
        <w:rPr>
          <w:rFonts w:ascii="Arial" w:cs="Arial" w:eastAsia="Arial" w:hAnsi="Arial"/>
          <w:sz w:val="88"/>
          <w:szCs w:val="88"/>
          <w:color w:val="00001A"/>
          <w:highlight w:val="white"/>
        </w:rPr>
        <w:t>DIVERSIFIED.</w:t>
      </w:r>
    </w:p>
    <w:p>
      <w:pPr>
        <w:sectPr>
          <w:pgSz w:w="12240" w:h="15840" w:orient="portrait"/>
          <w:cols w:equalWidth="0" w:num="1">
            <w:col w:w="9840"/>
          </w:cols>
          <w:pgMar w:left="960" w:top="1440" w:right="1440" w:bottom="1440" w:gutter="0" w:footer="0" w:header="0"/>
        </w:sectPr>
      </w:pPr>
    </w:p>
    <w:p>
      <w:pPr>
        <w:spacing w:after="0" w:line="202" w:lineRule="exact"/>
        <w:rPr>
          <w:sz w:val="24"/>
          <w:szCs w:val="24"/>
          <w:color w:val="auto"/>
        </w:rPr>
      </w:pPr>
    </w:p>
    <w:p>
      <w:pPr>
        <w:ind w:left="120"/>
        <w:spacing w:after="0"/>
        <w:rPr>
          <w:sz w:val="20"/>
          <w:szCs w:val="20"/>
          <w:color w:val="auto"/>
        </w:rPr>
      </w:pPr>
      <w:r>
        <w:rPr>
          <w:rFonts w:ascii="Arial" w:cs="Arial" w:eastAsia="Arial" w:hAnsi="Arial"/>
          <w:sz w:val="20"/>
          <w:szCs w:val="20"/>
          <w:color w:val="00001A"/>
          <w:highlight w:val="white"/>
        </w:rPr>
        <w:t xml:space="preserve">2025 </w:t>
      </w:r>
      <w:r>
        <w:rPr>
          <w:rFonts w:ascii="Arial" w:cs="Arial" w:eastAsia="Arial" w:hAnsi="Arial"/>
          <w:sz w:val="20"/>
          <w:szCs w:val="20"/>
          <w:color w:val="00001A"/>
        </w:rPr>
        <w:t>ANNUAL REPORT</w:t>
      </w:r>
    </w:p>
    <w:p>
      <w:pPr>
        <w:sectPr>
          <w:pgSz w:w="12240" w:h="15840" w:orient="portrait"/>
          <w:cols w:equalWidth="0" w:num="1">
            <w:col w:w="9840"/>
          </w:cols>
          <w:pgMar w:left="960" w:top="144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Chicago Atlantic Real Estate Finance,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Who We Are</w:t>
      </w:r>
    </w:p>
    <w:p>
      <w:pPr>
        <w:spacing w:after="0" w:line="170"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b w:val="1"/>
          <w:bCs w:val="1"/>
          <w:color w:val="FFFFFF"/>
        </w:rPr>
        <w:t xml:space="preserve">Chicago Atlantic Real Estate Finance, Inc. (Nasdaq: REFI) </w:t>
      </w:r>
      <w:r>
        <w:rPr>
          <w:rFonts w:ascii="Arial" w:cs="Arial" w:eastAsia="Arial" w:hAnsi="Arial"/>
          <w:sz w:val="18"/>
          <w:szCs w:val="18"/>
          <w:color w:val="FFFFFF"/>
        </w:rPr>
        <w:t>is a market-leading mortgage REIT utilizing significant real estate, credit, and cannabis expertise to originate senior secured loans primarily to state-licensed cannabis operators in limited-license states in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The Numbers</w:t>
      </w:r>
    </w:p>
    <w:p>
      <w:pPr>
        <w:spacing w:after="0" w:line="91" w:lineRule="exact"/>
        <w:rPr>
          <w:sz w:val="20"/>
          <w:szCs w:val="20"/>
          <w:color w:val="auto"/>
        </w:rPr>
      </w:pPr>
    </w:p>
    <w:p>
      <w:pPr>
        <w:spacing w:after="0"/>
        <w:rPr>
          <w:sz w:val="20"/>
          <w:szCs w:val="20"/>
          <w:color w:val="auto"/>
        </w:rPr>
      </w:pPr>
      <w:r>
        <w:rPr>
          <w:rFonts w:ascii="Arial" w:cs="Arial" w:eastAsia="Arial" w:hAnsi="Arial"/>
          <w:sz w:val="74"/>
          <w:szCs w:val="74"/>
          <w:b w:val="1"/>
          <w:bCs w:val="1"/>
          <w:color w:val="76C7B2"/>
          <w:vertAlign w:val="superscript"/>
        </w:rPr>
        <w:t>$</w:t>
      </w:r>
      <w:r>
        <w:rPr>
          <w:rFonts w:ascii="Arial" w:cs="Arial" w:eastAsia="Arial" w:hAnsi="Arial"/>
          <w:sz w:val="64"/>
          <w:szCs w:val="64"/>
          <w:b w:val="1"/>
          <w:bCs w:val="1"/>
          <w:color w:val="76C7B2"/>
        </w:rPr>
        <w:t>4111</w:t>
      </w:r>
      <w:r>
        <w:rPr>
          <w:rFonts w:ascii="Arial" w:cs="Arial" w:eastAsia="Arial" w:hAnsi="Arial"/>
          <w:sz w:val="32"/>
          <w:szCs w:val="32"/>
          <w:b w:val="1"/>
          <w:bCs w:val="1"/>
          <w:color w:val="76C7B2"/>
        </w:rPr>
        <w:t>.M</w:t>
      </w:r>
    </w:p>
    <w:p>
      <w:pPr>
        <w:spacing w:after="0" w:line="237" w:lineRule="auto"/>
        <w:rPr>
          <w:sz w:val="20"/>
          <w:szCs w:val="20"/>
          <w:color w:val="auto"/>
        </w:rPr>
      </w:pPr>
      <w:r>
        <w:rPr>
          <w:rFonts w:ascii="Arial" w:cs="Arial" w:eastAsia="Arial" w:hAnsi="Arial"/>
          <w:sz w:val="16"/>
          <w:szCs w:val="16"/>
          <w:color w:val="FFFFFF"/>
        </w:rPr>
        <w:t>outstanding loan principal</w:t>
      </w:r>
      <w:r>
        <w:rPr>
          <w:rFonts w:ascii="Arial" w:cs="Arial" w:eastAsia="Arial" w:hAnsi="Arial"/>
          <w:sz w:val="18"/>
          <w:szCs w:val="18"/>
          <w:color w:val="FFFFFF"/>
          <w:vertAlign w:val="superscript"/>
        </w:rPr>
        <w:t>1</w:t>
      </w:r>
    </w:p>
    <w:p>
      <w:pPr>
        <w:spacing w:after="0" w:line="200" w:lineRule="exact"/>
        <w:rPr>
          <w:sz w:val="20"/>
          <w:szCs w:val="20"/>
          <w:color w:val="auto"/>
        </w:rPr>
      </w:pPr>
    </w:p>
    <w:p>
      <w:pPr>
        <w:sectPr>
          <w:pgSz w:w="12240" w:h="15840" w:orient="portrait"/>
          <w:cols w:equalWidth="0" w:num="2">
            <w:col w:w="6660" w:space="720"/>
            <w:col w:w="2860"/>
          </w:cols>
          <w:pgMar w:left="960" w:top="611" w:right="1040" w:bottom="882" w:gutter="0" w:footer="0" w:header="0"/>
        </w:sectPr>
      </w:pP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What we Do</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FFFFFF"/>
        </w:rPr>
        <w:t>Commercial mortgage REIT and institutional lender to state-licensed operators in the cannabis industry.</w:t>
      </w:r>
    </w:p>
    <w:p>
      <w:pPr>
        <w:spacing w:after="0" w:line="200" w:lineRule="exact"/>
        <w:rPr>
          <w:sz w:val="20"/>
          <w:szCs w:val="20"/>
          <w:color w:val="auto"/>
        </w:rPr>
      </w:pPr>
    </w:p>
    <w:p>
      <w:pPr>
        <w:spacing w:after="0" w:line="381" w:lineRule="exact"/>
        <w:rPr>
          <w:sz w:val="20"/>
          <w:szCs w:val="20"/>
          <w:color w:val="auto"/>
        </w:rPr>
      </w:pPr>
    </w:p>
    <w:p>
      <w:pPr>
        <w:spacing w:after="0" w:line="285" w:lineRule="auto"/>
        <w:rPr>
          <w:sz w:val="20"/>
          <w:szCs w:val="20"/>
          <w:color w:val="auto"/>
        </w:rPr>
      </w:pPr>
      <w:r>
        <w:rPr>
          <w:rFonts w:ascii="Arial" w:cs="Arial" w:eastAsia="Arial" w:hAnsi="Arial"/>
          <w:sz w:val="18"/>
          <w:szCs w:val="18"/>
          <w:color w:val="FFFFFF"/>
        </w:rPr>
        <w:t>Manages a diversified portfolio of borrowers, geographies and asset types with strong real estate collateral coverage and loan-to-enterprise value ratios.</w:t>
      </w:r>
    </w:p>
    <w:p>
      <w:pPr>
        <w:spacing w:after="0" w:line="200" w:lineRule="exact"/>
        <w:rPr>
          <w:sz w:val="20"/>
          <w:szCs w:val="20"/>
          <w:color w:val="auto"/>
        </w:rPr>
      </w:pPr>
    </w:p>
    <w:p>
      <w:pPr>
        <w:spacing w:after="0" w:line="382"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color w:val="FFFFFF"/>
        </w:rPr>
        <w:t>Aims to provide risk-adjusted total returns for stockholders through consistent dividends and capital appreciation.</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right="620"/>
        <w:spacing w:after="0" w:line="283" w:lineRule="auto"/>
        <w:rPr>
          <w:sz w:val="20"/>
          <w:szCs w:val="20"/>
          <w:color w:val="auto"/>
        </w:rPr>
      </w:pPr>
      <w:r>
        <w:rPr>
          <w:rFonts w:ascii="Arial" w:cs="Arial" w:eastAsia="Arial" w:hAnsi="Arial"/>
          <w:sz w:val="18"/>
          <w:szCs w:val="18"/>
          <w:color w:val="FFFFFF"/>
        </w:rPr>
        <w:t>Access to Chicago Atlantic’s leading cannabis lending platform as lead or co-lead arranger, and its proprietary sourcing network and direct originations team.</w:t>
      </w:r>
    </w:p>
    <w:p>
      <w:pPr>
        <w:spacing w:after="0" w:line="200" w:lineRule="exact"/>
        <w:rPr>
          <w:sz w:val="20"/>
          <w:szCs w:val="20"/>
          <w:color w:val="auto"/>
        </w:rPr>
      </w:pPr>
    </w:p>
    <w:p>
      <w:pPr>
        <w:spacing w:after="0" w:line="386"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color w:val="FFFFFF"/>
        </w:rPr>
        <w:t>Experienced and robust origination team responsible for sourcing and closing over $3.2B in credit facilities to cannabis operators since its inception of which $2.5 billion has been made to cannabis operators.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74"/>
          <w:szCs w:val="74"/>
          <w:b w:val="1"/>
          <w:bCs w:val="1"/>
          <w:color w:val="76C7B2"/>
          <w:vertAlign w:val="superscript"/>
        </w:rPr>
        <w:t>$</w:t>
      </w:r>
      <w:r>
        <w:rPr>
          <w:rFonts w:ascii="Arial" w:cs="Arial" w:eastAsia="Arial" w:hAnsi="Arial"/>
          <w:sz w:val="64"/>
          <w:szCs w:val="64"/>
          <w:b w:val="1"/>
          <w:bCs w:val="1"/>
          <w:color w:val="76C7B2"/>
        </w:rPr>
        <w:t>616</w:t>
      </w:r>
      <w:r>
        <w:rPr>
          <w:rFonts w:ascii="Arial" w:cs="Arial" w:eastAsia="Arial" w:hAnsi="Arial"/>
          <w:sz w:val="32"/>
          <w:szCs w:val="32"/>
          <w:b w:val="1"/>
          <w:bCs w:val="1"/>
          <w:color w:val="76C7B2"/>
        </w:rPr>
        <w:t>M</w:t>
      </w:r>
    </w:p>
    <w:p>
      <w:pPr>
        <w:spacing w:after="0" w:line="216" w:lineRule="auto"/>
        <w:rPr>
          <w:sz w:val="20"/>
          <w:szCs w:val="20"/>
          <w:color w:val="auto"/>
        </w:rPr>
      </w:pPr>
      <w:r>
        <w:rPr>
          <w:rFonts w:ascii="Arial" w:cs="Arial" w:eastAsia="Arial" w:hAnsi="Arial"/>
          <w:sz w:val="16"/>
          <w:szCs w:val="16"/>
          <w:color w:val="FFFFFF"/>
        </w:rPr>
        <w:t>near-term pipeline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FFFFFF"/>
        </w:rPr>
        <w:t>under evaluation</w:t>
      </w:r>
      <w:r>
        <w:rPr>
          <w:rFonts w:ascii="Arial" w:cs="Arial" w:eastAsia="Arial" w:hAnsi="Arial"/>
          <w:sz w:val="18"/>
          <w:szCs w:val="18"/>
          <w:color w:val="FFFFFF"/>
          <w:vertAlign w:val="superscript"/>
        </w:rPr>
        <w:t>2</w:t>
      </w:r>
    </w:p>
    <w:p>
      <w:pPr>
        <w:spacing w:after="0" w:line="289" w:lineRule="exact"/>
        <w:rPr>
          <w:sz w:val="20"/>
          <w:szCs w:val="20"/>
          <w:color w:val="auto"/>
        </w:rPr>
      </w:pPr>
    </w:p>
    <w:p>
      <w:pPr>
        <w:spacing w:after="0"/>
        <w:rPr>
          <w:sz w:val="20"/>
          <w:szCs w:val="20"/>
          <w:color w:val="auto"/>
        </w:rPr>
      </w:pPr>
      <w:r>
        <w:rPr>
          <w:rFonts w:ascii="Arial" w:cs="Arial" w:eastAsia="Arial" w:hAnsi="Arial"/>
          <w:sz w:val="64"/>
          <w:szCs w:val="64"/>
          <w:b w:val="1"/>
          <w:bCs w:val="1"/>
          <w:color w:val="76C7B2"/>
        </w:rPr>
        <w:t>100+</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FFFFF"/>
        </w:rPr>
        <w:t>cannabis loans closed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FFFFFF"/>
        </w:rPr>
        <w:t>across platform</w:t>
      </w:r>
      <w:r>
        <w:rPr>
          <w:rFonts w:ascii="Arial" w:cs="Arial" w:eastAsia="Arial" w:hAnsi="Arial"/>
          <w:sz w:val="18"/>
          <w:szCs w:val="18"/>
          <w:color w:val="FFFFFF"/>
          <w:vertAlign w:val="superscript"/>
        </w:rPr>
        <w:t>3</w:t>
      </w:r>
    </w:p>
    <w:p>
      <w:pPr>
        <w:spacing w:after="0" w:line="274" w:lineRule="exact"/>
        <w:rPr>
          <w:sz w:val="20"/>
          <w:szCs w:val="20"/>
          <w:color w:val="auto"/>
        </w:rPr>
      </w:pPr>
    </w:p>
    <w:p>
      <w:pPr>
        <w:spacing w:after="0"/>
        <w:rPr>
          <w:sz w:val="20"/>
          <w:szCs w:val="20"/>
          <w:color w:val="auto"/>
        </w:rPr>
      </w:pPr>
      <w:r>
        <w:rPr>
          <w:rFonts w:ascii="Arial" w:cs="Arial" w:eastAsia="Arial" w:hAnsi="Arial"/>
          <w:sz w:val="74"/>
          <w:szCs w:val="74"/>
          <w:b w:val="1"/>
          <w:bCs w:val="1"/>
          <w:color w:val="76C7B2"/>
          <w:vertAlign w:val="superscript"/>
        </w:rPr>
        <w:t>$</w:t>
      </w:r>
      <w:r>
        <w:rPr>
          <w:rFonts w:ascii="Arial" w:cs="Arial" w:eastAsia="Arial" w:hAnsi="Arial"/>
          <w:sz w:val="64"/>
          <w:szCs w:val="64"/>
          <w:b w:val="1"/>
          <w:bCs w:val="1"/>
          <w:color w:val="76C7B2"/>
        </w:rPr>
        <w:t>3</w:t>
      </w:r>
      <w:r>
        <w:rPr>
          <w:rFonts w:ascii="Arial" w:cs="Arial" w:eastAsia="Arial" w:hAnsi="Arial"/>
          <w:sz w:val="32"/>
          <w:szCs w:val="32"/>
          <w:b w:val="1"/>
          <w:bCs w:val="1"/>
          <w:color w:val="76C7B2"/>
        </w:rPr>
        <w:t>.</w:t>
      </w:r>
      <w:r>
        <w:rPr>
          <w:rFonts w:ascii="Arial" w:cs="Arial" w:eastAsia="Arial" w:hAnsi="Arial"/>
          <w:sz w:val="64"/>
          <w:szCs w:val="64"/>
          <w:b w:val="1"/>
          <w:bCs w:val="1"/>
          <w:color w:val="76C7B2"/>
        </w:rPr>
        <w:t>2</w:t>
      </w:r>
      <w:r>
        <w:rPr>
          <w:rFonts w:ascii="Arial" w:cs="Arial" w:eastAsia="Arial" w:hAnsi="Arial"/>
          <w:sz w:val="32"/>
          <w:szCs w:val="32"/>
          <w:b w:val="1"/>
          <w:bCs w:val="1"/>
          <w:color w:val="76C7B2"/>
        </w:rPr>
        <w:t>B</w:t>
      </w:r>
      <w:r>
        <w:rPr>
          <w:rFonts w:ascii="Arial" w:cs="Arial" w:eastAsia="Arial" w:hAnsi="Arial"/>
          <w:sz w:val="64"/>
          <w:szCs w:val="64"/>
          <w:b w:val="1"/>
          <w:bCs w:val="1"/>
          <w:color w:val="76C7B2"/>
        </w:rPr>
        <w:t>+</w:t>
      </w:r>
    </w:p>
    <w:p>
      <w:pPr>
        <w:spacing w:after="0" w:line="216" w:lineRule="auto"/>
        <w:rPr>
          <w:sz w:val="20"/>
          <w:szCs w:val="20"/>
          <w:color w:val="auto"/>
        </w:rPr>
      </w:pPr>
      <w:r>
        <w:rPr>
          <w:rFonts w:ascii="Arial" w:cs="Arial" w:eastAsia="Arial" w:hAnsi="Arial"/>
          <w:sz w:val="16"/>
          <w:szCs w:val="16"/>
          <w:color w:val="FFFFFF"/>
        </w:rPr>
        <w:t>in loans closed since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FFFFFF"/>
        </w:rPr>
        <w:t>platform inception</w:t>
      </w:r>
      <w:r>
        <w:rPr>
          <w:rFonts w:ascii="Arial" w:cs="Arial" w:eastAsia="Arial" w:hAnsi="Arial"/>
          <w:sz w:val="18"/>
          <w:szCs w:val="18"/>
          <w:color w:val="FFFFFF"/>
          <w:vertAlign w:val="superscript"/>
        </w:rPr>
        <w:t>3</w:t>
      </w:r>
    </w:p>
    <w:p>
      <w:pPr>
        <w:spacing w:after="0" w:line="289" w:lineRule="exact"/>
        <w:rPr>
          <w:sz w:val="20"/>
          <w:szCs w:val="20"/>
          <w:color w:val="auto"/>
        </w:rPr>
      </w:pPr>
    </w:p>
    <w:p>
      <w:pPr>
        <w:spacing w:after="0"/>
        <w:rPr>
          <w:sz w:val="20"/>
          <w:szCs w:val="20"/>
          <w:color w:val="auto"/>
        </w:rPr>
      </w:pPr>
      <w:r>
        <w:rPr>
          <w:rFonts w:ascii="Arial" w:cs="Arial" w:eastAsia="Arial" w:hAnsi="Arial"/>
          <w:sz w:val="64"/>
          <w:szCs w:val="64"/>
          <w:b w:val="1"/>
          <w:bCs w:val="1"/>
          <w:color w:val="76C7B2"/>
        </w:rPr>
        <w:t>16</w:t>
      </w:r>
      <w:r>
        <w:rPr>
          <w:rFonts w:ascii="Arial" w:cs="Arial" w:eastAsia="Arial" w:hAnsi="Arial"/>
          <w:sz w:val="32"/>
          <w:szCs w:val="32"/>
          <w:b w:val="1"/>
          <w:bCs w:val="1"/>
          <w:color w:val="76C7B2"/>
        </w:rPr>
        <w:t>.</w:t>
      </w:r>
      <w:r>
        <w:rPr>
          <w:rFonts w:ascii="Arial" w:cs="Arial" w:eastAsia="Arial" w:hAnsi="Arial"/>
          <w:sz w:val="64"/>
          <w:szCs w:val="64"/>
          <w:b w:val="1"/>
          <w:bCs w:val="1"/>
          <w:color w:val="76C7B2"/>
        </w:rPr>
        <w:t>3</w:t>
      </w:r>
      <w:r>
        <w:rPr>
          <w:rFonts w:ascii="Arial" w:cs="Arial" w:eastAsia="Arial" w:hAnsi="Arial"/>
          <w:sz w:val="32"/>
          <w:szCs w:val="32"/>
          <w:b w:val="1"/>
          <w:bCs w:val="1"/>
          <w:color w:val="76C7B2"/>
        </w:rPr>
        <w:t>%</w:t>
      </w:r>
    </w:p>
    <w:p>
      <w:pPr>
        <w:spacing w:after="0" w:line="51" w:lineRule="exact"/>
        <w:rPr>
          <w:sz w:val="20"/>
          <w:szCs w:val="20"/>
          <w:color w:val="auto"/>
        </w:rPr>
      </w:pPr>
    </w:p>
    <w:p>
      <w:pPr>
        <w:sectPr>
          <w:pgSz w:w="12240" w:h="15840" w:orient="portrait"/>
          <w:cols w:equalWidth="0" w:num="3">
            <w:col w:w="2800" w:space="680"/>
            <w:col w:w="3180" w:space="720"/>
            <w:col w:w="2860"/>
          </w:cols>
          <w:pgMar w:left="960" w:top="611" w:right="1040" w:bottom="882" w:gutter="0" w:footer="0" w:header="0"/>
          <w:type w:val="continuous"/>
        </w:sectPr>
      </w:pPr>
    </w:p>
    <w:p>
      <w:pPr>
        <w:ind w:left="2300"/>
        <w:spacing w:after="0"/>
        <w:rPr>
          <w:sz w:val="20"/>
          <w:szCs w:val="20"/>
          <w:color w:val="auto"/>
        </w:rPr>
      </w:pPr>
      <w:r>
        <w:rPr>
          <w:rFonts w:ascii="Arial" w:cs="Arial" w:eastAsia="Arial" w:hAnsi="Arial"/>
          <w:sz w:val="64"/>
          <w:szCs w:val="64"/>
          <w:b w:val="1"/>
          <w:bCs w:val="1"/>
          <w:color w:val="76C7B2"/>
        </w:rPr>
        <w:t>42 </w:t>
      </w:r>
      <w:r>
        <w:rPr>
          <w:rFonts w:ascii="Arial" w:cs="Arial" w:eastAsia="Arial" w:hAnsi="Arial"/>
          <w:sz w:val="32"/>
          <w:szCs w:val="32"/>
          <w:b w:val="1"/>
          <w:bCs w:val="1"/>
          <w:color w:val="76C7B2"/>
        </w:rPr>
        <w:t>States</w:t>
      </w:r>
    </w:p>
    <w:p>
      <w:pPr>
        <w:ind w:left="2380"/>
        <w:spacing w:after="0" w:line="237" w:lineRule="auto"/>
        <w:rPr>
          <w:sz w:val="20"/>
          <w:szCs w:val="20"/>
          <w:color w:val="auto"/>
        </w:rPr>
      </w:pPr>
      <w:r>
        <w:rPr>
          <w:rFonts w:ascii="Arial" w:cs="Arial" w:eastAsia="Arial" w:hAnsi="Arial"/>
          <w:sz w:val="16"/>
          <w:szCs w:val="16"/>
          <w:color w:val="FFFFFF"/>
        </w:rPr>
        <w:t>Current Legalization</w:t>
      </w:r>
      <w:r>
        <w:rPr>
          <w:rFonts w:ascii="Arial" w:cs="Arial" w:eastAsia="Arial" w:hAnsi="Arial"/>
          <w:sz w:val="18"/>
          <w:szCs w:val="18"/>
          <w:color w:val="FFFFFF"/>
          <w:vertAlign w:val="superscript"/>
        </w:rPr>
        <w:t>4</w:t>
      </w:r>
    </w:p>
    <w:p>
      <w:pPr>
        <w:spacing w:after="0" w:line="95" w:lineRule="exact"/>
        <w:rPr>
          <w:sz w:val="20"/>
          <w:szCs w:val="20"/>
          <w:color w:val="auto"/>
        </w:rPr>
      </w:pPr>
    </w:p>
    <w:p>
      <w:pPr>
        <w:ind w:left="1760" w:hanging="200"/>
        <w:spacing w:after="0"/>
        <w:tabs>
          <w:tab w:leader="none" w:pos="1760" w:val="left"/>
        </w:tabs>
        <w:numPr>
          <w:ilvl w:val="0"/>
          <w:numId w:val="1"/>
        </w:numPr>
        <w:rPr>
          <w:rFonts w:ascii="Arial" w:cs="Arial" w:eastAsia="Arial" w:hAnsi="Arial"/>
          <w:sz w:val="16"/>
          <w:szCs w:val="16"/>
          <w:color w:val="475068"/>
        </w:rPr>
      </w:pPr>
      <w:r>
        <w:rPr>
          <w:rFonts w:ascii="Arial" w:cs="Arial" w:eastAsia="Arial" w:hAnsi="Arial"/>
          <w:sz w:val="16"/>
          <w:szCs w:val="16"/>
          <w:color w:val="FFFFFF"/>
        </w:rPr>
        <w:t>Legalized recreational and medical use</w:t>
      </w:r>
    </w:p>
    <w:p>
      <w:pPr>
        <w:spacing w:after="0" w:line="56" w:lineRule="exact"/>
        <w:rPr>
          <w:sz w:val="20"/>
          <w:szCs w:val="20"/>
          <w:color w:val="auto"/>
        </w:rPr>
      </w:pPr>
    </w:p>
    <w:p>
      <w:pPr>
        <w:ind w:left="1160"/>
        <w:spacing w:after="0"/>
        <w:rPr>
          <w:sz w:val="20"/>
          <w:szCs w:val="20"/>
          <w:color w:val="auto"/>
        </w:rPr>
      </w:pPr>
      <w:r>
        <w:rPr>
          <w:rFonts w:ascii="Arial" w:cs="Arial" w:eastAsia="Arial" w:hAnsi="Arial"/>
          <w:sz w:val="16"/>
          <w:szCs w:val="16"/>
          <w:color w:val="76C7B2"/>
        </w:rPr>
        <w:t xml:space="preserve">O </w:t>
      </w:r>
      <w:r>
        <w:rPr>
          <w:rFonts w:ascii="Arial" w:cs="Arial" w:eastAsia="Arial" w:hAnsi="Arial"/>
          <w:sz w:val="16"/>
          <w:szCs w:val="16"/>
          <w:color w:val="FFFFFF"/>
        </w:rPr>
        <w:t>Legalized medical use only</w:t>
      </w:r>
      <w:r>
        <w:rPr>
          <w:rFonts w:ascii="Arial" w:cs="Arial" w:eastAsia="Arial" w:hAnsi="Arial"/>
          <w:sz w:val="16"/>
          <w:szCs w:val="16"/>
          <w:color w:val="76C7B2"/>
        </w:rPr>
        <w:t xml:space="preserve">  </w:t>
      </w:r>
      <w:r>
        <w:rPr>
          <w:rFonts w:ascii="Arial" w:cs="Arial" w:eastAsia="Arial" w:hAnsi="Arial"/>
          <w:sz w:val="16"/>
          <w:szCs w:val="16"/>
          <w:color w:val="DDDCDC"/>
        </w:rPr>
        <w:t>O</w:t>
      </w:r>
      <w:r>
        <w:rPr>
          <w:rFonts w:ascii="Arial" w:cs="Arial" w:eastAsia="Arial" w:hAnsi="Arial"/>
          <w:sz w:val="16"/>
          <w:szCs w:val="16"/>
          <w:color w:val="76C7B2"/>
        </w:rPr>
        <w:t xml:space="preserve"> </w:t>
      </w:r>
      <w:r>
        <w:rPr>
          <w:rFonts w:ascii="Arial" w:cs="Arial" w:eastAsia="Arial" w:hAnsi="Arial"/>
          <w:sz w:val="16"/>
          <w:szCs w:val="16"/>
          <w:color w:val="FFFFFF"/>
        </w:rPr>
        <w:t>No regulated use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FFFFFF"/>
        </w:rPr>
        <w:t>gross portfolio yield</w:t>
      </w:r>
      <w:r>
        <w:rPr>
          <w:rFonts w:ascii="Arial" w:cs="Arial" w:eastAsia="Arial" w:hAnsi="Arial"/>
          <w:sz w:val="18"/>
          <w:szCs w:val="18"/>
          <w:color w:val="FFFFFF"/>
          <w:vertAlign w:val="superscript"/>
        </w:rPr>
        <w:t>1</w:t>
      </w:r>
    </w:p>
    <w:p>
      <w:pPr>
        <w:spacing w:after="0" w:line="248" w:lineRule="exact"/>
        <w:rPr>
          <w:sz w:val="20"/>
          <w:szCs w:val="20"/>
          <w:color w:val="auto"/>
        </w:rPr>
      </w:pPr>
    </w:p>
    <w:p>
      <w:pPr>
        <w:spacing w:after="0"/>
        <w:rPr>
          <w:sz w:val="20"/>
          <w:szCs w:val="20"/>
          <w:color w:val="auto"/>
        </w:rPr>
      </w:pPr>
      <w:r>
        <w:rPr>
          <w:rFonts w:ascii="Arial" w:cs="Arial" w:eastAsia="Arial" w:hAnsi="Arial"/>
          <w:sz w:val="64"/>
          <w:szCs w:val="64"/>
          <w:b w:val="1"/>
          <w:bCs w:val="1"/>
          <w:color w:val="76C7B2"/>
        </w:rPr>
        <w:t>1</w:t>
      </w:r>
      <w:r>
        <w:rPr>
          <w:rFonts w:ascii="Arial" w:cs="Arial" w:eastAsia="Arial" w:hAnsi="Arial"/>
          <w:sz w:val="32"/>
          <w:szCs w:val="32"/>
          <w:b w:val="1"/>
          <w:bCs w:val="1"/>
          <w:color w:val="76C7B2"/>
        </w:rPr>
        <w:t>.</w:t>
      </w:r>
      <w:r>
        <w:rPr>
          <w:rFonts w:ascii="Arial" w:cs="Arial" w:eastAsia="Arial" w:hAnsi="Arial"/>
          <w:sz w:val="64"/>
          <w:szCs w:val="64"/>
          <w:b w:val="1"/>
          <w:bCs w:val="1"/>
          <w:color w:val="76C7B2"/>
        </w:rPr>
        <w:t>2</w:t>
      </w:r>
      <w:r>
        <w:rPr>
          <w:rFonts w:ascii="Arial" w:cs="Arial" w:eastAsia="Arial" w:hAnsi="Arial"/>
          <w:sz w:val="32"/>
          <w:szCs w:val="32"/>
          <w:b w:val="1"/>
          <w:bCs w:val="1"/>
          <w:color w:val="76C7B2"/>
        </w:rPr>
        <w:t>X</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FFFFF"/>
        </w:rPr>
        <w:t>real estate collateral coverage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FFFFFF"/>
        </w:rPr>
        <w:t>in current portfolio</w:t>
      </w:r>
      <w:r>
        <w:rPr>
          <w:rFonts w:ascii="Arial" w:cs="Arial" w:eastAsia="Arial" w:hAnsi="Arial"/>
          <w:sz w:val="18"/>
          <w:szCs w:val="18"/>
          <w:color w:val="FFFFFF"/>
          <w:vertAlign w:val="superscript"/>
        </w:rPr>
        <w:t>1</w:t>
      </w:r>
    </w:p>
    <w:p>
      <w:pPr>
        <w:spacing w:after="0" w:line="200" w:lineRule="exact"/>
        <w:rPr>
          <w:sz w:val="20"/>
          <w:szCs w:val="20"/>
          <w:color w:val="auto"/>
        </w:rPr>
      </w:pPr>
    </w:p>
    <w:p>
      <w:pPr>
        <w:sectPr>
          <w:pgSz w:w="12240" w:h="15840" w:orient="portrait"/>
          <w:cols w:equalWidth="0" w:num="2">
            <w:col w:w="6660" w:space="720"/>
            <w:col w:w="2860"/>
          </w:cols>
          <w:pgMar w:left="960" w:top="611" w:right="1040" w:bottom="88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420" w:hanging="50"/>
        <w:spacing w:after="0"/>
        <w:tabs>
          <w:tab w:leader="none" w:pos="7420" w:val="left"/>
        </w:tabs>
        <w:numPr>
          <w:ilvl w:val="0"/>
          <w:numId w:val="2"/>
        </w:numPr>
        <w:rPr>
          <w:rFonts w:ascii="Arial" w:cs="Arial" w:eastAsia="Arial" w:hAnsi="Arial"/>
          <w:sz w:val="13"/>
          <w:szCs w:val="13"/>
          <w:color w:val="FFFFFF"/>
          <w:vertAlign w:val="superscript"/>
        </w:rPr>
      </w:pPr>
      <w:r>
        <w:rPr>
          <w:rFonts w:ascii="Arial" w:cs="Arial" w:eastAsia="Arial" w:hAnsi="Arial"/>
          <w:sz w:val="11"/>
          <w:szCs w:val="11"/>
          <w:color w:val="FFFFFF"/>
        </w:rPr>
        <w:t>As of December 31, 2025.</w:t>
      </w:r>
    </w:p>
    <w:p>
      <w:pPr>
        <w:spacing w:after="0" w:line="111" w:lineRule="exact"/>
        <w:rPr>
          <w:sz w:val="20"/>
          <w:szCs w:val="20"/>
          <w:color w:val="auto"/>
        </w:rPr>
      </w:pPr>
    </w:p>
    <w:p>
      <w:pPr>
        <w:ind w:left="7440" w:hanging="70"/>
        <w:spacing w:after="0" w:line="265" w:lineRule="auto"/>
        <w:tabs>
          <w:tab w:leader="none" w:pos="7440" w:val="left"/>
        </w:tabs>
        <w:numPr>
          <w:ilvl w:val="0"/>
          <w:numId w:val="3"/>
        </w:numPr>
        <w:rPr>
          <w:rFonts w:ascii="Arial" w:cs="Arial" w:eastAsia="Arial" w:hAnsi="Arial"/>
          <w:sz w:val="16"/>
          <w:szCs w:val="16"/>
          <w:color w:val="FFFFFF"/>
          <w:vertAlign w:val="superscript"/>
        </w:rPr>
      </w:pPr>
      <w:r>
        <w:rPr>
          <w:rFonts w:ascii="Arial" w:cs="Arial" w:eastAsia="Arial" w:hAnsi="Arial"/>
          <w:sz w:val="14"/>
          <w:szCs w:val="14"/>
          <w:color w:val="FFFFFF"/>
        </w:rPr>
        <w:t>As of December 31, 2025, includes potential syndications and refinancings, and represents cannabis originations across the Sponsor’s platform.</w:t>
      </w:r>
    </w:p>
    <w:p>
      <w:pPr>
        <w:spacing w:after="0" w:line="64" w:lineRule="exact"/>
        <w:rPr>
          <w:sz w:val="20"/>
          <w:szCs w:val="20"/>
          <w:color w:val="auto"/>
        </w:rPr>
      </w:pPr>
    </w:p>
    <w:p>
      <w:pPr>
        <w:jc w:val="both"/>
        <w:ind w:left="7440" w:right="300" w:hanging="70"/>
        <w:spacing w:after="0" w:line="265" w:lineRule="auto"/>
        <w:tabs>
          <w:tab w:leader="none" w:pos="7440" w:val="left"/>
        </w:tabs>
        <w:numPr>
          <w:ilvl w:val="0"/>
          <w:numId w:val="4"/>
        </w:numPr>
        <w:rPr>
          <w:rFonts w:ascii="Arial" w:cs="Arial" w:eastAsia="Arial" w:hAnsi="Arial"/>
          <w:sz w:val="16"/>
          <w:szCs w:val="16"/>
          <w:color w:val="FFFFFF"/>
          <w:vertAlign w:val="superscript"/>
        </w:rPr>
      </w:pPr>
      <w:r>
        <w:rPr>
          <w:rFonts w:ascii="Arial" w:cs="Arial" w:eastAsia="Arial" w:hAnsi="Arial"/>
          <w:sz w:val="14"/>
          <w:szCs w:val="14"/>
          <w:color w:val="FFFFFF"/>
        </w:rPr>
        <w:t>As of December 31, 2025, represents transactions closed by our Sponsor (“Chicago Atlantic Group, LP”) and its affiliates.</w:t>
      </w:r>
    </w:p>
    <w:p>
      <w:pPr>
        <w:spacing w:after="0" w:line="60" w:lineRule="exact"/>
        <w:rPr>
          <w:sz w:val="20"/>
          <w:szCs w:val="20"/>
          <w:color w:val="auto"/>
        </w:rPr>
      </w:pPr>
    </w:p>
    <w:p>
      <w:pPr>
        <w:ind w:left="7440" w:hanging="70"/>
        <w:spacing w:after="0"/>
        <w:tabs>
          <w:tab w:leader="none" w:pos="7440" w:val="left"/>
        </w:tabs>
        <w:numPr>
          <w:ilvl w:val="0"/>
          <w:numId w:val="5"/>
        </w:numPr>
        <w:rPr>
          <w:rFonts w:ascii="Arial" w:cs="Arial" w:eastAsia="Arial" w:hAnsi="Arial"/>
          <w:sz w:val="16"/>
          <w:szCs w:val="16"/>
          <w:color w:val="FFFFFF"/>
          <w:vertAlign w:val="superscript"/>
        </w:rPr>
      </w:pPr>
      <w:r>
        <w:rPr>
          <w:rFonts w:ascii="Arial" w:cs="Arial" w:eastAsia="Arial" w:hAnsi="Arial"/>
          <w:sz w:val="14"/>
          <w:szCs w:val="14"/>
          <w:color w:val="FFFFFF"/>
        </w:rPr>
        <w:t>Per MJBiz Daily, as of June 20, 2025.</w:t>
      </w:r>
    </w:p>
    <w:p>
      <w:pPr>
        <w:sectPr>
          <w:pgSz w:w="12240" w:h="15840" w:orient="portrait"/>
          <w:cols w:equalWidth="0" w:num="1">
            <w:col w:w="10240"/>
          </w:cols>
          <w:pgMar w:left="960" w:top="611" w:right="1040" w:bottom="882"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wp:posOffset>
            </wp:positionH>
            <wp:positionV relativeFrom="page">
              <wp:posOffset>57150</wp:posOffset>
            </wp:positionV>
            <wp:extent cx="4059555" cy="9944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59555" cy="994410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540"/>
        <w:spacing w:after="0" w:line="254" w:lineRule="auto"/>
        <w:rPr>
          <w:sz w:val="20"/>
          <w:szCs w:val="20"/>
          <w:color w:val="auto"/>
        </w:rPr>
      </w:pPr>
      <w:r>
        <w:rPr>
          <w:rFonts w:ascii="Arial" w:cs="Arial" w:eastAsia="Arial" w:hAnsi="Arial"/>
          <w:sz w:val="47"/>
          <w:szCs w:val="47"/>
          <w:color w:val="76C8BA"/>
        </w:rPr>
        <w:t>OUR FELLOW SHAREHOLDERS:</w:t>
      </w:r>
    </w:p>
    <w:p>
      <w:pPr>
        <w:spacing w:after="0" w:line="194"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00000C"/>
        </w:rPr>
        <w:t>Chicago Atlantic delivered another year of strong, consistent results in 2025. We grew the loan portfolio, maintained our low leverage profile relative to peers, and generated strong risk-adjusted returns in what proved to be a challenging environment for both the private credit markets and the cannabis industry. Since inception, we have distributed $8.47 per common share in dividends, representing an annualized yield to cost of approximately 12.4% measured against our IPO price. We would like to thank our investors and the Chicago Atlantic team for their contributions and support.</w:t>
      </w:r>
    </w:p>
    <w:p>
      <w:pPr>
        <w:spacing w:after="0" w:line="357" w:lineRule="exact"/>
        <w:rPr>
          <w:sz w:val="20"/>
          <w:szCs w:val="20"/>
          <w:color w:val="auto"/>
        </w:rPr>
      </w:pPr>
    </w:p>
    <w:p>
      <w:pPr>
        <w:ind w:right="20"/>
        <w:spacing w:after="0" w:line="305" w:lineRule="auto"/>
        <w:rPr>
          <w:sz w:val="20"/>
          <w:szCs w:val="20"/>
          <w:color w:val="auto"/>
        </w:rPr>
      </w:pPr>
      <w:r>
        <w:rPr>
          <w:rFonts w:ascii="Arial" w:cs="Arial" w:eastAsia="Arial" w:hAnsi="Arial"/>
          <w:sz w:val="17"/>
          <w:szCs w:val="17"/>
          <w:color w:val="00000C"/>
        </w:rPr>
        <w:t>We navigated 2025 against a private credit backdrop that tested investor confidence across the sector. Declining interest rates pressured lenders with unprotected floating rate portfolios. High-profile instances of fraud in the syndicated loan market, and a perception of excess capital chasing diminished returns have weighed on sentiment. Many private credit vehicles experienced write-downs, redemption pressures, and widening spreads. We suspect these broader concerns contributed to our shares trading at a discount to book value during varying periods of the year, after years of trading at a premium since our IPO. Our management team and Board of Directors responded by purchasing shares on the open market, bringing our collective ownership to nearly 1.8 million shares, or 8.2% on a fully diluted basis. We put our own capital behind our conviction because we believe the drivers of current private credit market pressure simply are not relevant to our business.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306" w:lineRule="auto"/>
        <w:rPr>
          <w:sz w:val="20"/>
          <w:szCs w:val="20"/>
          <w:color w:val="auto"/>
        </w:rPr>
      </w:pPr>
      <w:r>
        <w:rPr>
          <w:rFonts w:ascii="Arial" w:cs="Arial" w:eastAsia="Arial" w:hAnsi="Arial"/>
          <w:sz w:val="17"/>
          <w:szCs w:val="17"/>
          <w:color w:val="00000C"/>
        </w:rPr>
        <w:t>Chicago Atlantic operates within a unique intersection of real estate, credit, and the U.S. cannabis industry. Our portfolio has extremely limited overlap with the broader private credit markets. We directly originate and agent nearly all of our investments. We maintain a team of over 100 professionals overseeing $2.3 billion in capital under management because we have learned that in a market with limited lending competition, our investment in expertise and execution capabilities translates directly into outperformance for our investors. We are not price takers, and we are not reliant upon the next investment banker or private equity sponsor to source our deal flow. Because we focus on one sector, we have the ability to invest in originations, underwriting, and real estate analytics at a level that generalist lenders often cannot replicate.</w:t>
      </w:r>
    </w:p>
    <w:p>
      <w:pPr>
        <w:spacing w:after="0" w:line="20" w:lineRule="exact"/>
        <w:rPr>
          <w:sz w:val="20"/>
          <w:szCs w:val="20"/>
          <w:color w:val="auto"/>
        </w:rPr>
      </w:pPr>
      <w:r>
        <w:rPr>
          <w:sz w:val="20"/>
          <w:szCs w:val="20"/>
          <w:color w:val="auto"/>
        </w:rPr>
        <w:br w:type="column"/>
      </w:r>
    </w:p>
    <w:p>
      <w:pPr>
        <w:ind w:left="3243"/>
        <w:spacing w:after="0"/>
        <w:rPr>
          <w:sz w:val="20"/>
          <w:szCs w:val="20"/>
          <w:color w:val="auto"/>
        </w:rPr>
      </w:pPr>
      <w:r>
        <w:rPr>
          <w:rFonts w:ascii="Arial" w:cs="Arial" w:eastAsia="Arial" w:hAnsi="Arial"/>
          <w:sz w:val="16"/>
          <w:szCs w:val="16"/>
          <w:color w:val="4E5566"/>
        </w:rPr>
        <w:t>2025 Annual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 w:right="20"/>
        <w:spacing w:after="0" w:line="306" w:lineRule="auto"/>
        <w:rPr>
          <w:sz w:val="20"/>
          <w:szCs w:val="20"/>
          <w:color w:val="auto"/>
        </w:rPr>
      </w:pPr>
      <w:r>
        <w:rPr>
          <w:rFonts w:ascii="Arial" w:cs="Arial" w:eastAsia="Arial" w:hAnsi="Arial"/>
          <w:sz w:val="17"/>
          <w:szCs w:val="17"/>
          <w:color w:val="00000C"/>
        </w:rPr>
        <w:t>As of December 31, 2025, our loan portfolio principal totaled approximately $411 million across 26 portfolio companies with a weighted average yield to maturity of 16.3%. We reported distributable earnings of $1.92 per basic weighted average share for the full year. The Board declared a dividend of $0.47 per common share for each quarter during 2025, and book value was $14.60 per share at year end. Our real estate collateral coverage remained strong at 1.2 times on a weighted average basis, and our loan-to-enterprise value ratio was 44.2%, reflecting the conservative leverage profiles we require of our borrowers.</w:t>
      </w:r>
    </w:p>
    <w:p>
      <w:pPr>
        <w:spacing w:after="0" w:line="364" w:lineRule="exact"/>
        <w:rPr>
          <w:sz w:val="20"/>
          <w:szCs w:val="20"/>
          <w:color w:val="auto"/>
        </w:rPr>
      </w:pPr>
    </w:p>
    <w:p>
      <w:pPr>
        <w:ind w:left="3" w:right="20"/>
        <w:spacing w:after="0" w:line="306" w:lineRule="auto"/>
        <w:rPr>
          <w:sz w:val="20"/>
          <w:szCs w:val="20"/>
          <w:color w:val="auto"/>
        </w:rPr>
      </w:pPr>
      <w:r>
        <w:rPr>
          <w:rFonts w:ascii="Arial" w:cs="Arial" w:eastAsia="Arial" w:hAnsi="Arial"/>
          <w:sz w:val="17"/>
          <w:szCs w:val="17"/>
          <w:color w:val="00000C"/>
        </w:rPr>
        <w:t>One of the more consequential decisions we made in recent years was the active restructuring of our interest rate exposure. Through diligent portfolio management, we positioned the portfolio so that as of December 31, only 9% remained exposed to further rate declines, with the other 91% either fixed or protected by prime rate floors at or above the prevailing 6.75% rate. Importantly, none of our floating rate loans are exposed to interest rate caps. The result is a portfolio that is structurally insulated from rate volatility in a way that most mortgage REITs are not. We built that protection loan by loan over several years, negotiating and renegotiating floors and fixed rate structures for dozens of individual credit positions.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 w:right="100"/>
        <w:spacing w:after="0" w:line="305" w:lineRule="auto"/>
        <w:rPr>
          <w:sz w:val="20"/>
          <w:szCs w:val="20"/>
          <w:color w:val="auto"/>
        </w:rPr>
      </w:pPr>
      <w:r>
        <w:rPr>
          <w:rFonts w:ascii="Arial" w:cs="Arial" w:eastAsia="Arial" w:hAnsi="Arial"/>
          <w:sz w:val="17"/>
          <w:szCs w:val="17"/>
          <w:color w:val="00000C"/>
        </w:rPr>
        <w:t>During the year, we demonstrated the depth of our platform through several meaningful transactions. We funded what we believe to be the largest real estate-backed revolving credit facility among U.S. cannabis operators in the history of the industry—a $75 million three-year secured revolver with Verano. We also brought a loan that had been on non-accrual since 2023, through a complete foreclosure, change of control, and operational restructuring that resulted in the borrower becoming current on all interest by year end. That outcome reflects the full capabilities that Chicago Atlantic can bring to complex credit situations—legal, operational, financial, and real estate expertise working in coordination. We extended our senior secured revolving credit facility to June 2028, with no change to economic terms, and we ended the year with total leverage of 32% of book equity, well below the levels maintained by most of our mortgage REIT peers.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 w:right="320"/>
        <w:spacing w:after="0" w:line="303" w:lineRule="auto"/>
        <w:rPr>
          <w:sz w:val="20"/>
          <w:szCs w:val="20"/>
          <w:color w:val="auto"/>
        </w:rPr>
      </w:pPr>
      <w:r>
        <w:rPr>
          <w:rFonts w:ascii="Arial" w:cs="Arial" w:eastAsia="Arial" w:hAnsi="Arial"/>
          <w:sz w:val="17"/>
          <w:szCs w:val="17"/>
          <w:color w:val="00000C"/>
        </w:rPr>
        <w:t>President Trump’s executive order directing the rescheduling of cannabis from Schedule I to Schedule</w:t>
      </w:r>
    </w:p>
    <w:p>
      <w:pPr>
        <w:spacing w:after="0" w:line="1" w:lineRule="exact"/>
        <w:rPr>
          <w:sz w:val="20"/>
          <w:szCs w:val="20"/>
          <w:color w:val="auto"/>
        </w:rPr>
      </w:pPr>
    </w:p>
    <w:p>
      <w:pPr>
        <w:jc w:val="center"/>
        <w:ind w:left="3" w:right="220" w:hanging="3"/>
        <w:spacing w:after="0" w:line="317" w:lineRule="auto"/>
        <w:tabs>
          <w:tab w:leader="none" w:pos="199" w:val="left"/>
        </w:tabs>
        <w:numPr>
          <w:ilvl w:val="0"/>
          <w:numId w:val="6"/>
        </w:numPr>
        <w:rPr>
          <w:rFonts w:ascii="Arial" w:cs="Arial" w:eastAsia="Arial" w:hAnsi="Arial"/>
          <w:sz w:val="17"/>
          <w:szCs w:val="17"/>
          <w:color w:val="00000C"/>
        </w:rPr>
      </w:pPr>
      <w:r>
        <w:rPr>
          <w:rFonts w:ascii="Arial" w:cs="Arial" w:eastAsia="Arial" w:hAnsi="Arial"/>
          <w:sz w:val="17"/>
          <w:szCs w:val="17"/>
          <w:color w:val="00000C"/>
        </w:rPr>
        <w:t>marked the most significant shift in federal policy sentiment in the history of the legal cannabis industry. We believe rescheduling, when finalized, will materially</w:t>
      </w:r>
    </w:p>
    <w:p>
      <w:pPr>
        <w:spacing w:after="0" w:line="200" w:lineRule="exact"/>
        <w:rPr>
          <w:sz w:val="20"/>
          <w:szCs w:val="20"/>
          <w:color w:val="auto"/>
        </w:rPr>
      </w:pPr>
    </w:p>
    <w:p>
      <w:pPr>
        <w:sectPr>
          <w:pgSz w:w="12240" w:h="15840" w:orient="portrait"/>
          <w:cols w:equalWidth="0" w:num="2">
            <w:col w:w="4840" w:space="477"/>
            <w:col w:w="4863"/>
          </w:cols>
          <w:pgMar w:left="1040" w:top="696" w:right="1020"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120"/>
        <w:spacing w:after="0"/>
        <w:rPr>
          <w:sz w:val="20"/>
          <w:szCs w:val="20"/>
          <w:color w:val="auto"/>
        </w:rPr>
      </w:pPr>
      <w:r>
        <w:rPr>
          <w:rFonts w:ascii="Arial" w:cs="Arial" w:eastAsia="Arial" w:hAnsi="Arial"/>
          <w:sz w:val="10"/>
          <w:szCs w:val="10"/>
          <w:color w:val="4E5566"/>
        </w:rPr>
        <w:t>1</w:t>
      </w:r>
    </w:p>
    <w:p>
      <w:pPr>
        <w:sectPr>
          <w:pgSz w:w="12240" w:h="15840" w:orient="portrait"/>
          <w:cols w:equalWidth="0" w:num="1">
            <w:col w:w="10180"/>
          </w:cols>
          <w:pgMar w:left="1040" w:top="696" w:right="1020" w:bottom="236"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4E5566"/>
        </w:rPr>
        <w:t>Chicago Atlantic Real Estate Finance,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434340</wp:posOffset>
            </wp:positionV>
            <wp:extent cx="1949450" cy="1955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9450" cy="195516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434340</wp:posOffset>
            </wp:positionV>
            <wp:extent cx="1898650" cy="1882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8650" cy="188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60" w:type="dxa"/>
        <w:tblCellMar>
          <w:top w:w="0" w:type="dxa"/>
          <w:left w:w="0" w:type="dxa"/>
          <w:bottom w:w="0" w:type="dxa"/>
          <w:right w:w="0" w:type="dxa"/>
        </w:tblCellMar>
      </w:tblPr>
      <w:tr>
        <w:trPr>
          <w:trHeight w:val="285"/>
        </w:trPr>
        <w:tc>
          <w:tcPr>
            <w:tcW w:w="1660" w:type="dxa"/>
            <w:vAlign w:val="bottom"/>
          </w:tcPr>
          <w:p>
            <w:pPr>
              <w:jc w:val="right"/>
              <w:ind w:right="1011"/>
              <w:spacing w:after="0"/>
              <w:rPr>
                <w:sz w:val="20"/>
                <w:szCs w:val="20"/>
                <w:color w:val="auto"/>
              </w:rPr>
            </w:pPr>
            <w:r>
              <w:rPr>
                <w:rFonts w:ascii="Arial" w:cs="Arial" w:eastAsia="Arial" w:hAnsi="Arial"/>
                <w:sz w:val="18"/>
                <w:szCs w:val="18"/>
                <w:b w:val="1"/>
                <w:bCs w:val="1"/>
                <w:color w:val="FFFFFF"/>
              </w:rPr>
              <w:t>36.7%</w:t>
            </w:r>
          </w:p>
        </w:tc>
        <w:tc>
          <w:tcPr>
            <w:tcW w:w="900" w:type="dxa"/>
            <w:vAlign w:val="bottom"/>
          </w:tcPr>
          <w:p>
            <w:pPr>
              <w:jc w:val="right"/>
              <w:ind w:right="151"/>
              <w:spacing w:after="0"/>
              <w:rPr>
                <w:sz w:val="20"/>
                <w:szCs w:val="20"/>
                <w:color w:val="auto"/>
              </w:rPr>
            </w:pPr>
            <w:r>
              <w:rPr>
                <w:rFonts w:ascii="Arial" w:cs="Arial" w:eastAsia="Arial" w:hAnsi="Arial"/>
                <w:sz w:val="18"/>
                <w:szCs w:val="18"/>
                <w:b w:val="1"/>
                <w:bCs w:val="1"/>
                <w:color w:val="FFFFFF"/>
              </w:rPr>
              <w:t>39.5%</w:t>
            </w:r>
          </w:p>
        </w:tc>
        <w:tc>
          <w:tcPr>
            <w:tcW w:w="2180" w:type="dxa"/>
            <w:vAlign w:val="bottom"/>
          </w:tcPr>
          <w:p>
            <w:pPr>
              <w:ind w:left="220"/>
              <w:spacing w:after="0"/>
              <w:rPr>
                <w:sz w:val="20"/>
                <w:szCs w:val="20"/>
                <w:color w:val="auto"/>
              </w:rPr>
            </w:pPr>
            <w:r>
              <w:rPr>
                <w:rFonts w:ascii="Arial" w:cs="Arial" w:eastAsia="Arial" w:hAnsi="Arial"/>
                <w:sz w:val="20"/>
                <w:szCs w:val="20"/>
                <w:b w:val="1"/>
                <w:bCs w:val="1"/>
                <w:color w:val="76C8BA"/>
              </w:rPr>
              <w:t>By Loan</w:t>
            </w:r>
          </w:p>
        </w:tc>
        <w:tc>
          <w:tcPr>
            <w:tcW w:w="3060" w:type="dxa"/>
            <w:vAlign w:val="bottom"/>
          </w:tcPr>
          <w:p>
            <w:pPr>
              <w:jc w:val="right"/>
              <w:ind w:right="138"/>
              <w:spacing w:after="0"/>
              <w:rPr>
                <w:sz w:val="20"/>
                <w:szCs w:val="20"/>
                <w:color w:val="auto"/>
              </w:rPr>
            </w:pPr>
            <w:r>
              <w:rPr>
                <w:rFonts w:ascii="Arial" w:cs="Arial" w:eastAsia="Arial" w:hAnsi="Arial"/>
                <w:sz w:val="18"/>
                <w:szCs w:val="18"/>
                <w:b w:val="1"/>
                <w:bCs w:val="1"/>
                <w:color w:val="FFFFFF"/>
              </w:rPr>
              <w:t>37.6%</w:t>
            </w:r>
          </w:p>
        </w:tc>
        <w:tc>
          <w:tcPr>
            <w:tcW w:w="1860" w:type="dxa"/>
            <w:vAlign w:val="bottom"/>
          </w:tcPr>
          <w:p>
            <w:pPr>
              <w:ind w:left="220"/>
              <w:spacing w:after="0"/>
              <w:rPr>
                <w:sz w:val="20"/>
                <w:szCs w:val="20"/>
                <w:color w:val="auto"/>
              </w:rPr>
            </w:pPr>
            <w:r>
              <w:rPr>
                <w:rFonts w:ascii="Arial" w:cs="Arial" w:eastAsia="Arial" w:hAnsi="Arial"/>
                <w:sz w:val="20"/>
                <w:szCs w:val="20"/>
                <w:b w:val="1"/>
                <w:bCs w:val="1"/>
                <w:color w:val="76C8BA"/>
              </w:rPr>
              <w:t>By Rate Type</w:t>
            </w:r>
          </w:p>
        </w:tc>
      </w:tr>
      <w:tr>
        <w:trPr>
          <w:trHeight w:val="355"/>
        </w:trPr>
        <w:tc>
          <w:tcPr>
            <w:tcW w:w="1660" w:type="dxa"/>
            <w:vAlign w:val="bottom"/>
          </w:tcPr>
          <w:p>
            <w:pPr>
              <w:ind w:left="700"/>
              <w:spacing w:after="0" w:line="354" w:lineRule="exact"/>
              <w:rPr>
                <w:sz w:val="20"/>
                <w:szCs w:val="20"/>
                <w:color w:val="auto"/>
              </w:rPr>
            </w:pPr>
            <w:r>
              <w:rPr>
                <w:rFonts w:ascii="Arial" w:cs="Arial" w:eastAsia="Arial" w:hAnsi="Arial"/>
                <w:sz w:val="39"/>
                <w:szCs w:val="39"/>
                <w:b w:val="1"/>
                <w:bCs w:val="1"/>
                <w:color w:val="76C8BA"/>
              </w:rPr>
              <w:t>3</w:t>
            </w:r>
            <w:r>
              <w:rPr>
                <w:rFonts w:ascii="Arial" w:cs="Arial" w:eastAsia="Arial" w:hAnsi="Arial"/>
                <w:sz w:val="19"/>
                <w:szCs w:val="19"/>
                <w:b w:val="1"/>
                <w:bCs w:val="1"/>
                <w:color w:val="76C8BA"/>
              </w:rPr>
              <w:t>.</w:t>
            </w:r>
            <w:r>
              <w:rPr>
                <w:rFonts w:ascii="Arial" w:cs="Arial" w:eastAsia="Arial" w:hAnsi="Arial"/>
                <w:sz w:val="39"/>
                <w:szCs w:val="39"/>
                <w:b w:val="1"/>
                <w:bCs w:val="1"/>
                <w:color w:val="76C8BA"/>
              </w:rPr>
              <w:t>4%</w:t>
            </w:r>
          </w:p>
        </w:tc>
        <w:tc>
          <w:tcPr>
            <w:tcW w:w="900" w:type="dxa"/>
            <w:vAlign w:val="bottom"/>
          </w:tcPr>
          <w:p>
            <w:pPr>
              <w:spacing w:after="0"/>
              <w:rPr>
                <w:sz w:val="24"/>
                <w:szCs w:val="24"/>
                <w:color w:val="auto"/>
              </w:rPr>
            </w:pPr>
          </w:p>
        </w:tc>
        <w:tc>
          <w:tcPr>
            <w:tcW w:w="2180" w:type="dxa"/>
            <w:vAlign w:val="bottom"/>
          </w:tcPr>
          <w:p>
            <w:pPr>
              <w:ind w:left="220"/>
              <w:spacing w:after="0"/>
              <w:rPr>
                <w:sz w:val="20"/>
                <w:szCs w:val="20"/>
                <w:color w:val="auto"/>
              </w:rPr>
            </w:pPr>
            <w:r>
              <w:rPr>
                <w:rFonts w:ascii="Arial" w:cs="Arial" w:eastAsia="Arial" w:hAnsi="Arial"/>
                <w:sz w:val="16"/>
                <w:szCs w:val="16"/>
                <w:color w:val="00000C"/>
              </w:rPr>
              <w:t>O Top 5 Loans</w:t>
            </w:r>
          </w:p>
        </w:tc>
        <w:tc>
          <w:tcPr>
            <w:tcW w:w="3060" w:type="dxa"/>
            <w:vAlign w:val="bottom"/>
          </w:tcPr>
          <w:p>
            <w:pPr>
              <w:jc w:val="right"/>
              <w:ind w:right="938"/>
              <w:spacing w:after="0" w:line="354" w:lineRule="exact"/>
              <w:rPr>
                <w:sz w:val="20"/>
                <w:szCs w:val="20"/>
                <w:color w:val="auto"/>
              </w:rPr>
            </w:pPr>
            <w:r>
              <w:rPr>
                <w:rFonts w:ascii="Arial" w:cs="Arial" w:eastAsia="Arial" w:hAnsi="Arial"/>
                <w:sz w:val="18"/>
                <w:szCs w:val="18"/>
                <w:b w:val="1"/>
                <w:bCs w:val="1"/>
                <w:color w:val="FFFFFF"/>
              </w:rPr>
              <w:t xml:space="preserve">48.2%   </w:t>
            </w:r>
            <w:r>
              <w:rPr>
                <w:rFonts w:ascii="Arial" w:cs="Arial" w:eastAsia="Arial" w:hAnsi="Arial"/>
                <w:sz w:val="32"/>
                <w:szCs w:val="32"/>
                <w:b w:val="1"/>
                <w:bCs w:val="1"/>
                <w:color w:val="76C8BA"/>
                <w:vertAlign w:val="superscript"/>
              </w:rPr>
              <w:t>$</w:t>
            </w:r>
            <w:r>
              <w:rPr>
                <w:rFonts w:ascii="Arial" w:cs="Arial" w:eastAsia="Arial" w:hAnsi="Arial"/>
                <w:sz w:val="39"/>
                <w:szCs w:val="39"/>
                <w:b w:val="1"/>
                <w:bCs w:val="1"/>
                <w:color w:val="76C8BA"/>
              </w:rPr>
              <w:t>411</w:t>
            </w:r>
            <w:r>
              <w:rPr>
                <w:rFonts w:ascii="Arial" w:cs="Arial" w:eastAsia="Arial" w:hAnsi="Arial"/>
                <w:sz w:val="39"/>
                <w:szCs w:val="39"/>
                <w:b w:val="1"/>
                <w:bCs w:val="1"/>
                <w:color w:val="76C8BA"/>
                <w:vertAlign w:val="subscript"/>
              </w:rPr>
              <w:t>.</w:t>
            </w:r>
            <w:r>
              <w:rPr>
                <w:rFonts w:ascii="Arial" w:cs="Arial" w:eastAsia="Arial" w:hAnsi="Arial"/>
                <w:sz w:val="39"/>
                <w:szCs w:val="39"/>
                <w:b w:val="1"/>
                <w:bCs w:val="1"/>
                <w:color w:val="76C8BA"/>
              </w:rPr>
              <w:t>1</w:t>
            </w:r>
          </w:p>
        </w:tc>
        <w:tc>
          <w:tcPr>
            <w:tcW w:w="1860" w:type="dxa"/>
            <w:vAlign w:val="bottom"/>
          </w:tcPr>
          <w:p>
            <w:pPr>
              <w:ind w:left="220"/>
              <w:spacing w:after="0"/>
              <w:rPr>
                <w:sz w:val="20"/>
                <w:szCs w:val="20"/>
                <w:color w:val="auto"/>
              </w:rPr>
            </w:pPr>
            <w:r>
              <w:rPr>
                <w:rFonts w:ascii="Arial" w:cs="Arial" w:eastAsia="Arial" w:hAnsi="Arial"/>
                <w:sz w:val="16"/>
                <w:szCs w:val="16"/>
                <w:color w:val="00000C"/>
              </w:rPr>
              <w:t>O Fixed</w:t>
            </w:r>
          </w:p>
        </w:tc>
      </w:tr>
      <w:tr>
        <w:trPr>
          <w:trHeight w:val="205"/>
        </w:trPr>
        <w:tc>
          <w:tcPr>
            <w:tcW w:w="1660" w:type="dxa"/>
            <w:vAlign w:val="bottom"/>
          </w:tcPr>
          <w:p>
            <w:pPr>
              <w:ind w:left="680"/>
              <w:spacing w:after="0"/>
              <w:rPr>
                <w:sz w:val="20"/>
                <w:szCs w:val="20"/>
                <w:color w:val="auto"/>
              </w:rPr>
            </w:pPr>
            <w:r>
              <w:rPr>
                <w:rFonts w:ascii="Arial" w:cs="Arial" w:eastAsia="Arial" w:hAnsi="Arial"/>
                <w:sz w:val="12"/>
                <w:szCs w:val="12"/>
                <w:color w:val="00000C"/>
              </w:rPr>
              <w:t>Avg. Loan Size</w:t>
            </w:r>
          </w:p>
        </w:tc>
        <w:tc>
          <w:tcPr>
            <w:tcW w:w="900" w:type="dxa"/>
            <w:vAlign w:val="bottom"/>
          </w:tcPr>
          <w:p>
            <w:pPr>
              <w:spacing w:after="0"/>
              <w:rPr>
                <w:sz w:val="17"/>
                <w:szCs w:val="17"/>
                <w:color w:val="auto"/>
              </w:rPr>
            </w:pPr>
          </w:p>
        </w:tc>
        <w:tc>
          <w:tcPr>
            <w:tcW w:w="2180" w:type="dxa"/>
            <w:vAlign w:val="bottom"/>
          </w:tcPr>
          <w:p>
            <w:pPr>
              <w:ind w:left="220"/>
              <w:spacing w:after="0"/>
              <w:rPr>
                <w:sz w:val="20"/>
                <w:szCs w:val="20"/>
                <w:color w:val="auto"/>
              </w:rPr>
            </w:pPr>
            <w:r>
              <w:rPr>
                <w:rFonts w:ascii="Arial" w:cs="Arial" w:eastAsia="Arial" w:hAnsi="Arial"/>
                <w:sz w:val="16"/>
                <w:szCs w:val="16"/>
                <w:color w:val="76C8BA"/>
              </w:rPr>
              <w:t xml:space="preserve">O </w:t>
            </w:r>
            <w:r>
              <w:rPr>
                <w:rFonts w:ascii="Arial" w:cs="Arial" w:eastAsia="Arial" w:hAnsi="Arial"/>
                <w:sz w:val="16"/>
                <w:szCs w:val="16"/>
                <w:color w:val="00000C"/>
              </w:rPr>
              <w:t>Next 5 Loans</w:t>
            </w:r>
          </w:p>
        </w:tc>
        <w:tc>
          <w:tcPr>
            <w:tcW w:w="3060" w:type="dxa"/>
            <w:vAlign w:val="bottom"/>
          </w:tcPr>
          <w:p>
            <w:pPr>
              <w:jc w:val="right"/>
              <w:ind w:right="1018"/>
              <w:spacing w:after="0"/>
              <w:rPr>
                <w:sz w:val="20"/>
                <w:szCs w:val="20"/>
                <w:color w:val="auto"/>
              </w:rPr>
            </w:pPr>
            <w:r>
              <w:rPr>
                <w:rFonts w:ascii="Arial" w:cs="Arial" w:eastAsia="Arial" w:hAnsi="Arial"/>
                <w:sz w:val="12"/>
                <w:szCs w:val="12"/>
                <w:color w:val="00000C"/>
              </w:rPr>
              <w:t>Total in $M</w:t>
            </w:r>
          </w:p>
        </w:tc>
        <w:tc>
          <w:tcPr>
            <w:tcW w:w="1860" w:type="dxa"/>
            <w:vAlign w:val="bottom"/>
          </w:tcPr>
          <w:p>
            <w:pPr>
              <w:ind w:left="220"/>
              <w:spacing w:after="0"/>
              <w:rPr>
                <w:sz w:val="20"/>
                <w:szCs w:val="20"/>
                <w:color w:val="auto"/>
              </w:rPr>
            </w:pPr>
            <w:r>
              <w:rPr>
                <w:rFonts w:ascii="Arial" w:cs="Arial" w:eastAsia="Arial" w:hAnsi="Arial"/>
                <w:sz w:val="16"/>
                <w:szCs w:val="16"/>
                <w:color w:val="76C8BA"/>
              </w:rPr>
              <w:t xml:space="preserve">O </w:t>
            </w:r>
            <w:r>
              <w:rPr>
                <w:rFonts w:ascii="Arial" w:cs="Arial" w:eastAsia="Arial" w:hAnsi="Arial"/>
                <w:sz w:val="16"/>
                <w:szCs w:val="16"/>
                <w:color w:val="00000C"/>
              </w:rPr>
              <w:t>Floating (&lt;6.75%)</w:t>
            </w:r>
          </w:p>
        </w:tc>
      </w:tr>
      <w:tr>
        <w:trPr>
          <w:trHeight w:val="237"/>
        </w:trPr>
        <w:tc>
          <w:tcPr>
            <w:tcW w:w="1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tcPr>
          <w:p>
            <w:pPr>
              <w:ind w:left="220"/>
              <w:spacing w:after="0"/>
              <w:rPr>
                <w:sz w:val="20"/>
                <w:szCs w:val="20"/>
                <w:color w:val="auto"/>
              </w:rPr>
            </w:pPr>
            <w:r>
              <w:rPr>
                <w:rFonts w:ascii="Arial" w:cs="Arial" w:eastAsia="Arial" w:hAnsi="Arial"/>
                <w:sz w:val="16"/>
                <w:szCs w:val="16"/>
                <w:color w:val="ADDFD2"/>
              </w:rPr>
              <w:t xml:space="preserve">O </w:t>
            </w:r>
            <w:r>
              <w:rPr>
                <w:rFonts w:ascii="Arial" w:cs="Arial" w:eastAsia="Arial" w:hAnsi="Arial"/>
                <w:sz w:val="16"/>
                <w:szCs w:val="16"/>
                <w:color w:val="00000C"/>
              </w:rPr>
              <w:t>Remaining Loans</w:t>
            </w:r>
          </w:p>
        </w:tc>
        <w:tc>
          <w:tcPr>
            <w:tcW w:w="3060" w:type="dxa"/>
            <w:vAlign w:val="bottom"/>
          </w:tcPr>
          <w:p>
            <w:pPr>
              <w:spacing w:after="0"/>
              <w:rPr>
                <w:sz w:val="20"/>
                <w:szCs w:val="20"/>
                <w:color w:val="auto"/>
              </w:rPr>
            </w:pPr>
          </w:p>
        </w:tc>
        <w:tc>
          <w:tcPr>
            <w:tcW w:w="1860" w:type="dxa"/>
            <w:vAlign w:val="bottom"/>
          </w:tcPr>
          <w:p>
            <w:pPr>
              <w:ind w:left="220"/>
              <w:spacing w:after="0"/>
              <w:rPr>
                <w:sz w:val="20"/>
                <w:szCs w:val="20"/>
                <w:color w:val="auto"/>
              </w:rPr>
            </w:pPr>
            <w:r>
              <w:rPr>
                <w:rFonts w:ascii="Arial" w:cs="Arial" w:eastAsia="Arial" w:hAnsi="Arial"/>
                <w:sz w:val="16"/>
                <w:szCs w:val="16"/>
                <w:color w:val="ADDFD2"/>
              </w:rPr>
              <w:t xml:space="preserve">O </w:t>
            </w:r>
            <w:r>
              <w:rPr>
                <w:rFonts w:ascii="Arial" w:cs="Arial" w:eastAsia="Arial" w:hAnsi="Arial"/>
                <w:sz w:val="16"/>
                <w:szCs w:val="16"/>
                <w:color w:val="00000C"/>
              </w:rPr>
              <w:t>Floating (=&gt;6.75%)</w:t>
            </w:r>
          </w:p>
        </w:tc>
      </w:tr>
      <w:tr>
        <w:trPr>
          <w:trHeight w:val="520"/>
        </w:trPr>
        <w:tc>
          <w:tcPr>
            <w:tcW w:w="1660" w:type="dxa"/>
            <w:vAlign w:val="bottom"/>
          </w:tcPr>
          <w:p>
            <w:pPr>
              <w:jc w:val="right"/>
              <w:ind w:right="211"/>
              <w:spacing w:after="0"/>
              <w:rPr>
                <w:sz w:val="20"/>
                <w:szCs w:val="20"/>
                <w:color w:val="auto"/>
              </w:rPr>
            </w:pPr>
            <w:r>
              <w:rPr>
                <w:rFonts w:ascii="Arial" w:cs="Arial" w:eastAsia="Arial" w:hAnsi="Arial"/>
                <w:sz w:val="18"/>
                <w:szCs w:val="18"/>
                <w:b w:val="1"/>
                <w:bCs w:val="1"/>
                <w:color w:val="FFFFFF"/>
              </w:rPr>
              <w:t>23.8%</w:t>
            </w: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60" w:type="dxa"/>
            <w:vAlign w:val="bottom"/>
          </w:tcPr>
          <w:p>
            <w:pPr>
              <w:jc w:val="right"/>
              <w:ind w:right="698"/>
              <w:spacing w:after="0"/>
              <w:rPr>
                <w:sz w:val="20"/>
                <w:szCs w:val="20"/>
                <w:color w:val="auto"/>
              </w:rPr>
            </w:pPr>
            <w:r>
              <w:rPr>
                <w:rFonts w:ascii="Arial" w:cs="Arial" w:eastAsia="Arial" w:hAnsi="Arial"/>
                <w:sz w:val="18"/>
                <w:szCs w:val="18"/>
                <w:b w:val="1"/>
                <w:bCs w:val="1"/>
                <w:color w:val="FFFFFF"/>
              </w:rPr>
              <w:t>14.2%</w:t>
            </w:r>
          </w:p>
        </w:tc>
        <w:tc>
          <w:tcPr>
            <w:tcW w:w="186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120"/>
          </w:cols>
          <w:pgMar w:left="1040" w:top="696" w:right="1080" w:bottom="1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05" w:lineRule="auto"/>
        <w:rPr>
          <w:sz w:val="20"/>
          <w:szCs w:val="20"/>
          <w:color w:val="auto"/>
        </w:rPr>
      </w:pPr>
      <w:r>
        <w:rPr>
          <w:rFonts w:ascii="Arial" w:cs="Arial" w:eastAsia="Arial" w:hAnsi="Arial"/>
          <w:sz w:val="17"/>
          <w:szCs w:val="17"/>
          <w:color w:val="00000C"/>
        </w:rPr>
        <w:t>improve cash flows for our borrowers through the elimination of the 280E tax burden, strengthen their balance sheets, and expand their access to equity capital. For Chicago Atlantic, stronger borrower fundamentals mean stronger credit quality across the portfolio. Rescheduling has already driven an increase in demand for debt capital as operators accelerate investment decisions and M&amp;A activity. As of year end, the cannabis industry pipeline across the Chicago Atlantic platform stood at approximately $616 million. At the same time, rescheduling has not yet prompted new lenders to enter the cannabis market in any meaningful way. The regulatory, financial, and operational expertise required to underwrite cannabis credit—combined with the need for major accounting firms, law firms, and custodians to begin servicing the industry—means that broader capital markets’ participation remains a longer-term evolution. In the meantime, we expect the competitive dynamics that have benefited our platform to persist.</w:t>
      </w:r>
    </w:p>
    <w:p>
      <w:pPr>
        <w:spacing w:after="0" w:line="364"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color w:val="00000C"/>
        </w:rPr>
        <w:t>That said, we have not changed how we underwrite. Rescheduling has not led us to lower the bar on credit standards, increase the leverage at which we are willing to lend, or accept lower pricing on new deployments. We continue to focus on consumer and product-focused operators in limited-license jurisdictions that are well managed and conservatively capitalized. We favor vertically integrated operators with the strongest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310" w:lineRule="auto"/>
        <w:rPr>
          <w:sz w:val="20"/>
          <w:szCs w:val="20"/>
          <w:color w:val="auto"/>
        </w:rPr>
      </w:pPr>
      <w:r>
        <w:rPr>
          <w:rFonts w:ascii="Arial" w:cs="Arial" w:eastAsia="Arial" w:hAnsi="Arial"/>
          <w:sz w:val="17"/>
          <w:szCs w:val="17"/>
          <w:color w:val="00000C"/>
        </w:rPr>
        <w:t>margins and lowest cost of production, and we remain conservative in our collateral analysis. When borrowers are accruing 280E tax liabilities rather than paying them, we factor that into our underwriting and financial covenants with a healthy measure of skepticism. That discipline does not change because the regulatory outlook has improved.</w:t>
      </w:r>
    </w:p>
    <w:p>
      <w:pPr>
        <w:spacing w:after="0" w:line="354" w:lineRule="exact"/>
        <w:rPr>
          <w:sz w:val="20"/>
          <w:szCs w:val="20"/>
          <w:color w:val="auto"/>
        </w:rPr>
      </w:pPr>
    </w:p>
    <w:p>
      <w:pPr>
        <w:spacing w:after="0" w:line="306" w:lineRule="auto"/>
        <w:rPr>
          <w:sz w:val="20"/>
          <w:szCs w:val="20"/>
          <w:color w:val="auto"/>
        </w:rPr>
      </w:pPr>
      <w:r>
        <w:rPr>
          <w:rFonts w:ascii="Arial" w:cs="Arial" w:eastAsia="Arial" w:hAnsi="Arial"/>
          <w:sz w:val="17"/>
          <w:szCs w:val="17"/>
          <w:color w:val="00000C"/>
        </w:rPr>
        <w:t>We are already nearly three months into 2026, and we are continuing to execute our core strategy. Since year end, we have advanced approximately $51 million in new gross loan principal while receiving $40 million in repayments. We are targeting another year of net portfolio growth, and we are more enthusiastic than ever about our opportunity set. Lending competition remains limited, the regulatory environment is moving in the right direction, and we have the platform and capital to execute. That gives us considerable confidence in what lies ahead. We will not sacrifice the platform we have built at Chicago Atlantic to pursue short-term or short-sighted growth. We will do everything within our power to execute on this investment potential in a manner that protects our fellow shareholders’ investment while maximizing long-term returns.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spacing w:after="0" w:line="331" w:lineRule="auto"/>
        <w:rPr>
          <w:sz w:val="20"/>
          <w:szCs w:val="20"/>
          <w:color w:val="auto"/>
        </w:rPr>
      </w:pPr>
      <w:r>
        <w:rPr>
          <w:rFonts w:ascii="Arial" w:cs="Arial" w:eastAsia="Arial" w:hAnsi="Arial"/>
          <w:sz w:val="17"/>
          <w:szCs w:val="17"/>
          <w:color w:val="00000C"/>
        </w:rPr>
        <w:t>We greatly appreciate your continued investment and confidence in the Chicago Atlantic team.</w:t>
      </w:r>
    </w:p>
    <w:p>
      <w:pPr>
        <w:spacing w:after="0" w:line="532" w:lineRule="exact"/>
        <w:rPr>
          <w:sz w:val="20"/>
          <w:szCs w:val="20"/>
          <w:color w:val="auto"/>
        </w:rPr>
      </w:pPr>
    </w:p>
    <w:p>
      <w:pPr>
        <w:sectPr>
          <w:pgSz w:w="12240" w:h="15840" w:orient="portrait"/>
          <w:cols w:equalWidth="0" w:num="2">
            <w:col w:w="4840" w:space="480"/>
            <w:col w:w="4800"/>
          </w:cols>
          <w:pgMar w:left="1040" w:top="696" w:right="1080" w:bottom="190" w:gutter="0" w:footer="0" w:header="0"/>
          <w:type w:val="continuous"/>
        </w:sectPr>
      </w:pPr>
    </w:p>
    <w:p>
      <w:pPr>
        <w:spacing w:after="0" w:line="331" w:lineRule="exact"/>
        <w:rPr>
          <w:sz w:val="20"/>
          <w:szCs w:val="20"/>
          <w:color w:val="auto"/>
        </w:rPr>
      </w:pPr>
    </w:p>
    <w:p>
      <w:pPr>
        <w:ind w:left="1260"/>
        <w:spacing w:after="0"/>
        <w:tabs>
          <w:tab w:leader="none" w:pos="2940" w:val="left"/>
          <w:tab w:leader="none" w:pos="5080" w:val="left"/>
          <w:tab w:leader="none" w:pos="7220" w:val="left"/>
        </w:tabs>
        <w:rPr>
          <w:sz w:val="20"/>
          <w:szCs w:val="20"/>
          <w:color w:val="auto"/>
        </w:rPr>
      </w:pPr>
      <w:r>
        <w:rPr>
          <w:rFonts w:ascii="Arial" w:cs="Arial" w:eastAsia="Arial" w:hAnsi="Arial"/>
          <w:sz w:val="14"/>
          <w:szCs w:val="14"/>
          <w:b w:val="1"/>
          <w:bCs w:val="1"/>
          <w:color w:val="76C8BA"/>
        </w:rPr>
        <w:t>John Mazarakis</w:t>
      </w:r>
      <w:r>
        <w:rPr>
          <w:sz w:val="20"/>
          <w:szCs w:val="20"/>
          <w:color w:val="auto"/>
        </w:rPr>
        <w:tab/>
      </w:r>
      <w:r>
        <w:rPr>
          <w:rFonts w:ascii="Arial" w:cs="Arial" w:eastAsia="Arial" w:hAnsi="Arial"/>
          <w:sz w:val="14"/>
          <w:szCs w:val="14"/>
          <w:b w:val="1"/>
          <w:bCs w:val="1"/>
          <w:color w:val="76C8BA"/>
        </w:rPr>
        <w:t>Anthony Cappell</w:t>
      </w:r>
      <w:r>
        <w:rPr>
          <w:sz w:val="20"/>
          <w:szCs w:val="20"/>
          <w:color w:val="auto"/>
        </w:rPr>
        <w:tab/>
      </w:r>
      <w:r>
        <w:rPr>
          <w:rFonts w:ascii="Arial" w:cs="Arial" w:eastAsia="Arial" w:hAnsi="Arial"/>
          <w:sz w:val="14"/>
          <w:szCs w:val="14"/>
          <w:b w:val="1"/>
          <w:bCs w:val="1"/>
          <w:color w:val="76C8BA"/>
        </w:rPr>
        <w:t>Peter Sack</w:t>
      </w:r>
      <w:r>
        <w:rPr>
          <w:sz w:val="20"/>
          <w:szCs w:val="20"/>
          <w:color w:val="auto"/>
        </w:rPr>
        <w:tab/>
      </w:r>
      <w:r>
        <w:rPr>
          <w:rFonts w:ascii="Arial" w:cs="Arial" w:eastAsia="Arial" w:hAnsi="Arial"/>
          <w:sz w:val="14"/>
          <w:szCs w:val="14"/>
          <w:b w:val="1"/>
          <w:bCs w:val="1"/>
          <w:color w:val="76C8BA"/>
        </w:rPr>
        <w:t>David Kite</w:t>
      </w:r>
    </w:p>
    <w:p>
      <w:pPr>
        <w:spacing w:after="0" w:line="22" w:lineRule="exact"/>
        <w:rPr>
          <w:sz w:val="20"/>
          <w:szCs w:val="20"/>
          <w:color w:val="auto"/>
        </w:rPr>
      </w:pPr>
    </w:p>
    <w:p>
      <w:pPr>
        <w:jc w:val="center"/>
        <w:ind w:right="-39"/>
        <w:spacing w:after="0"/>
        <w:tabs>
          <w:tab w:leader="none" w:pos="280" w:val="left"/>
          <w:tab w:leader="none" w:pos="260" w:val="left"/>
          <w:tab w:leader="none" w:pos="260" w:val="left"/>
        </w:tabs>
        <w:rPr>
          <w:sz w:val="20"/>
          <w:szCs w:val="20"/>
          <w:color w:val="auto"/>
        </w:rPr>
      </w:pPr>
      <w:r>
        <w:rPr>
          <w:rFonts w:ascii="Arial" w:cs="Arial" w:eastAsia="Arial" w:hAnsi="Arial"/>
          <w:sz w:val="14"/>
          <w:szCs w:val="14"/>
          <w:color w:val="00000C"/>
        </w:rPr>
        <w:t>Executive Chairman</w:t>
      </w:r>
      <w:r>
        <w:rPr>
          <w:sz w:val="20"/>
          <w:szCs w:val="20"/>
          <w:color w:val="auto"/>
        </w:rPr>
        <w:tab/>
      </w:r>
      <w:r>
        <w:rPr>
          <w:rFonts w:ascii="Arial" w:cs="Arial" w:eastAsia="Arial" w:hAnsi="Arial"/>
          <w:sz w:val="14"/>
          <w:szCs w:val="14"/>
          <w:color w:val="00000C"/>
        </w:rPr>
        <w:t>Co-Chief Executive Officer</w:t>
      </w:r>
      <w:r>
        <w:rPr>
          <w:sz w:val="20"/>
          <w:szCs w:val="20"/>
          <w:color w:val="auto"/>
        </w:rPr>
        <w:tab/>
      </w:r>
      <w:r>
        <w:rPr>
          <w:rFonts w:ascii="Arial" w:cs="Arial" w:eastAsia="Arial" w:hAnsi="Arial"/>
          <w:sz w:val="14"/>
          <w:szCs w:val="14"/>
          <w:color w:val="00000C"/>
        </w:rPr>
        <w:t>Co-Chief Executive Officer</w:t>
      </w:r>
      <w:r>
        <w:rPr>
          <w:sz w:val="20"/>
          <w:szCs w:val="20"/>
          <w:color w:val="auto"/>
        </w:rPr>
        <w:tab/>
      </w:r>
      <w:r>
        <w:rPr>
          <w:rFonts w:ascii="Arial" w:cs="Arial" w:eastAsia="Arial" w:hAnsi="Arial"/>
          <w:sz w:val="14"/>
          <w:szCs w:val="14"/>
          <w:color w:val="00000C"/>
        </w:rPr>
        <w:t>Chief Operating Officer</w:t>
      </w:r>
    </w:p>
    <w:p>
      <w:pPr>
        <w:sectPr>
          <w:pgSz w:w="12240" w:h="15840" w:orient="portrait"/>
          <w:cols w:equalWidth="0" w:num="1">
            <w:col w:w="10120"/>
          </w:cols>
          <w:pgMar w:left="1040" w:top="696" w:right="1080" w:bottom="1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4E5566"/>
        </w:rPr>
        <w:t>2</w:t>
      </w:r>
    </w:p>
    <w:p>
      <w:pPr>
        <w:sectPr>
          <w:pgSz w:w="12240" w:h="15840" w:orient="portrait"/>
          <w:cols w:equalWidth="0" w:num="1">
            <w:col w:w="10120"/>
          </w:cols>
          <w:pgMar w:left="1040" w:top="696" w:right="1080" w:bottom="19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507365</wp:posOffset>
                </wp:positionH>
                <wp:positionV relativeFrom="page">
                  <wp:posOffset>598170</wp:posOffset>
                </wp:positionV>
                <wp:extent cx="675703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035" cy="4763"/>
                        </a:xfrm>
                        <a:prstGeom prst="line">
                          <a:avLst/>
                        </a:prstGeom>
                        <a:solidFill>
                          <a:srgbClr val="FFFFFF"/>
                        </a:solidFill>
                        <a:ln w="9382">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9.95pt,47.1pt" to="572pt,47.1pt" o:allowincell="f" strokecolor="#000000" strokeweight="0.7387pt">
                <w10:wrap anchorx="page" anchory="page"/>
              </v:line>
            </w:pict>
          </mc:Fallback>
        </mc:AlternateContent>
        <mc:AlternateContent>
          <mc:Choice Requires="wps">
            <w:drawing>
              <wp:anchor simplePos="0" relativeHeight="251657728" behindDoc="1" locked="0" layoutInCell="0" allowOverlap="1">
                <wp:simplePos x="0" y="0"/>
                <wp:positionH relativeFrom="page">
                  <wp:posOffset>507365</wp:posOffset>
                </wp:positionH>
                <wp:positionV relativeFrom="page">
                  <wp:posOffset>617220</wp:posOffset>
                </wp:positionV>
                <wp:extent cx="675703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035" cy="4763"/>
                        </a:xfrm>
                        <a:prstGeom prst="line">
                          <a:avLst/>
                        </a:prstGeom>
                        <a:solidFill>
                          <a:srgbClr val="FFFFFF"/>
                        </a:solidFill>
                        <a:ln w="938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9.95pt,48.6pt" to="572pt,48.6pt" o:allowincell="f" strokecolor="#000000" strokeweight="0.7387pt">
                <w10:wrap anchorx="page" anchory="page"/>
              </v:line>
            </w:pict>
          </mc:Fallback>
        </mc:AlternateContent>
        <w:t>UNITED STATES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02" w:lineRule="exact"/>
        <w:rPr>
          <w:sz w:val="20"/>
          <w:szCs w:val="20"/>
          <w:color w:val="auto"/>
        </w:rPr>
      </w:pPr>
    </w:p>
    <w:p>
      <w:pPr>
        <w:ind w:left="620" w:hanging="227"/>
        <w:spacing w:after="0"/>
        <w:tabs>
          <w:tab w:leader="none" w:pos="620" w:val="left"/>
        </w:tabs>
        <w:numPr>
          <w:ilvl w:val="1"/>
          <w:numId w:val="7"/>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0" w:lineRule="exact"/>
        <w:rPr>
          <w:rFonts w:ascii="Segoe UI" w:cs="Segoe UI" w:eastAsia="Segoe UI" w:hAnsi="Segoe UI"/>
          <w:sz w:val="20"/>
          <w:szCs w:val="20"/>
          <w:color w:val="auto"/>
        </w:rPr>
      </w:pPr>
    </w:p>
    <w:p>
      <w:pPr>
        <w:ind w:left="3640"/>
        <w:spacing w:after="0"/>
        <w:rPr>
          <w:rFonts w:ascii="Segoe UI" w:cs="Segoe UI" w:eastAsia="Segoe UI" w:hAnsi="Segoe UI"/>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56" w:lineRule="exact"/>
        <w:rPr>
          <w:rFonts w:ascii="Segoe UI" w:cs="Segoe UI" w:eastAsia="Segoe UI" w:hAnsi="Segoe UI"/>
          <w:sz w:val="20"/>
          <w:szCs w:val="20"/>
          <w:color w:val="auto"/>
        </w:rPr>
      </w:pPr>
    </w:p>
    <w:p>
      <w:pPr>
        <w:ind w:left="5180"/>
        <w:spacing w:after="0"/>
        <w:rPr>
          <w:rFonts w:ascii="Segoe UI" w:cs="Segoe UI" w:eastAsia="Segoe UI" w:hAnsi="Segoe UI"/>
          <w:sz w:val="20"/>
          <w:szCs w:val="20"/>
          <w:color w:val="auto"/>
        </w:rPr>
      </w:pPr>
      <w:r>
        <w:rPr>
          <w:rFonts w:ascii="Times New Roman" w:cs="Times New Roman" w:eastAsia="Times New Roman" w:hAnsi="Times New Roman"/>
          <w:sz w:val="18"/>
          <w:szCs w:val="18"/>
          <w:b w:val="1"/>
          <w:bCs w:val="1"/>
          <w:color w:val="auto"/>
        </w:rPr>
        <w:t>OR</w:t>
      </w:r>
    </w:p>
    <w:p>
      <w:pPr>
        <w:spacing w:after="0" w:line="82" w:lineRule="exact"/>
        <w:rPr>
          <w:rFonts w:ascii="Segoe UI" w:cs="Segoe UI" w:eastAsia="Segoe UI" w:hAnsi="Segoe UI"/>
          <w:sz w:val="20"/>
          <w:szCs w:val="20"/>
          <w:color w:val="auto"/>
        </w:rPr>
      </w:pPr>
    </w:p>
    <w:p>
      <w:pPr>
        <w:ind w:left="400" w:hanging="210"/>
        <w:spacing w:after="0"/>
        <w:tabs>
          <w:tab w:leader="none" w:pos="400" w:val="left"/>
        </w:tabs>
        <w:numPr>
          <w:ilvl w:val="0"/>
          <w:numId w:val="7"/>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9" w:lineRule="exact"/>
        <w:rPr>
          <w:rFonts w:ascii="Segoe UI" w:cs="Segoe UI" w:eastAsia="Segoe UI" w:hAnsi="Segoe UI"/>
          <w:sz w:val="20"/>
          <w:szCs w:val="20"/>
          <w:color w:val="auto"/>
        </w:rPr>
      </w:pPr>
    </w:p>
    <w:p>
      <w:pPr>
        <w:ind w:left="3920"/>
        <w:spacing w:after="0"/>
        <w:rPr>
          <w:rFonts w:ascii="Segoe UI" w:cs="Segoe UI" w:eastAsia="Segoe UI" w:hAnsi="Segoe UI"/>
          <w:sz w:val="20"/>
          <w:szCs w:val="20"/>
          <w:color w:val="auto"/>
        </w:rPr>
      </w:pPr>
      <w:r>
        <w:rPr>
          <w:rFonts w:ascii="Times New Roman" w:cs="Times New Roman" w:eastAsia="Times New Roman" w:hAnsi="Times New Roman"/>
          <w:sz w:val="18"/>
          <w:szCs w:val="18"/>
          <w:b w:val="1"/>
          <w:bCs w:val="1"/>
          <w:color w:val="auto"/>
        </w:rPr>
        <w:t>Commission File Number: 001-41123</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CHICAGO ATLANTIC REAL ESTATE FINANCE,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5420" w:type="dxa"/>
            <w:vAlign w:val="bottom"/>
            <w:gridSpan w:val="2"/>
          </w:tcPr>
          <w:p>
            <w:pPr>
              <w:jc w:val="right"/>
              <w:ind w:right="2101"/>
              <w:spacing w:after="0"/>
              <w:rPr>
                <w:sz w:val="20"/>
                <w:szCs w:val="20"/>
                <w:color w:val="auto"/>
              </w:rPr>
            </w:pPr>
            <w:r>
              <w:rPr>
                <w:rFonts w:ascii="Times New Roman" w:cs="Times New Roman" w:eastAsia="Times New Roman" w:hAnsi="Times New Roman"/>
                <w:sz w:val="18"/>
                <w:szCs w:val="18"/>
                <w:b w:val="1"/>
                <w:bCs w:val="1"/>
                <w:color w:val="auto"/>
              </w:rPr>
              <w:t>86-3125132</w:t>
            </w:r>
          </w:p>
        </w:tc>
      </w:tr>
      <w:tr>
        <w:trPr>
          <w:trHeight w:val="157"/>
        </w:trPr>
        <w:tc>
          <w:tcPr>
            <w:tcW w:w="522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(State or other jurisdiction of</w:t>
            </w:r>
          </w:p>
        </w:tc>
        <w:tc>
          <w:tcPr>
            <w:tcW w:w="200" w:type="dxa"/>
            <w:vAlign w:val="bottom"/>
          </w:tcPr>
          <w:p>
            <w:pPr>
              <w:spacing w:after="0"/>
              <w:rPr>
                <w:sz w:val="13"/>
                <w:szCs w:val="13"/>
                <w:color w:val="auto"/>
              </w:rPr>
            </w:pPr>
          </w:p>
        </w:tc>
        <w:tc>
          <w:tcPr>
            <w:tcW w:w="522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6"/>
                <w:szCs w:val="16"/>
                <w:color w:val="auto"/>
                <w:w w:val="98"/>
              </w:rPr>
              <w:t>(I.R.S. Employer</w:t>
            </w:r>
          </w:p>
        </w:tc>
      </w:tr>
      <w:tr>
        <w:trPr>
          <w:trHeight w:val="211"/>
        </w:trPr>
        <w:tc>
          <w:tcPr>
            <w:tcW w:w="5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incorporation or organization)</w:t>
            </w:r>
          </w:p>
        </w:tc>
        <w:tc>
          <w:tcPr>
            <w:tcW w:w="2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239"/>
        </w:trPr>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1680 Michigan Avenue, Suite 700</w:t>
            </w:r>
          </w:p>
        </w:tc>
        <w:tc>
          <w:tcPr>
            <w:tcW w:w="200" w:type="dxa"/>
            <w:vAlign w:val="bottom"/>
          </w:tcPr>
          <w:p>
            <w:pPr>
              <w:spacing w:after="0"/>
              <w:rPr>
                <w:sz w:val="20"/>
                <w:szCs w:val="20"/>
                <w:color w:val="auto"/>
              </w:rPr>
            </w:pPr>
          </w:p>
        </w:tc>
        <w:tc>
          <w:tcPr>
            <w:tcW w:w="5220" w:type="dxa"/>
            <w:vAlign w:val="bottom"/>
          </w:tcPr>
          <w:p>
            <w:pPr>
              <w:spacing w:after="0"/>
              <w:rPr>
                <w:sz w:val="20"/>
                <w:szCs w:val="20"/>
                <w:color w:val="auto"/>
              </w:rPr>
            </w:pPr>
          </w:p>
        </w:tc>
      </w:tr>
      <w:tr>
        <w:trPr>
          <w:trHeight w:val="225"/>
        </w:trPr>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Miami Beach, FL</w:t>
            </w:r>
          </w:p>
        </w:tc>
        <w:tc>
          <w:tcPr>
            <w:tcW w:w="5420" w:type="dxa"/>
            <w:vAlign w:val="bottom"/>
            <w:gridSpan w:val="2"/>
          </w:tcPr>
          <w:p>
            <w:pPr>
              <w:jc w:val="right"/>
              <w:ind w:right="2301"/>
              <w:spacing w:after="0"/>
              <w:rPr>
                <w:sz w:val="20"/>
                <w:szCs w:val="20"/>
                <w:color w:val="auto"/>
              </w:rPr>
            </w:pPr>
            <w:r>
              <w:rPr>
                <w:rFonts w:ascii="Times New Roman" w:cs="Times New Roman" w:eastAsia="Times New Roman" w:hAnsi="Times New Roman"/>
                <w:sz w:val="18"/>
                <w:szCs w:val="18"/>
                <w:b w:val="1"/>
                <w:bCs w:val="1"/>
                <w:color w:val="auto"/>
              </w:rPr>
              <w:t>33139</w:t>
            </w:r>
          </w:p>
        </w:tc>
      </w:tr>
      <w:tr>
        <w:trPr>
          <w:trHeight w:val="201"/>
        </w:trPr>
        <w:tc>
          <w:tcPr>
            <w:tcW w:w="5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(Address of principal executive offices)</w:t>
            </w:r>
          </w:p>
        </w:tc>
        <w:tc>
          <w:tcPr>
            <w:tcW w:w="200" w:type="dxa"/>
            <w:vAlign w:val="bottom"/>
          </w:tcPr>
          <w:p>
            <w:pPr>
              <w:spacing w:after="0"/>
              <w:rPr>
                <w:sz w:val="17"/>
                <w:szCs w:val="17"/>
                <w:color w:val="auto"/>
              </w:rPr>
            </w:pPr>
          </w:p>
        </w:tc>
        <w:tc>
          <w:tcPr>
            <w:tcW w:w="5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625-9295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Borders>
              <w:bottom w:val="single" w:sz="8" w:color="E3E3E3"/>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Borders>
              <w:bottom w:val="single" w:sz="8" w:color="E3E3E3"/>
            </w:tcBorders>
          </w:tcPr>
          <w:p>
            <w:pPr>
              <w:spacing w:after="0"/>
              <w:rPr>
                <w:sz w:val="19"/>
                <w:szCs w:val="19"/>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172"/>
        </w:trPr>
        <w:tc>
          <w:tcPr>
            <w:tcW w:w="4260" w:type="dxa"/>
            <w:vAlign w:val="bottom"/>
            <w:shd w:val="clear" w:color="auto" w:fill="E3E3E3"/>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100" w:type="dxa"/>
            <w:vAlign w:val="bottom"/>
            <w:shd w:val="clear" w:color="auto" w:fill="E3E3E3"/>
          </w:tcPr>
          <w:p>
            <w:pPr>
              <w:spacing w:after="0"/>
              <w:rPr>
                <w:sz w:val="14"/>
                <w:szCs w:val="14"/>
                <w:color w:val="auto"/>
              </w:rPr>
            </w:pPr>
          </w:p>
        </w:tc>
        <w:tc>
          <w:tcPr>
            <w:tcW w:w="1920" w:type="dxa"/>
            <w:vAlign w:val="bottom"/>
            <w:shd w:val="clear" w:color="auto" w:fill="E2E2E2"/>
          </w:tcPr>
          <w:p>
            <w:pPr>
              <w:jc w:val="center"/>
              <w:spacing w:after="0" w:line="172" w:lineRule="exact"/>
              <w:rPr>
                <w:sz w:val="20"/>
                <w:szCs w:val="20"/>
                <w:color w:val="auto"/>
              </w:rPr>
            </w:pPr>
            <w:r>
              <w:rPr>
                <w:rFonts w:ascii="Times New Roman" w:cs="Times New Roman" w:eastAsia="Times New Roman" w:hAnsi="Times New Roman"/>
                <w:sz w:val="16"/>
                <w:szCs w:val="16"/>
                <w:color w:val="auto"/>
                <w:w w:val="97"/>
              </w:rPr>
              <w:t>REFI</w:t>
            </w:r>
          </w:p>
        </w:tc>
        <w:tc>
          <w:tcPr>
            <w:tcW w:w="120" w:type="dxa"/>
            <w:vAlign w:val="bottom"/>
            <w:shd w:val="clear" w:color="auto" w:fill="E3E3E3"/>
          </w:tcPr>
          <w:p>
            <w:pPr>
              <w:spacing w:after="0"/>
              <w:rPr>
                <w:sz w:val="14"/>
                <w:szCs w:val="14"/>
                <w:color w:val="auto"/>
              </w:rPr>
            </w:pPr>
          </w:p>
        </w:tc>
        <w:tc>
          <w:tcPr>
            <w:tcW w:w="4240" w:type="dxa"/>
            <w:vAlign w:val="bottom"/>
            <w:shd w:val="clear" w:color="auto" w:fill="E3E3E3"/>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61" w:lineRule="exact"/>
        <w:rPr>
          <w:sz w:val="20"/>
          <w:szCs w:val="20"/>
          <w:color w:val="auto"/>
        </w:rPr>
      </w:pPr>
    </w:p>
    <w:p>
      <w:pPr>
        <w:ind w:right="1120"/>
        <w:spacing w:after="0" w:line="314"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Segoe UI" w:cs="Segoe UI" w:eastAsia="Segoe UI" w:hAnsi="Segoe UI"/>
          <w:sz w:val="17"/>
          <w:szCs w:val="17"/>
          <w:color w:val="auto"/>
        </w:rPr>
        <w:t>ն</w:t>
      </w:r>
      <w:r>
        <w:rPr>
          <w:rFonts w:ascii="Times New Roman" w:cs="Times New Roman" w:eastAsia="Times New Roman" w:hAnsi="Times New Roman"/>
          <w:sz w:val="17"/>
          <w:szCs w:val="17"/>
          <w:color w:val="auto"/>
        </w:rPr>
        <w:t xml:space="preserve"> No </w:t>
      </w:r>
      <w:r>
        <w:rPr>
          <w:rFonts w:ascii="Segoe UI" w:cs="Segoe UI" w:eastAsia="Segoe UI" w:hAnsi="Segoe UI"/>
          <w:sz w:val="17"/>
          <w:szCs w:val="17"/>
          <w:color w:val="auto"/>
        </w:rPr>
        <w:t>շ</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Segoe UI" w:cs="Segoe UI" w:eastAsia="Segoe UI" w:hAnsi="Segoe UI"/>
          <w:sz w:val="17"/>
          <w:szCs w:val="17"/>
          <w:color w:val="auto"/>
        </w:rPr>
        <w:t>ն</w:t>
      </w:r>
      <w:r>
        <w:rPr>
          <w:rFonts w:ascii="Times New Roman" w:cs="Times New Roman" w:eastAsia="Times New Roman" w:hAnsi="Times New Roman"/>
          <w:sz w:val="17"/>
          <w:szCs w:val="17"/>
          <w:color w:val="auto"/>
        </w:rPr>
        <w:t xml:space="preserve"> No </w:t>
      </w:r>
      <w:r>
        <w:rPr>
          <w:rFonts w:ascii="Segoe UI" w:cs="Segoe UI" w:eastAsia="Segoe UI" w:hAnsi="Segoe UI"/>
          <w:sz w:val="17"/>
          <w:szCs w:val="17"/>
          <w:color w:val="auto"/>
        </w:rPr>
        <w:t>շ</w:t>
      </w:r>
    </w:p>
    <w:p>
      <w:pPr>
        <w:spacing w:after="0" w:line="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filing requirements for the past 90 days. Yes </w:t>
      </w:r>
      <w:r>
        <w:rPr>
          <w:rFonts w:ascii="Segoe UI" w:cs="Segoe UI" w:eastAsia="Segoe UI" w:hAnsi="Segoe UI"/>
          <w:sz w:val="18"/>
          <w:szCs w:val="18"/>
          <w:color w:val="auto"/>
        </w:rPr>
        <w:t>շ</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ն</w:t>
      </w:r>
    </w:p>
    <w:p>
      <w:pPr>
        <w:spacing w:after="0" w:line="3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files). Yes </w:t>
      </w:r>
      <w:r>
        <w:rPr>
          <w:rFonts w:ascii="Segoe UI" w:cs="Segoe UI" w:eastAsia="Segoe UI" w:hAnsi="Segoe UI"/>
          <w:sz w:val="18"/>
          <w:szCs w:val="18"/>
          <w:color w:val="auto"/>
        </w:rPr>
        <w:t>շ</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ն</w:t>
      </w:r>
    </w:p>
    <w:p>
      <w:pPr>
        <w:spacing w:after="0" w:line="3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0"/>
          <w:szCs w:val="20"/>
          <w:color w:val="auto"/>
        </w:rPr>
      </w:pPr>
    </w:p>
    <w:p>
      <w:pPr>
        <w:spacing w:after="0"/>
        <w:tabs>
          <w:tab w:leader="none" w:pos="2060" w:val="left"/>
          <w:tab w:leader="none" w:pos="3680" w:val="left"/>
          <w:tab w:leader="none" w:pos="5640" w:val="left"/>
          <w:tab w:leader="none" w:pos="81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Segoe UI" w:cs="Segoe UI" w:eastAsia="Segoe UI" w:hAnsi="Segoe UI"/>
          <w:sz w:val="18"/>
          <w:szCs w:val="18"/>
          <w:color w:val="auto"/>
        </w:rPr>
        <w:t>ն</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Segoe UI" w:cs="Segoe UI" w:eastAsia="Segoe UI" w:hAnsi="Segoe UI"/>
          <w:sz w:val="18"/>
          <w:szCs w:val="18"/>
          <w:color w:val="auto"/>
        </w:rPr>
        <w:t>ն</w:t>
      </w:r>
      <w:r>
        <w:rPr>
          <w:rFonts w:ascii="Times New Roman" w:cs="Times New Roman" w:eastAsia="Times New Roman" w:hAnsi="Times New Roman"/>
          <w:sz w:val="18"/>
          <w:szCs w:val="18"/>
          <w:color w:val="auto"/>
        </w:rPr>
        <w:tab/>
        <w:t xml:space="preserve">Non-accelerated filer </w:t>
      </w:r>
      <w:r>
        <w:rPr>
          <w:rFonts w:ascii="Segoe UI" w:cs="Segoe UI" w:eastAsia="Segoe UI" w:hAnsi="Segoe UI"/>
          <w:sz w:val="18"/>
          <w:szCs w:val="18"/>
          <w:color w:val="auto"/>
        </w:rPr>
        <w:t>շ</w:t>
      </w:r>
      <w:r>
        <w:rPr>
          <w:rFonts w:ascii="Times New Roman" w:cs="Times New Roman" w:eastAsia="Times New Roman" w:hAnsi="Times New Roman"/>
          <w:sz w:val="18"/>
          <w:szCs w:val="18"/>
          <w:color w:val="auto"/>
        </w:rPr>
        <w:tab/>
        <w:t xml:space="preserve">Smaller reporting company </w:t>
      </w:r>
      <w:r>
        <w:rPr>
          <w:rFonts w:ascii="Segoe UI" w:cs="Segoe UI" w:eastAsia="Segoe UI" w:hAnsi="Segoe UI"/>
          <w:sz w:val="18"/>
          <w:szCs w:val="18"/>
          <w:color w:val="auto"/>
        </w:rPr>
        <w:t>շ</w:t>
      </w:r>
      <w:r>
        <w:rPr>
          <w:sz w:val="20"/>
          <w:szCs w:val="20"/>
          <w:color w:val="auto"/>
        </w:rPr>
        <w:tab/>
      </w:r>
      <w:r>
        <w:rPr>
          <w:rFonts w:ascii="Times New Roman" w:cs="Times New Roman" w:eastAsia="Times New Roman" w:hAnsi="Times New Roman"/>
          <w:sz w:val="18"/>
          <w:szCs w:val="18"/>
          <w:color w:val="auto"/>
        </w:rPr>
        <w:t xml:space="preserve">Emerging growth company </w:t>
      </w:r>
      <w:r>
        <w:rPr>
          <w:rFonts w:ascii="Segoe UI" w:cs="Segoe UI" w:eastAsia="Segoe UI" w:hAnsi="Segoe UI"/>
          <w:sz w:val="18"/>
          <w:szCs w:val="18"/>
          <w:color w:val="auto"/>
        </w:rPr>
        <w:t>շ</w:t>
      </w:r>
    </w:p>
    <w:p>
      <w:pPr>
        <w:spacing w:after="0" w:line="6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8"/>
          <w:szCs w:val="18"/>
          <w:color w:val="auto"/>
        </w:rPr>
        <w:t>ն</w:t>
      </w:r>
    </w:p>
    <w:p>
      <w:pPr>
        <w:ind w:right="140"/>
        <w:spacing w:after="0" w:line="262"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prepared or issued its audit report. </w:t>
      </w:r>
      <w:r>
        <w:rPr>
          <w:rFonts w:ascii="Segoe UI" w:cs="Segoe UI" w:eastAsia="Segoe UI" w:hAnsi="Segoe UI"/>
          <w:sz w:val="18"/>
          <w:szCs w:val="18"/>
          <w:color w:val="auto"/>
        </w:rPr>
        <w:t>ն</w:t>
      </w:r>
    </w:p>
    <w:p>
      <w:pPr>
        <w:spacing w:after="0" w:line="3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8"/>
          <w:szCs w:val="18"/>
          <w:color w:val="auto"/>
        </w:rPr>
        <w:t>ն</w:t>
      </w:r>
    </w:p>
    <w:p>
      <w:pPr>
        <w:ind w:right="32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Segoe UI" w:cs="Segoe UI" w:eastAsia="Segoe UI" w:hAnsi="Segoe UI"/>
          <w:sz w:val="18"/>
          <w:szCs w:val="18"/>
          <w:color w:val="auto"/>
        </w:rPr>
        <w:t>ն</w:t>
      </w: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Segoe UI" w:cs="Segoe UI" w:eastAsia="Segoe UI" w:hAnsi="Segoe UI"/>
          <w:sz w:val="18"/>
          <w:szCs w:val="18"/>
          <w:color w:val="auto"/>
        </w:rPr>
        <w:t>ն</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շ</w:t>
      </w:r>
    </w:p>
    <w:p>
      <w:pPr>
        <w:spacing w:after="0" w:line="5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as of December 31, 2025 was approximately $236.8 million based upon the closing price reported for such date by the Nasdaq Global 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6, 2026, there were 21,080,272 shares of the Registrant’s common stock outstanding.</w:t>
      </w:r>
    </w:p>
    <w:p>
      <w:pPr>
        <w:spacing w:after="0" w:line="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59"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2026 Annual Meeting of Stockholders, to be filed with the Securities and Exchange Commission, are incorporated by reference in Part III of this Annual Report on Form 10-K to the extent described therein.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46990</wp:posOffset>
                </wp:positionV>
                <wp:extent cx="67564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6400" cy="4763"/>
                        </a:xfrm>
                        <a:prstGeom prst="line">
                          <a:avLst/>
                        </a:prstGeom>
                        <a:solidFill>
                          <a:srgbClr val="FFFFFF"/>
                        </a:solidFill>
                        <a:ln w="938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pt" to="532pt,3.7pt" o:allowincell="f" strokecolor="#000000" strokeweight="0.7387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66040</wp:posOffset>
                </wp:positionV>
                <wp:extent cx="67564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6400" cy="4763"/>
                        </a:xfrm>
                        <a:prstGeom prst="line">
                          <a:avLst/>
                        </a:prstGeom>
                        <a:solidFill>
                          <a:srgbClr val="FFFFFF"/>
                        </a:solidFill>
                        <a:ln w="9382">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pt" to="532pt,5.2pt" o:allowincell="f" strokecolor="#000000" strokeweight="0.7387pt"/>
            </w:pict>
          </mc:Fallback>
        </mc:AlternateContent>
      </w:r>
    </w:p>
    <w:p>
      <w:pPr>
        <w:sectPr>
          <w:pgSz w:w="12240" w:h="15840" w:orient="portrait"/>
          <w:cols w:equalWidth="0" w:num="1">
            <w:col w:w="10640"/>
          </w:cols>
          <w:pgMar w:left="800" w:top="1006" w:right="800" w:bottom="1084"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This page is intentionally left blank</w:t>
      </w:r>
    </w:p>
    <w:p>
      <w:pPr>
        <w:sectPr>
          <w:pgSz w:w="12240" w:h="15840" w:orient="portrait"/>
          <w:cols w:equalWidth="0" w:num="1">
            <w:col w:w="9360"/>
          </w:cols>
          <w:pgMar w:left="1440" w:top="144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2"/>
        </w:trPr>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20" w:type="dxa"/>
            <w:vAlign w:val="bottom"/>
            <w:gridSpan w:val="10"/>
          </w:tcPr>
          <w:p>
            <w:pPr>
              <w:ind w:left="2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211"/>
        </w:trPr>
        <w:tc>
          <w:tcPr>
            <w:tcW w:w="660" w:type="dxa"/>
            <w:vAlign w:val="bottom"/>
            <w:tcBorders>
              <w:top w:val="single" w:sz="8" w:color="E3E3E3"/>
            </w:tcBorders>
            <w:shd w:val="clear" w:color="auto" w:fill="E3E3E3"/>
          </w:tcPr>
          <w:p>
            <w:pPr>
              <w:spacing w:after="0"/>
              <w:rPr>
                <w:sz w:val="18"/>
                <w:szCs w:val="18"/>
                <w:color w:val="auto"/>
              </w:rPr>
            </w:pPr>
          </w:p>
        </w:tc>
        <w:tc>
          <w:tcPr>
            <w:tcW w:w="80" w:type="dxa"/>
            <w:vAlign w:val="bottom"/>
            <w:tcBorders>
              <w:top w:val="single" w:sz="8" w:color="E3E3E3"/>
            </w:tcBorders>
            <w:shd w:val="clear" w:color="auto" w:fill="E3E3E3"/>
          </w:tcPr>
          <w:p>
            <w:pPr>
              <w:spacing w:after="0"/>
              <w:rPr>
                <w:sz w:val="18"/>
                <w:szCs w:val="18"/>
                <w:color w:val="auto"/>
              </w:rPr>
            </w:pPr>
          </w:p>
        </w:tc>
        <w:tc>
          <w:tcPr>
            <w:tcW w:w="6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340" w:type="dxa"/>
            <w:vAlign w:val="bottom"/>
            <w:tcBorders>
              <w:top w:val="single" w:sz="8" w:color="E3E3E3"/>
            </w:tcBorders>
            <w:shd w:val="clear" w:color="auto" w:fill="E3E3E3"/>
          </w:tcPr>
          <w:p>
            <w:pPr>
              <w:spacing w:after="0"/>
              <w:rPr>
                <w:sz w:val="18"/>
                <w:szCs w:val="18"/>
                <w:color w:val="auto"/>
              </w:rPr>
            </w:pPr>
          </w:p>
        </w:tc>
        <w:tc>
          <w:tcPr>
            <w:tcW w:w="8760" w:type="dxa"/>
            <w:vAlign w:val="bottom"/>
            <w:tcBorders>
              <w:top w:val="single" w:sz="8" w:color="E3E3E3"/>
            </w:tcBorders>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Forward-Looking Statements</w:t>
            </w:r>
          </w:p>
        </w:tc>
        <w:tc>
          <w:tcPr>
            <w:tcW w:w="720" w:type="dxa"/>
            <w:vAlign w:val="bottom"/>
            <w:tcBorders>
              <w:top w:val="single" w:sz="8" w:color="auto"/>
            </w:tcBorders>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rPr>
              <w:t>ii</w:t>
            </w:r>
          </w:p>
        </w:tc>
        <w:tc>
          <w:tcPr>
            <w:tcW w:w="20" w:type="dxa"/>
            <w:vAlign w:val="bottom"/>
            <w:tcBorders>
              <w:top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60" w:type="dxa"/>
            <w:vAlign w:val="bottom"/>
            <w:gridSpan w:val="5"/>
            <w:shd w:val="clear" w:color="auto" w:fill="E3E3E3"/>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PART I</w:t>
            </w:r>
          </w:p>
        </w:tc>
        <w:tc>
          <w:tcPr>
            <w:tcW w:w="72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100" w:type="dxa"/>
            <w:vAlign w:val="bottom"/>
            <w:tcBorders>
              <w:right w:val="single" w:sz="8" w:color="E3E3E3"/>
            </w:tcBorders>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32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820" w:type="dxa"/>
            <w:vAlign w:val="bottom"/>
            <w:shd w:val="clear" w:color="auto" w:fill="E3E3E3"/>
          </w:tcPr>
          <w:p>
            <w:pPr>
              <w:spacing w:after="0"/>
              <w:rPr>
                <w:sz w:val="18"/>
                <w:szCs w:val="18"/>
                <w:color w:val="auto"/>
              </w:rPr>
            </w:pPr>
          </w:p>
        </w:tc>
        <w:tc>
          <w:tcPr>
            <w:tcW w:w="320" w:type="dxa"/>
            <w:vAlign w:val="bottom"/>
            <w:shd w:val="clear" w:color="auto" w:fill="E3E3E3"/>
          </w:tcPr>
          <w:p>
            <w:pPr>
              <w:spacing w:after="0"/>
              <w:rPr>
                <w:sz w:val="18"/>
                <w:szCs w:val="18"/>
                <w:color w:val="auto"/>
              </w:rPr>
            </w:pPr>
          </w:p>
        </w:tc>
        <w:tc>
          <w:tcPr>
            <w:tcW w:w="200" w:type="dxa"/>
            <w:vAlign w:val="bottom"/>
            <w:shd w:val="clear" w:color="auto" w:fill="E3E3E3"/>
          </w:tcPr>
          <w:p>
            <w:pPr>
              <w:spacing w:after="0"/>
              <w:rPr>
                <w:sz w:val="18"/>
                <w:szCs w:val="18"/>
                <w:color w:val="auto"/>
              </w:rPr>
            </w:pPr>
          </w:p>
        </w:tc>
        <w:tc>
          <w:tcPr>
            <w:tcW w:w="8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1120" w:type="dxa"/>
            <w:vAlign w:val="bottom"/>
            <w:shd w:val="clear" w:color="auto" w:fill="E3E3E3"/>
          </w:tcPr>
          <w:p>
            <w:pPr>
              <w:spacing w:after="0"/>
              <w:rPr>
                <w:sz w:val="18"/>
                <w:szCs w:val="18"/>
                <w:color w:val="auto"/>
              </w:rPr>
            </w:pPr>
          </w:p>
        </w:tc>
        <w:tc>
          <w:tcPr>
            <w:tcW w:w="90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720" w:type="dxa"/>
            <w:vAlign w:val="bottom"/>
            <w:shd w:val="clear" w:color="auto" w:fill="E3E3E3"/>
          </w:tcPr>
          <w:p>
            <w:pPr>
              <w:spacing w:after="0"/>
              <w:rPr>
                <w:sz w:val="18"/>
                <w:szCs w:val="18"/>
                <w:color w:val="auto"/>
              </w:rPr>
            </w:pPr>
          </w:p>
        </w:tc>
        <w:tc>
          <w:tcPr>
            <w:tcW w:w="720" w:type="dxa"/>
            <w:vAlign w:val="bottom"/>
            <w:shd w:val="clear" w:color="auto" w:fill="E3E3E3"/>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1</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10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Business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1</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10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1A.</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Risk Factors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21</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1B.</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Unresolved Staff Comments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62</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1C.</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Cybersecurity</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62</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2.</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Properties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63</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3.</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Legal Proceedings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63</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4.</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Mine Safety Disclosures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64</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60" w:type="dxa"/>
            <w:vAlign w:val="bottom"/>
            <w:gridSpan w:val="5"/>
            <w:shd w:val="clear" w:color="auto" w:fill="E3E3E3"/>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PART II</w:t>
            </w:r>
          </w:p>
        </w:tc>
        <w:tc>
          <w:tcPr>
            <w:tcW w:w="72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100" w:type="dxa"/>
            <w:vAlign w:val="bottom"/>
            <w:tcBorders>
              <w:right w:val="single" w:sz="8" w:color="E3E3E3"/>
            </w:tcBorders>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32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820" w:type="dxa"/>
            <w:vAlign w:val="bottom"/>
            <w:shd w:val="clear" w:color="auto" w:fill="E3E3E3"/>
          </w:tcPr>
          <w:p>
            <w:pPr>
              <w:spacing w:after="0"/>
              <w:rPr>
                <w:sz w:val="18"/>
                <w:szCs w:val="18"/>
                <w:color w:val="auto"/>
              </w:rPr>
            </w:pPr>
          </w:p>
        </w:tc>
        <w:tc>
          <w:tcPr>
            <w:tcW w:w="320" w:type="dxa"/>
            <w:vAlign w:val="bottom"/>
            <w:shd w:val="clear" w:color="auto" w:fill="E3E3E3"/>
          </w:tcPr>
          <w:p>
            <w:pPr>
              <w:spacing w:after="0"/>
              <w:rPr>
                <w:sz w:val="18"/>
                <w:szCs w:val="18"/>
                <w:color w:val="auto"/>
              </w:rPr>
            </w:pPr>
          </w:p>
        </w:tc>
        <w:tc>
          <w:tcPr>
            <w:tcW w:w="200" w:type="dxa"/>
            <w:vAlign w:val="bottom"/>
            <w:shd w:val="clear" w:color="auto" w:fill="E3E3E3"/>
          </w:tcPr>
          <w:p>
            <w:pPr>
              <w:spacing w:after="0"/>
              <w:rPr>
                <w:sz w:val="18"/>
                <w:szCs w:val="18"/>
                <w:color w:val="auto"/>
              </w:rPr>
            </w:pPr>
          </w:p>
        </w:tc>
        <w:tc>
          <w:tcPr>
            <w:tcW w:w="8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1120" w:type="dxa"/>
            <w:vAlign w:val="bottom"/>
            <w:shd w:val="clear" w:color="auto" w:fill="E3E3E3"/>
          </w:tcPr>
          <w:p>
            <w:pPr>
              <w:spacing w:after="0"/>
              <w:rPr>
                <w:sz w:val="18"/>
                <w:szCs w:val="18"/>
                <w:color w:val="auto"/>
              </w:rPr>
            </w:pPr>
          </w:p>
        </w:tc>
        <w:tc>
          <w:tcPr>
            <w:tcW w:w="90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720" w:type="dxa"/>
            <w:vAlign w:val="bottom"/>
            <w:shd w:val="clear" w:color="auto" w:fill="E3E3E3"/>
          </w:tcPr>
          <w:p>
            <w:pPr>
              <w:spacing w:after="0"/>
              <w:rPr>
                <w:sz w:val="18"/>
                <w:szCs w:val="18"/>
                <w:color w:val="auto"/>
              </w:rPr>
            </w:pPr>
          </w:p>
        </w:tc>
        <w:tc>
          <w:tcPr>
            <w:tcW w:w="720" w:type="dxa"/>
            <w:vAlign w:val="bottom"/>
            <w:shd w:val="clear" w:color="auto" w:fill="E3E3E3"/>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65</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10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5.</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720" w:type="dxa"/>
            <w:vAlign w:val="bottom"/>
            <w:vMerge w:val="restart"/>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9"/>
              </w:rPr>
              <w:t>65</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 w:type="dxa"/>
            <w:vAlign w:val="bottom"/>
            <w:tcBorders>
              <w:top w:val="single" w:sz="8" w:color="E3E3E3"/>
            </w:tcBorders>
            <w:shd w:val="clear" w:color="auto" w:fill="E3E3E3"/>
          </w:tcPr>
          <w:p>
            <w:pPr>
              <w:spacing w:after="0"/>
              <w:rPr>
                <w:sz w:val="18"/>
                <w:szCs w:val="18"/>
                <w:color w:val="auto"/>
              </w:rPr>
            </w:pPr>
          </w:p>
        </w:tc>
        <w:tc>
          <w:tcPr>
            <w:tcW w:w="80" w:type="dxa"/>
            <w:vAlign w:val="bottom"/>
            <w:tcBorders>
              <w:top w:val="single" w:sz="8" w:color="E3E3E3"/>
            </w:tcBorders>
            <w:shd w:val="clear" w:color="auto" w:fill="E3E3E3"/>
          </w:tcPr>
          <w:p>
            <w:pPr>
              <w:spacing w:after="0"/>
              <w:rPr>
                <w:sz w:val="18"/>
                <w:szCs w:val="18"/>
                <w:color w:val="auto"/>
              </w:rPr>
            </w:pPr>
          </w:p>
        </w:tc>
        <w:tc>
          <w:tcPr>
            <w:tcW w:w="6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340" w:type="dxa"/>
            <w:vAlign w:val="bottom"/>
            <w:tcBorders>
              <w:top w:val="single" w:sz="8" w:color="E3E3E3"/>
            </w:tcBorders>
            <w:shd w:val="clear" w:color="auto" w:fill="E3E3E3"/>
          </w:tcPr>
          <w:p>
            <w:pPr>
              <w:spacing w:after="0"/>
              <w:rPr>
                <w:sz w:val="18"/>
                <w:szCs w:val="18"/>
                <w:color w:val="auto"/>
              </w:rPr>
            </w:pPr>
          </w:p>
        </w:tc>
        <w:tc>
          <w:tcPr>
            <w:tcW w:w="8040" w:type="dxa"/>
            <w:vAlign w:val="bottom"/>
            <w:tcBorders>
              <w:top w:val="single" w:sz="8" w:color="auto"/>
            </w:tcBorders>
            <w:gridSpan w:val="22"/>
            <w:shd w:val="clear" w:color="auto" w:fill="E3E3E3"/>
          </w:tcPr>
          <w:p>
            <w:pPr>
              <w:ind w:left="20"/>
              <w:spacing w:after="0" w:line="207" w:lineRule="exact"/>
              <w:rPr>
                <w:sz w:val="20"/>
                <w:szCs w:val="20"/>
                <w:color w:val="auto"/>
              </w:rPr>
            </w:pPr>
            <w:r>
              <w:rPr>
                <w:rFonts w:ascii="Times New Roman" w:cs="Times New Roman" w:eastAsia="Times New Roman" w:hAnsi="Times New Roman"/>
                <w:sz w:val="20"/>
                <w:szCs w:val="20"/>
                <w:color w:val="auto"/>
              </w:rPr>
              <w:t>Securities</w:t>
            </w:r>
          </w:p>
        </w:tc>
        <w:tc>
          <w:tcPr>
            <w:tcW w:w="720" w:type="dxa"/>
            <w:vAlign w:val="bottom"/>
            <w:tcBorders>
              <w:top w:val="single" w:sz="8" w:color="E3E3E3"/>
            </w:tcBorders>
            <w:shd w:val="clear" w:color="auto" w:fill="E3E3E3"/>
          </w:tcPr>
          <w:p>
            <w:pPr>
              <w:spacing w:after="0"/>
              <w:rPr>
                <w:sz w:val="18"/>
                <w:szCs w:val="18"/>
                <w:color w:val="auto"/>
              </w:rPr>
            </w:pPr>
          </w:p>
        </w:tc>
        <w:tc>
          <w:tcPr>
            <w:tcW w:w="720" w:type="dxa"/>
            <w:vAlign w:val="bottom"/>
            <w:tcBorders>
              <w:top w:val="single" w:sz="8" w:color="E3E3E3"/>
            </w:tcBorders>
            <w:vMerge w:val="continue"/>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6.</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[Reserved]</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65</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7.</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66</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7A.</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86</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8.</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40" w:type="dxa"/>
            <w:vAlign w:val="bottom"/>
            <w:gridSpan w:val="2"/>
            <w:shd w:val="clear" w:color="auto" w:fill="E3E3E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rPr>
              <w:t>F-1</w:t>
            </w: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9.</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90</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9A.</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Controls and Procedures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90</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9B.</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Other Information</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90</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9C.</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91</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60" w:type="dxa"/>
            <w:vAlign w:val="bottom"/>
            <w:gridSpan w:val="5"/>
            <w:shd w:val="clear" w:color="auto" w:fill="E3E3E3"/>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PART III</w:t>
            </w:r>
          </w:p>
        </w:tc>
        <w:tc>
          <w:tcPr>
            <w:tcW w:w="72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100" w:type="dxa"/>
            <w:vAlign w:val="bottom"/>
            <w:tcBorders>
              <w:right w:val="single" w:sz="8" w:color="E3E3E3"/>
            </w:tcBorders>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32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820" w:type="dxa"/>
            <w:vAlign w:val="bottom"/>
            <w:shd w:val="clear" w:color="auto" w:fill="E3E3E3"/>
          </w:tcPr>
          <w:p>
            <w:pPr>
              <w:spacing w:after="0"/>
              <w:rPr>
                <w:sz w:val="18"/>
                <w:szCs w:val="18"/>
                <w:color w:val="auto"/>
              </w:rPr>
            </w:pPr>
          </w:p>
        </w:tc>
        <w:tc>
          <w:tcPr>
            <w:tcW w:w="320" w:type="dxa"/>
            <w:vAlign w:val="bottom"/>
            <w:shd w:val="clear" w:color="auto" w:fill="E3E3E3"/>
          </w:tcPr>
          <w:p>
            <w:pPr>
              <w:spacing w:after="0"/>
              <w:rPr>
                <w:sz w:val="18"/>
                <w:szCs w:val="18"/>
                <w:color w:val="auto"/>
              </w:rPr>
            </w:pPr>
          </w:p>
        </w:tc>
        <w:tc>
          <w:tcPr>
            <w:tcW w:w="200" w:type="dxa"/>
            <w:vAlign w:val="bottom"/>
            <w:shd w:val="clear" w:color="auto" w:fill="E3E3E3"/>
          </w:tcPr>
          <w:p>
            <w:pPr>
              <w:spacing w:after="0"/>
              <w:rPr>
                <w:sz w:val="18"/>
                <w:szCs w:val="18"/>
                <w:color w:val="auto"/>
              </w:rPr>
            </w:pPr>
          </w:p>
        </w:tc>
        <w:tc>
          <w:tcPr>
            <w:tcW w:w="8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1120" w:type="dxa"/>
            <w:vAlign w:val="bottom"/>
            <w:shd w:val="clear" w:color="auto" w:fill="E3E3E3"/>
          </w:tcPr>
          <w:p>
            <w:pPr>
              <w:spacing w:after="0"/>
              <w:rPr>
                <w:sz w:val="18"/>
                <w:szCs w:val="18"/>
                <w:color w:val="auto"/>
              </w:rPr>
            </w:pPr>
          </w:p>
        </w:tc>
        <w:tc>
          <w:tcPr>
            <w:tcW w:w="90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720" w:type="dxa"/>
            <w:vAlign w:val="bottom"/>
            <w:shd w:val="clear" w:color="auto" w:fill="E3E3E3"/>
          </w:tcPr>
          <w:p>
            <w:pPr>
              <w:spacing w:after="0"/>
              <w:rPr>
                <w:sz w:val="18"/>
                <w:szCs w:val="18"/>
                <w:color w:val="auto"/>
              </w:rPr>
            </w:pPr>
          </w:p>
        </w:tc>
        <w:tc>
          <w:tcPr>
            <w:tcW w:w="720" w:type="dxa"/>
            <w:vAlign w:val="bottom"/>
            <w:shd w:val="clear" w:color="auto" w:fill="E3E3E3"/>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92</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10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10.</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92</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11.</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Executive Compensation</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92</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12.</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92</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13.</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92</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14.</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Principal Accountant Fees and Services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92</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60" w:type="dxa"/>
            <w:vAlign w:val="bottom"/>
            <w:gridSpan w:val="5"/>
            <w:shd w:val="clear" w:color="auto" w:fill="E3E3E3"/>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PART IV</w:t>
            </w:r>
          </w:p>
        </w:tc>
        <w:tc>
          <w:tcPr>
            <w:tcW w:w="72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100" w:type="dxa"/>
            <w:vAlign w:val="bottom"/>
            <w:tcBorders>
              <w:right w:val="single" w:sz="8" w:color="E3E3E3"/>
            </w:tcBorders>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32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820" w:type="dxa"/>
            <w:vAlign w:val="bottom"/>
            <w:shd w:val="clear" w:color="auto" w:fill="E3E3E3"/>
          </w:tcPr>
          <w:p>
            <w:pPr>
              <w:spacing w:after="0"/>
              <w:rPr>
                <w:sz w:val="18"/>
                <w:szCs w:val="18"/>
                <w:color w:val="auto"/>
              </w:rPr>
            </w:pPr>
          </w:p>
        </w:tc>
        <w:tc>
          <w:tcPr>
            <w:tcW w:w="320" w:type="dxa"/>
            <w:vAlign w:val="bottom"/>
            <w:shd w:val="clear" w:color="auto" w:fill="E3E3E3"/>
          </w:tcPr>
          <w:p>
            <w:pPr>
              <w:spacing w:after="0"/>
              <w:rPr>
                <w:sz w:val="18"/>
                <w:szCs w:val="18"/>
                <w:color w:val="auto"/>
              </w:rPr>
            </w:pPr>
          </w:p>
        </w:tc>
        <w:tc>
          <w:tcPr>
            <w:tcW w:w="200" w:type="dxa"/>
            <w:vAlign w:val="bottom"/>
            <w:shd w:val="clear" w:color="auto" w:fill="E3E3E3"/>
          </w:tcPr>
          <w:p>
            <w:pPr>
              <w:spacing w:after="0"/>
              <w:rPr>
                <w:sz w:val="18"/>
                <w:szCs w:val="18"/>
                <w:color w:val="auto"/>
              </w:rPr>
            </w:pPr>
          </w:p>
        </w:tc>
        <w:tc>
          <w:tcPr>
            <w:tcW w:w="840" w:type="dxa"/>
            <w:vAlign w:val="bottom"/>
            <w:shd w:val="clear" w:color="auto" w:fill="E3E3E3"/>
          </w:tcPr>
          <w:p>
            <w:pPr>
              <w:spacing w:after="0"/>
              <w:rPr>
                <w:sz w:val="18"/>
                <w:szCs w:val="18"/>
                <w:color w:val="auto"/>
              </w:rPr>
            </w:pPr>
          </w:p>
        </w:tc>
        <w:tc>
          <w:tcPr>
            <w:tcW w:w="28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1120" w:type="dxa"/>
            <w:vAlign w:val="bottom"/>
            <w:shd w:val="clear" w:color="auto" w:fill="E3E3E3"/>
          </w:tcPr>
          <w:p>
            <w:pPr>
              <w:spacing w:after="0"/>
              <w:rPr>
                <w:sz w:val="18"/>
                <w:szCs w:val="18"/>
                <w:color w:val="auto"/>
              </w:rPr>
            </w:pPr>
          </w:p>
        </w:tc>
        <w:tc>
          <w:tcPr>
            <w:tcW w:w="90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720" w:type="dxa"/>
            <w:vAlign w:val="bottom"/>
            <w:shd w:val="clear" w:color="auto" w:fill="E3E3E3"/>
          </w:tcPr>
          <w:p>
            <w:pPr>
              <w:spacing w:after="0"/>
              <w:rPr>
                <w:sz w:val="18"/>
                <w:szCs w:val="18"/>
                <w:color w:val="auto"/>
              </w:rPr>
            </w:pPr>
          </w:p>
        </w:tc>
        <w:tc>
          <w:tcPr>
            <w:tcW w:w="720" w:type="dxa"/>
            <w:vAlign w:val="bottom"/>
            <w:shd w:val="clear" w:color="auto" w:fill="E3E3E3"/>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93</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10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1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20" w:type="dxa"/>
            <w:vAlign w:val="bottom"/>
            <w:tcBorders>
              <w:top w:val="single" w:sz="8" w:color="E3E3E3"/>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15.</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93</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160" w:type="dxa"/>
            <w:vAlign w:val="bottom"/>
            <w:gridSpan w:val="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Item 16.</w:t>
            </w: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Form 10-K Summary</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95</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60" w:type="dxa"/>
            <w:vAlign w:val="bottom"/>
            <w:tcBorders>
              <w:top w:val="single" w:sz="8" w:color="E3E3E3"/>
            </w:tcBorders>
          </w:tcPr>
          <w:p>
            <w:pPr>
              <w:spacing w:after="0"/>
              <w:rPr>
                <w:sz w:val="11"/>
                <w:szCs w:val="11"/>
                <w:color w:val="auto"/>
              </w:rPr>
            </w:pPr>
          </w:p>
        </w:tc>
        <w:tc>
          <w:tcPr>
            <w:tcW w:w="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340" w:type="dxa"/>
            <w:vAlign w:val="bottom"/>
            <w:tcBorders>
              <w:top w:val="single" w:sz="8" w:color="E3E3E3"/>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 w:type="dxa"/>
            <w:vAlign w:val="bottom"/>
            <w:tcBorders>
              <w:top w:val="single" w:sz="8" w:color="E3E3E3"/>
            </w:tcBorders>
          </w:tcPr>
          <w:p>
            <w:pPr>
              <w:spacing w:after="0"/>
              <w:rPr>
                <w:sz w:val="11"/>
                <w:szCs w:val="11"/>
                <w:color w:val="auto"/>
              </w:rPr>
            </w:pPr>
          </w:p>
        </w:tc>
        <w:tc>
          <w:tcPr>
            <w:tcW w:w="820" w:type="dxa"/>
            <w:vAlign w:val="bottom"/>
            <w:tcBorders>
              <w:top w:val="single" w:sz="8" w:color="E3E3E3"/>
            </w:tcBorders>
          </w:tcPr>
          <w:p>
            <w:pPr>
              <w:spacing w:after="0"/>
              <w:rPr>
                <w:sz w:val="11"/>
                <w:szCs w:val="11"/>
                <w:color w:val="auto"/>
              </w:rPr>
            </w:pPr>
          </w:p>
        </w:tc>
        <w:tc>
          <w:tcPr>
            <w:tcW w:w="320" w:type="dxa"/>
            <w:vAlign w:val="bottom"/>
            <w:tcBorders>
              <w:top w:val="single" w:sz="8" w:color="E3E3E3"/>
            </w:tcBorders>
          </w:tcPr>
          <w:p>
            <w:pPr>
              <w:spacing w:after="0"/>
              <w:rPr>
                <w:sz w:val="11"/>
                <w:szCs w:val="11"/>
                <w:color w:val="auto"/>
              </w:rPr>
            </w:pPr>
          </w:p>
        </w:tc>
        <w:tc>
          <w:tcPr>
            <w:tcW w:w="200" w:type="dxa"/>
            <w:vAlign w:val="bottom"/>
            <w:tcBorders>
              <w:top w:val="single" w:sz="8" w:color="E3E3E3"/>
            </w:tcBorders>
          </w:tcPr>
          <w:p>
            <w:pPr>
              <w:spacing w:after="0"/>
              <w:rPr>
                <w:sz w:val="11"/>
                <w:szCs w:val="11"/>
                <w:color w:val="auto"/>
              </w:rPr>
            </w:pPr>
          </w:p>
        </w:tc>
        <w:tc>
          <w:tcPr>
            <w:tcW w:w="840" w:type="dxa"/>
            <w:vAlign w:val="bottom"/>
            <w:tcBorders>
              <w:top w:val="single" w:sz="8" w:color="E3E3E3"/>
            </w:tcBorders>
          </w:tcPr>
          <w:p>
            <w:pPr>
              <w:spacing w:after="0"/>
              <w:rPr>
                <w:sz w:val="11"/>
                <w:szCs w:val="11"/>
                <w:color w:val="auto"/>
              </w:rPr>
            </w:pPr>
          </w:p>
        </w:tc>
        <w:tc>
          <w:tcPr>
            <w:tcW w:w="28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600" w:type="dxa"/>
            <w:vAlign w:val="bottom"/>
            <w:tcBorders>
              <w:top w:val="single" w:sz="8" w:color="E3E3E3"/>
            </w:tcBorders>
          </w:tcPr>
          <w:p>
            <w:pPr>
              <w:spacing w:after="0"/>
              <w:rPr>
                <w:sz w:val="11"/>
                <w:szCs w:val="11"/>
                <w:color w:val="auto"/>
              </w:rPr>
            </w:pPr>
          </w:p>
        </w:tc>
        <w:tc>
          <w:tcPr>
            <w:tcW w:w="1120" w:type="dxa"/>
            <w:vAlign w:val="bottom"/>
            <w:tcBorders>
              <w:top w:val="single" w:sz="8" w:color="E3E3E3"/>
            </w:tcBorders>
          </w:tcPr>
          <w:p>
            <w:pPr>
              <w:spacing w:after="0"/>
              <w:rPr>
                <w:sz w:val="11"/>
                <w:szCs w:val="11"/>
                <w:color w:val="auto"/>
              </w:rPr>
            </w:pPr>
          </w:p>
        </w:tc>
        <w:tc>
          <w:tcPr>
            <w:tcW w:w="900" w:type="dxa"/>
            <w:vAlign w:val="bottom"/>
            <w:tcBorders>
              <w:top w:val="single" w:sz="8" w:color="E3E3E3"/>
            </w:tcBorders>
          </w:tcPr>
          <w:p>
            <w:pPr>
              <w:spacing w:after="0"/>
              <w:rPr>
                <w:sz w:val="11"/>
                <w:szCs w:val="11"/>
                <w:color w:val="auto"/>
              </w:rPr>
            </w:pPr>
          </w:p>
        </w:tc>
        <w:tc>
          <w:tcPr>
            <w:tcW w:w="4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720" w:type="dxa"/>
            <w:vAlign w:val="bottom"/>
            <w:tcBorders>
              <w:top w:val="single" w:sz="8" w:color="E3E3E3"/>
            </w:tcBorders>
          </w:tcPr>
          <w:p>
            <w:pPr>
              <w:spacing w:after="0"/>
              <w:rPr>
                <w:sz w:val="11"/>
                <w:szCs w:val="11"/>
                <w:color w:val="auto"/>
              </w:rPr>
            </w:pPr>
          </w:p>
        </w:tc>
        <w:tc>
          <w:tcPr>
            <w:tcW w:w="20" w:type="dxa"/>
            <w:vAlign w:val="bottom"/>
            <w:tcBorders>
              <w:top w:val="single" w:sz="8" w:color="E3E3E3"/>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66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340" w:type="dxa"/>
            <w:vAlign w:val="bottom"/>
            <w:shd w:val="clear" w:color="auto" w:fill="E3E3E3"/>
          </w:tcPr>
          <w:p>
            <w:pPr>
              <w:spacing w:after="0"/>
              <w:rPr>
                <w:sz w:val="18"/>
                <w:szCs w:val="18"/>
                <w:color w:val="auto"/>
              </w:rPr>
            </w:pPr>
          </w:p>
        </w:tc>
        <w:tc>
          <w:tcPr>
            <w:tcW w:w="8760" w:type="dxa"/>
            <w:vAlign w:val="bottom"/>
            <w:gridSpan w:val="23"/>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Signatures</w:t>
            </w:r>
          </w:p>
        </w:tc>
        <w:tc>
          <w:tcPr>
            <w:tcW w:w="720" w:type="dxa"/>
            <w:vAlign w:val="bottom"/>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95</w:t>
            </w:r>
          </w:p>
        </w:tc>
        <w:tc>
          <w:tcPr>
            <w:tcW w:w="2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E3E3E3"/>
          </w:tcPr>
          <w:p>
            <w:pPr>
              <w:spacing w:after="0" w:line="20" w:lineRule="exact"/>
              <w:rPr>
                <w:sz w:val="1"/>
                <w:szCs w:val="1"/>
                <w:color w:val="auto"/>
              </w:rPr>
            </w:pPr>
          </w:p>
        </w:tc>
        <w:tc>
          <w:tcPr>
            <w:tcW w:w="80" w:type="dxa"/>
            <w:vAlign w:val="bottom"/>
            <w:shd w:val="clear" w:color="auto" w:fill="E3E3E3"/>
          </w:tcPr>
          <w:p>
            <w:pPr>
              <w:spacing w:after="0" w:line="20" w:lineRule="exact"/>
              <w:rPr>
                <w:sz w:val="1"/>
                <w:szCs w:val="1"/>
                <w:color w:val="auto"/>
              </w:rPr>
            </w:pPr>
          </w:p>
        </w:tc>
        <w:tc>
          <w:tcPr>
            <w:tcW w:w="60" w:type="dxa"/>
            <w:vAlign w:val="bottom"/>
            <w:shd w:val="clear" w:color="auto" w:fill="E3E3E3"/>
          </w:tcPr>
          <w:p>
            <w:pPr>
              <w:spacing w:after="0" w:line="20" w:lineRule="exact"/>
              <w:rPr>
                <w:sz w:val="1"/>
                <w:szCs w:val="1"/>
                <w:color w:val="auto"/>
              </w:rPr>
            </w:pPr>
          </w:p>
        </w:tc>
        <w:tc>
          <w:tcPr>
            <w:tcW w:w="20" w:type="dxa"/>
            <w:vAlign w:val="bottom"/>
            <w:shd w:val="clear" w:color="auto" w:fill="E3E3E3"/>
          </w:tcPr>
          <w:p>
            <w:pPr>
              <w:spacing w:after="0" w:line="20" w:lineRule="exact"/>
              <w:rPr>
                <w:sz w:val="1"/>
                <w:szCs w:val="1"/>
                <w:color w:val="auto"/>
              </w:rPr>
            </w:pPr>
          </w:p>
        </w:tc>
        <w:tc>
          <w:tcPr>
            <w:tcW w:w="340" w:type="dxa"/>
            <w:vAlign w:val="bottom"/>
            <w:shd w:val="clear" w:color="auto" w:fill="E3E3E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E3E3E3"/>
          </w:tcPr>
          <w:p>
            <w:pPr>
              <w:spacing w:after="0" w:line="20" w:lineRule="exact"/>
              <w:rPr>
                <w:sz w:val="1"/>
                <w:szCs w:val="1"/>
                <w:color w:val="auto"/>
              </w:rPr>
            </w:pPr>
          </w:p>
        </w:tc>
        <w:tc>
          <w:tcPr>
            <w:tcW w:w="120" w:type="dxa"/>
            <w:vAlign w:val="bottom"/>
            <w:shd w:val="clear" w:color="auto" w:fill="E3E3E3"/>
          </w:tcPr>
          <w:p>
            <w:pPr>
              <w:spacing w:after="0" w:line="20" w:lineRule="exact"/>
              <w:rPr>
                <w:sz w:val="1"/>
                <w:szCs w:val="1"/>
                <w:color w:val="auto"/>
              </w:rPr>
            </w:pPr>
          </w:p>
        </w:tc>
        <w:tc>
          <w:tcPr>
            <w:tcW w:w="320" w:type="dxa"/>
            <w:vAlign w:val="bottom"/>
            <w:shd w:val="clear" w:color="auto" w:fill="E3E3E3"/>
          </w:tcPr>
          <w:p>
            <w:pPr>
              <w:spacing w:after="0" w:line="20" w:lineRule="exact"/>
              <w:rPr>
                <w:sz w:val="1"/>
                <w:szCs w:val="1"/>
                <w:color w:val="auto"/>
              </w:rPr>
            </w:pPr>
          </w:p>
        </w:tc>
        <w:tc>
          <w:tcPr>
            <w:tcW w:w="40" w:type="dxa"/>
            <w:vAlign w:val="bottom"/>
            <w:shd w:val="clear" w:color="auto" w:fill="E3E3E3"/>
          </w:tcPr>
          <w:p>
            <w:pPr>
              <w:spacing w:after="0" w:line="20" w:lineRule="exact"/>
              <w:rPr>
                <w:sz w:val="1"/>
                <w:szCs w:val="1"/>
                <w:color w:val="auto"/>
              </w:rPr>
            </w:pPr>
          </w:p>
        </w:tc>
        <w:tc>
          <w:tcPr>
            <w:tcW w:w="220" w:type="dxa"/>
            <w:vAlign w:val="bottom"/>
            <w:shd w:val="clear" w:color="auto" w:fill="E3E3E3"/>
          </w:tcPr>
          <w:p>
            <w:pPr>
              <w:spacing w:after="0" w:line="20" w:lineRule="exact"/>
              <w:rPr>
                <w:sz w:val="1"/>
                <w:szCs w:val="1"/>
                <w:color w:val="auto"/>
              </w:rPr>
            </w:pPr>
          </w:p>
        </w:tc>
        <w:tc>
          <w:tcPr>
            <w:tcW w:w="240" w:type="dxa"/>
            <w:vAlign w:val="bottom"/>
            <w:shd w:val="clear" w:color="auto" w:fill="E3E3E3"/>
          </w:tcPr>
          <w:p>
            <w:pPr>
              <w:spacing w:after="0" w:line="20" w:lineRule="exact"/>
              <w:rPr>
                <w:sz w:val="1"/>
                <w:szCs w:val="1"/>
                <w:color w:val="auto"/>
              </w:rPr>
            </w:pPr>
          </w:p>
        </w:tc>
        <w:tc>
          <w:tcPr>
            <w:tcW w:w="40" w:type="dxa"/>
            <w:vAlign w:val="bottom"/>
            <w:shd w:val="clear" w:color="auto" w:fill="E3E3E3"/>
          </w:tcPr>
          <w:p>
            <w:pPr>
              <w:spacing w:after="0" w:line="20" w:lineRule="exact"/>
              <w:rPr>
                <w:sz w:val="1"/>
                <w:szCs w:val="1"/>
                <w:color w:val="auto"/>
              </w:rPr>
            </w:pPr>
          </w:p>
        </w:tc>
        <w:tc>
          <w:tcPr>
            <w:tcW w:w="280" w:type="dxa"/>
            <w:vAlign w:val="bottom"/>
            <w:shd w:val="clear" w:color="auto" w:fill="E3E3E3"/>
          </w:tcPr>
          <w:p>
            <w:pPr>
              <w:spacing w:after="0" w:line="20" w:lineRule="exact"/>
              <w:rPr>
                <w:sz w:val="1"/>
                <w:szCs w:val="1"/>
                <w:color w:val="auto"/>
              </w:rPr>
            </w:pPr>
          </w:p>
        </w:tc>
        <w:tc>
          <w:tcPr>
            <w:tcW w:w="60" w:type="dxa"/>
            <w:vAlign w:val="bottom"/>
            <w:shd w:val="clear" w:color="auto" w:fill="E3E3E3"/>
          </w:tcPr>
          <w:p>
            <w:pPr>
              <w:spacing w:after="0" w:line="20" w:lineRule="exact"/>
              <w:rPr>
                <w:sz w:val="1"/>
                <w:szCs w:val="1"/>
                <w:color w:val="auto"/>
              </w:rPr>
            </w:pPr>
          </w:p>
        </w:tc>
        <w:tc>
          <w:tcPr>
            <w:tcW w:w="820" w:type="dxa"/>
            <w:vAlign w:val="bottom"/>
            <w:shd w:val="clear" w:color="auto" w:fill="E3E3E3"/>
          </w:tcPr>
          <w:p>
            <w:pPr>
              <w:spacing w:after="0" w:line="20" w:lineRule="exact"/>
              <w:rPr>
                <w:sz w:val="1"/>
                <w:szCs w:val="1"/>
                <w:color w:val="auto"/>
              </w:rPr>
            </w:pPr>
          </w:p>
        </w:tc>
        <w:tc>
          <w:tcPr>
            <w:tcW w:w="320" w:type="dxa"/>
            <w:vAlign w:val="bottom"/>
            <w:shd w:val="clear" w:color="auto" w:fill="E3E3E3"/>
          </w:tcPr>
          <w:p>
            <w:pPr>
              <w:spacing w:after="0" w:line="20" w:lineRule="exact"/>
              <w:rPr>
                <w:sz w:val="1"/>
                <w:szCs w:val="1"/>
                <w:color w:val="auto"/>
              </w:rPr>
            </w:pPr>
          </w:p>
        </w:tc>
        <w:tc>
          <w:tcPr>
            <w:tcW w:w="200" w:type="dxa"/>
            <w:vAlign w:val="bottom"/>
            <w:shd w:val="clear" w:color="auto" w:fill="E3E3E3"/>
          </w:tcPr>
          <w:p>
            <w:pPr>
              <w:spacing w:after="0" w:line="20" w:lineRule="exact"/>
              <w:rPr>
                <w:sz w:val="1"/>
                <w:szCs w:val="1"/>
                <w:color w:val="auto"/>
              </w:rPr>
            </w:pPr>
          </w:p>
        </w:tc>
        <w:tc>
          <w:tcPr>
            <w:tcW w:w="840" w:type="dxa"/>
            <w:vAlign w:val="bottom"/>
            <w:shd w:val="clear" w:color="auto" w:fill="E3E3E3"/>
          </w:tcPr>
          <w:p>
            <w:pPr>
              <w:spacing w:after="0" w:line="20" w:lineRule="exact"/>
              <w:rPr>
                <w:sz w:val="1"/>
                <w:szCs w:val="1"/>
                <w:color w:val="auto"/>
              </w:rPr>
            </w:pPr>
          </w:p>
        </w:tc>
        <w:tc>
          <w:tcPr>
            <w:tcW w:w="280" w:type="dxa"/>
            <w:vAlign w:val="bottom"/>
            <w:shd w:val="clear" w:color="auto" w:fill="E3E3E3"/>
          </w:tcPr>
          <w:p>
            <w:pPr>
              <w:spacing w:after="0" w:line="20" w:lineRule="exact"/>
              <w:rPr>
                <w:sz w:val="1"/>
                <w:szCs w:val="1"/>
                <w:color w:val="auto"/>
              </w:rPr>
            </w:pPr>
          </w:p>
        </w:tc>
        <w:tc>
          <w:tcPr>
            <w:tcW w:w="600" w:type="dxa"/>
            <w:vAlign w:val="bottom"/>
            <w:shd w:val="clear" w:color="auto" w:fill="E3E3E3"/>
          </w:tcPr>
          <w:p>
            <w:pPr>
              <w:spacing w:after="0" w:line="20" w:lineRule="exact"/>
              <w:rPr>
                <w:sz w:val="1"/>
                <w:szCs w:val="1"/>
                <w:color w:val="auto"/>
              </w:rPr>
            </w:pPr>
          </w:p>
        </w:tc>
        <w:tc>
          <w:tcPr>
            <w:tcW w:w="600" w:type="dxa"/>
            <w:vAlign w:val="bottom"/>
            <w:shd w:val="clear" w:color="auto" w:fill="E3E3E3"/>
          </w:tcPr>
          <w:p>
            <w:pPr>
              <w:spacing w:after="0" w:line="20" w:lineRule="exact"/>
              <w:rPr>
                <w:sz w:val="1"/>
                <w:szCs w:val="1"/>
                <w:color w:val="auto"/>
              </w:rPr>
            </w:pPr>
          </w:p>
        </w:tc>
        <w:tc>
          <w:tcPr>
            <w:tcW w:w="1120" w:type="dxa"/>
            <w:vAlign w:val="bottom"/>
            <w:shd w:val="clear" w:color="auto" w:fill="E3E3E3"/>
          </w:tcPr>
          <w:p>
            <w:pPr>
              <w:spacing w:after="0" w:line="20" w:lineRule="exact"/>
              <w:rPr>
                <w:sz w:val="1"/>
                <w:szCs w:val="1"/>
                <w:color w:val="auto"/>
              </w:rPr>
            </w:pPr>
          </w:p>
        </w:tc>
        <w:tc>
          <w:tcPr>
            <w:tcW w:w="900" w:type="dxa"/>
            <w:vAlign w:val="bottom"/>
            <w:shd w:val="clear" w:color="auto" w:fill="E3E3E3"/>
          </w:tcPr>
          <w:p>
            <w:pPr>
              <w:spacing w:after="0" w:line="20" w:lineRule="exact"/>
              <w:rPr>
                <w:sz w:val="1"/>
                <w:szCs w:val="1"/>
                <w:color w:val="auto"/>
              </w:rPr>
            </w:pPr>
          </w:p>
        </w:tc>
        <w:tc>
          <w:tcPr>
            <w:tcW w:w="40" w:type="dxa"/>
            <w:vAlign w:val="bottom"/>
            <w:shd w:val="clear" w:color="auto" w:fill="E3E3E3"/>
          </w:tcPr>
          <w:p>
            <w:pPr>
              <w:spacing w:after="0" w:line="20" w:lineRule="exact"/>
              <w:rPr>
                <w:sz w:val="1"/>
                <w:szCs w:val="1"/>
                <w:color w:val="auto"/>
              </w:rPr>
            </w:pPr>
          </w:p>
        </w:tc>
        <w:tc>
          <w:tcPr>
            <w:tcW w:w="720" w:type="dxa"/>
            <w:vAlign w:val="bottom"/>
            <w:shd w:val="clear" w:color="auto" w:fill="E3E3E3"/>
          </w:tcPr>
          <w:p>
            <w:pPr>
              <w:spacing w:after="0" w:line="20" w:lineRule="exact"/>
              <w:rPr>
                <w:sz w:val="1"/>
                <w:szCs w:val="1"/>
                <w:color w:val="auto"/>
              </w:rPr>
            </w:pPr>
          </w:p>
        </w:tc>
        <w:tc>
          <w:tcPr>
            <w:tcW w:w="720" w:type="dxa"/>
            <w:vAlign w:val="bottom"/>
            <w:shd w:val="clear" w:color="auto" w:fill="E3E3E3"/>
          </w:tcPr>
          <w:p>
            <w:pPr>
              <w:spacing w:after="0" w:line="20" w:lineRule="exact"/>
              <w:rPr>
                <w:sz w:val="1"/>
                <w:szCs w:val="1"/>
                <w:color w:val="auto"/>
              </w:rPr>
            </w:pPr>
          </w:p>
        </w:tc>
        <w:tc>
          <w:tcPr>
            <w:tcW w:w="20" w:type="dxa"/>
            <w:vAlign w:val="bottom"/>
            <w:shd w:val="clear" w:color="auto" w:fill="E3E3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40"/>
          </w:cols>
          <w:pgMar w:left="800" w:top="1005" w:right="800" w:bottom="3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640"/>
          </w:cols>
          <w:pgMar w:left="800" w:top="1005" w:right="800" w:bottom="323"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99"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This report contains information that may constitute “forward-looking statements.” Generally, the words “believe,” “expect,” “intend,” “estimate,” “anticipate,” “project,” “will,” “should,” “could,” “may,” “plan” and similar expressions identify forward-looking statements, which generally are not historical in nature. However, the absence of these words or similar expressions does not mean that a statement is not forward-looking. All statements that address operating performance, events or developments that we expect or anticipate will occur in the future-including statements relating to volume growth, share of sales and earnings per share growth, and statements expressing general views about future operating results-are forward-looking statements. Management believes that these forward-looking statements are reasonable as and when made. However, caution should be taken not to place undue reliance on any such forward-looking statements because such statements speak only as of the date when made. We undertake no obligation to publicly update or revise any forward-looking statements, whether as a result of new information, future events or otherwise, except as required by law. In addition, forward-looking statements are subject to certain risks and uncertainties that could cause actual results to differ materially from our historical experience and our present expectations or projections. These risks and uncertainties include, but are not limited to, those described in Part I, “Item 1A. Risk Factors” and elsewhere in this report and those described from time to time in reports that we have filed or in the future may file with the Securities and Exchange Commission.</w:t>
      </w:r>
    </w:p>
    <w:p>
      <w:pPr>
        <w:spacing w:after="0" w:line="164" w:lineRule="exact"/>
        <w:rPr>
          <w:sz w:val="20"/>
          <w:szCs w:val="20"/>
          <w:color w:val="auto"/>
        </w:rPr>
      </w:pPr>
    </w:p>
    <w:p>
      <w:pPr>
        <w:jc w:val="both"/>
        <w:ind w:firstLine="355"/>
        <w:spacing w:after="0" w:line="273" w:lineRule="auto"/>
        <w:rPr>
          <w:sz w:val="20"/>
          <w:szCs w:val="20"/>
          <w:color w:val="auto"/>
        </w:rPr>
      </w:pPr>
      <w:r>
        <w:rPr>
          <w:rFonts w:ascii="Times New Roman" w:cs="Times New Roman" w:eastAsia="Times New Roman" w:hAnsi="Times New Roman"/>
          <w:sz w:val="20"/>
          <w:szCs w:val="20"/>
          <w:color w:val="auto"/>
        </w:rPr>
        <w:t>The forward-looking statements contained in this report involve a number of risks and uncertainties, including statements concerning:</w:t>
      </w:r>
    </w:p>
    <w:p>
      <w:pPr>
        <w:spacing w:after="0" w:line="144" w:lineRule="exact"/>
        <w:rPr>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and projected operating results;</w:t>
      </w:r>
    </w:p>
    <w:p>
      <w:pPr>
        <w:spacing w:after="0" w:line="208" w:lineRule="exact"/>
        <w:rPr>
          <w:rFonts w:ascii="Arial" w:cs="Arial" w:eastAsia="Arial" w:hAnsi="Arial"/>
          <w:sz w:val="20"/>
          <w:szCs w:val="20"/>
          <w:color w:val="auto"/>
        </w:rPr>
      </w:pPr>
    </w:p>
    <w:p>
      <w:pPr>
        <w:ind w:left="700" w:hanging="346"/>
        <w:spacing w:after="0" w:line="272" w:lineRule="auto"/>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Manager to locate suitable loan opportunities for us, monitor and actively manage our loan portfolio and implement our investment strategy;</w:t>
      </w:r>
    </w:p>
    <w:p>
      <w:pPr>
        <w:spacing w:after="0" w:line="144"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allocation of loan opportunities to us by our Manager and its affiliates;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inflation on our operating results;</w:t>
      </w:r>
    </w:p>
    <w:p>
      <w:pPr>
        <w:spacing w:after="0" w:line="208" w:lineRule="exact"/>
        <w:rPr>
          <w:rFonts w:ascii="Arial" w:cs="Arial" w:eastAsia="Arial" w:hAnsi="Arial"/>
          <w:sz w:val="20"/>
          <w:szCs w:val="20"/>
          <w:color w:val="auto"/>
        </w:rPr>
      </w:pPr>
    </w:p>
    <w:p>
      <w:pPr>
        <w:jc w:val="both"/>
        <w:ind w:left="700" w:hanging="346"/>
        <w:spacing w:after="0" w:line="254" w:lineRule="auto"/>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63"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estimated growth in and evolving market dynamics of the cannabis market;</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demand for cannabis cultivation and processing facilities;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shifts in public opinion regarding cannabis;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state of the U.S. economy generally or in specific geographic regions;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economic trends and economic recoveries;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 and timing of our cash flows, if any, from our loans;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financing arrangements;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expected leverage;</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values of our loans;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expected investment and underwriting process;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rates of default or decreased recovery rates on our loans;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degree to which any interest rate or other hedging strategies may or may not protect us from interest rate volatility;</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interest rates and impacts of such changes on our results of operations, cash flows and the value of our loans;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interest rate mismatches between our loans and our borrowings used to fund such loans;</w:t>
      </w:r>
    </w:p>
    <w:p>
      <w:pPr>
        <w:spacing w:after="0" w:line="208" w:lineRule="exact"/>
        <w:rPr>
          <w:rFonts w:ascii="Arial" w:cs="Arial" w:eastAsia="Arial" w:hAnsi="Arial"/>
          <w:sz w:val="20"/>
          <w:szCs w:val="20"/>
          <w:color w:val="auto"/>
        </w:rPr>
      </w:pPr>
    </w:p>
    <w:p>
      <w:pPr>
        <w:ind w:left="700" w:hanging="346"/>
        <w:spacing w:after="0"/>
        <w:tabs>
          <w:tab w:leader="none" w:pos="70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the departure of any of the executive officers or key personnel supporting and assisting us from our Manager or its affiliates;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640"/>
          </w:cols>
          <w:pgMar w:left="800" w:top="1005" w:right="800" w:bottom="254" w:gutter="0" w:footer="0" w:header="0"/>
        </w:sectPr>
      </w:pPr>
    </w:p>
    <w:bookmarkStart w:id="8" w:name="page9"/>
    <w:bookmarkEnd w:id="8"/>
    <w:p>
      <w:pPr>
        <w:ind w:left="346" w:hanging="346"/>
        <w:spacing w:after="0"/>
        <w:tabs>
          <w:tab w:leader="none" w:pos="346"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impact of and changes in governmental regulations, tax law and rates, accounting guidance and similar matters;</w:t>
      </w:r>
    </w:p>
    <w:p>
      <w:pPr>
        <w:spacing w:after="0" w:line="208" w:lineRule="exact"/>
        <w:rPr>
          <w:rFonts w:ascii="Arial" w:cs="Arial" w:eastAsia="Arial" w:hAnsi="Arial"/>
          <w:sz w:val="20"/>
          <w:szCs w:val="20"/>
          <w:color w:val="auto"/>
        </w:rPr>
      </w:pPr>
    </w:p>
    <w:p>
      <w:pPr>
        <w:ind w:left="346" w:hanging="346"/>
        <w:spacing w:after="0"/>
        <w:tabs>
          <w:tab w:leader="none" w:pos="346"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our exclusion or exemption from registration under the Investment Company Act;</w:t>
      </w:r>
    </w:p>
    <w:p>
      <w:pPr>
        <w:spacing w:after="0" w:line="208" w:lineRule="exact"/>
        <w:rPr>
          <w:rFonts w:ascii="Arial" w:cs="Arial" w:eastAsia="Arial" w:hAnsi="Arial"/>
          <w:sz w:val="20"/>
          <w:szCs w:val="20"/>
          <w:color w:val="auto"/>
        </w:rPr>
      </w:pPr>
    </w:p>
    <w:p>
      <w:pPr>
        <w:ind w:left="346" w:hanging="346"/>
        <w:spacing w:after="0"/>
        <w:tabs>
          <w:tab w:leader="none" w:pos="346"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qualify and maintain our qualification as a REIT for U.S. federal income tax purposes;</w:t>
      </w:r>
    </w:p>
    <w:p>
      <w:pPr>
        <w:spacing w:after="0" w:line="208" w:lineRule="exact"/>
        <w:rPr>
          <w:rFonts w:ascii="Arial" w:cs="Arial" w:eastAsia="Arial" w:hAnsi="Arial"/>
          <w:sz w:val="20"/>
          <w:szCs w:val="20"/>
          <w:color w:val="auto"/>
        </w:rPr>
      </w:pPr>
    </w:p>
    <w:p>
      <w:pPr>
        <w:ind w:left="346" w:hanging="346"/>
        <w:spacing w:after="0"/>
        <w:tabs>
          <w:tab w:leader="none" w:pos="346"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estimates relating to our ability to make distributions to our stockholders in the future;</w:t>
      </w:r>
    </w:p>
    <w:p>
      <w:pPr>
        <w:spacing w:after="0" w:line="208" w:lineRule="exact"/>
        <w:rPr>
          <w:rFonts w:ascii="Arial" w:cs="Arial" w:eastAsia="Arial" w:hAnsi="Arial"/>
          <w:sz w:val="20"/>
          <w:szCs w:val="20"/>
          <w:color w:val="auto"/>
        </w:rPr>
      </w:pPr>
    </w:p>
    <w:p>
      <w:pPr>
        <w:ind w:left="346" w:hanging="346"/>
        <w:spacing w:after="0"/>
        <w:tabs>
          <w:tab w:leader="none" w:pos="346"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understanding of our competition;</w:t>
      </w:r>
    </w:p>
    <w:p>
      <w:pPr>
        <w:spacing w:after="0" w:line="208" w:lineRule="exact"/>
        <w:rPr>
          <w:rFonts w:ascii="Arial" w:cs="Arial" w:eastAsia="Arial" w:hAnsi="Arial"/>
          <w:sz w:val="20"/>
          <w:szCs w:val="20"/>
          <w:color w:val="auto"/>
        </w:rPr>
      </w:pPr>
    </w:p>
    <w:p>
      <w:pPr>
        <w:ind w:left="346" w:hanging="346"/>
        <w:spacing w:after="0"/>
        <w:tabs>
          <w:tab w:leader="none" w:pos="346"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market trends in our industry, interest rates, real estate values, the securities markets or the general economy; and</w:t>
      </w:r>
    </w:p>
    <w:p>
      <w:pPr>
        <w:spacing w:after="0" w:line="220" w:lineRule="exact"/>
        <w:rPr>
          <w:rFonts w:ascii="Arial" w:cs="Arial" w:eastAsia="Arial" w:hAnsi="Arial"/>
          <w:sz w:val="19"/>
          <w:szCs w:val="19"/>
          <w:color w:val="auto"/>
        </w:rPr>
      </w:pPr>
    </w:p>
    <w:p>
      <w:pPr>
        <w:ind w:left="346" w:hanging="346"/>
        <w:spacing w:after="0"/>
        <w:tabs>
          <w:tab w:leader="none" w:pos="346"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any of the other risks, uncertainties and other factors we identify in this Annual Report.</w:t>
      </w:r>
    </w:p>
    <w:p>
      <w:pPr>
        <w:sectPr>
          <w:pgSz w:w="12240" w:h="15840" w:orient="portrait"/>
          <w:cols w:equalWidth="0" w:num="1">
            <w:col w:w="9646"/>
          </w:cols>
          <w:pgMar w:left="1154" w:top="1023" w:right="144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85"/>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9646"/>
          </w:cols>
          <w:pgMar w:left="1154" w:top="1023" w:right="1440" w:bottom="266"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This page is intentionally left blank</w:t>
      </w:r>
    </w:p>
    <w:p>
      <w:pPr>
        <w:sectPr>
          <w:pgSz w:w="12240" w:h="15840" w:orient="portrait"/>
          <w:cols w:equalWidth="0" w:num="1">
            <w:col w:w="9360"/>
          </w:cols>
          <w:pgMar w:left="1440" w:top="144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199"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 xml:space="preserve">Chicago Atlantic Real Estate Finance, Inc., and its wholly owned consolidated financing subsidiary, Chicago Atlantic Lincoln, LLC (“CAL”) (collectively the “Company”, “we”, "us"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believes that it has qualified as a REIT and that its method of operation will enable it to continue to qualify as a REIT.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 See “— </w:t>
      </w:r>
      <w:r>
        <w:rPr>
          <w:rFonts w:ascii="Times New Roman" w:cs="Times New Roman" w:eastAsia="Times New Roman" w:hAnsi="Times New Roman"/>
          <w:sz w:val="20"/>
          <w:szCs w:val="20"/>
          <w:i w:val="1"/>
          <w:iCs w:val="1"/>
          <w:color w:val="auto"/>
        </w:rPr>
        <w:t>U.S. Federal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Considerations</w:t>
      </w:r>
      <w:r>
        <w:rPr>
          <w:rFonts w:ascii="Times New Roman" w:cs="Times New Roman" w:eastAsia="Times New Roman" w:hAnsi="Times New Roman"/>
          <w:sz w:val="20"/>
          <w:szCs w:val="20"/>
          <w:color w:val="auto"/>
        </w:rPr>
        <w:t>.” Additionally, the Company is an “emerging growth company,” as defined in the Jumpstart Our Business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Startups Act of 2012 (the "JOBS Act"), and intends to take advantage of certain exemptions for emerging growth companies allowing us to temporarily forego the auditor attestation requirements of Section 404(b) of the Sarbanes-Oxley Act of 2002. The Company commenced operations on March 30, 2021 and completed its initial public offering ("IPO") in December 2021.</w:t>
      </w:r>
    </w:p>
    <w:p>
      <w:pPr>
        <w:spacing w:after="0" w:line="167"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 xml:space="preserve">The Company is externally managed by Chicago Atlantic REIT Manager, LLC (the “Manager”), a Delaware limited liability company, pursuant to the terms of the management agreement dated May 1, 2021, as amended in October 2021, by and among the Company and the Manager (the "Management Agreement"). </w:t>
      </w:r>
      <w:r>
        <w:rPr>
          <w:rFonts w:ascii="Times New Roman" w:cs="Times New Roman" w:eastAsia="Times New Roman" w:hAnsi="Times New Roman"/>
          <w:sz w:val="19"/>
          <w:szCs w:val="19"/>
          <w:color w:val="auto"/>
        </w:rPr>
        <w:t>All of the Company’s investment decisions are made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investment committee of the Manager (the "Manager's Investment Committee"), subject to oversight by the Company’s board of directors (the “Board”).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9" w:lineRule="exact"/>
        <w:rPr>
          <w:sz w:val="20"/>
          <w:szCs w:val="20"/>
          <w:color w:val="auto"/>
        </w:rPr>
      </w:pPr>
    </w:p>
    <w:p>
      <w:pPr>
        <w:jc w:val="both"/>
        <w:ind w:firstLine="404"/>
        <w:spacing w:after="0" w:line="243" w:lineRule="auto"/>
        <w:rPr>
          <w:sz w:val="20"/>
          <w:szCs w:val="20"/>
          <w:color w:val="auto"/>
        </w:rPr>
      </w:pPr>
      <w:r>
        <w:rPr>
          <w:rFonts w:ascii="Times New Roman" w:cs="Times New Roman" w:eastAsia="Times New Roman" w:hAnsi="Times New Roman"/>
          <w:sz w:val="20"/>
          <w:szCs w:val="20"/>
          <w:color w:val="auto"/>
        </w:rPr>
        <w:t>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aim to maintain a diversified portfolio across jurisdictions and verticals, including cultivators, processors, dispensaries, and other businesses ancillary thereto.</w:t>
      </w:r>
    </w:p>
    <w:p>
      <w:pPr>
        <w:spacing w:after="0" w:line="160" w:lineRule="exact"/>
        <w:rPr>
          <w:sz w:val="20"/>
          <w:szCs w:val="20"/>
          <w:color w:val="auto"/>
        </w:rPr>
      </w:pPr>
    </w:p>
    <w:p>
      <w:pPr>
        <w:jc w:val="both"/>
        <w:ind w:firstLine="355"/>
        <w:spacing w:after="0" w:line="247" w:lineRule="auto"/>
        <w:rPr>
          <w:sz w:val="20"/>
          <w:szCs w:val="20"/>
          <w:color w:val="auto"/>
        </w:rPr>
      </w:pPr>
      <w:r>
        <w:rPr>
          <w:rFonts w:ascii="Times New Roman" w:cs="Times New Roman" w:eastAsia="Times New Roman" w:hAnsi="Times New Roman"/>
          <w:sz w:val="20"/>
          <w:szCs w:val="20"/>
          <w:color w:val="auto"/>
        </w:rPr>
        <w:t xml:space="preserve">Our loans to portfolio companies operating in the cannabis industry may include companies that we determine, based on our due diligence, are licensed in and in compliance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t>
      </w:r>
      <w:r>
        <w:rPr>
          <w:rFonts w:ascii="Times New Roman" w:cs="Times New Roman" w:eastAsia="Times New Roman" w:hAnsi="Times New Roman"/>
          <w:sz w:val="19"/>
          <w:szCs w:val="19"/>
          <w:color w:val="auto"/>
        </w:rPr>
        <w:t>We will not own any warrants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or other forms of equity in any of our portfolio companies involved in the cannabis industry, unless the portfolio companies are listed on a national securities exchange, such as the New York Stock Exchange ("NYSE") or NASDAQ, and such ownership is permitted by applicable U.S. federal laws and regulations, including those applicable to NYSE or NASDAQ issuers, as the case may be.</w:t>
      </w:r>
    </w:p>
    <w:p>
      <w:pPr>
        <w:spacing w:after="0" w:line="157"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We believe that cannabis operators’ limited access to traditional bank and non-bank financing has provided attractive opportunities for us to make loans to companies that exhibit strong fundamentals but require more customized financing structures and loan products than regulated financial institutions can provide in the current regulatory environment. We believe that continued state-level legalization of cannabis for medical and adult use creates an increased loan demand by companies operating in the cannabis industry and property owners leasing to cannabis tenants. Furthermore, we believe we are differentiated from our competitors because we seek to target operators and facilities that exhibit lower -risk characteristics on a relative basis, which we believe include generally limiting exposure to ground-up construction, lending to cannabis operators with operational and/or profitable facilities, diversification of geographies and distribution channels, among other factors. Additionally, the Manager seeks to invest in transactions that tend to be attractively priced and have stronger than normal covenants and amortization due to complexity of the industry and in cannabis companies that it believes have some or all of the following characteristics:</w:t>
      </w:r>
    </w:p>
    <w:p>
      <w:pPr>
        <w:spacing w:after="0" w:line="104" w:lineRule="exact"/>
        <w:rPr>
          <w:sz w:val="20"/>
          <w:szCs w:val="20"/>
          <w:color w:val="auto"/>
        </w:rPr>
      </w:pPr>
    </w:p>
    <w:p>
      <w:pPr>
        <w:ind w:left="980" w:hanging="489"/>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Growth or earnings before interest, income taxes, deprecation and amortization ("EBITDA") positive entities</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Companies that require capital but do not want to dilute their equity</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Companies that demonstrate strong cash flow performance with low leverage profiles</w:t>
      </w:r>
    </w:p>
    <w:p>
      <w:pPr>
        <w:sectPr>
          <w:pgSz w:w="12240" w:h="15840" w:orient="portrait"/>
          <w:cols w:equalWidth="0" w:num="1">
            <w:col w:w="10280"/>
          </w:cols>
          <w:pgMar w:left="1160" w:top="1005" w:right="800" w:bottom="254"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280"/>
          </w:cols>
          <w:pgMar w:left="1160" w:top="1005" w:right="800" w:bottom="254" w:gutter="0" w:footer="0" w:header="0"/>
          <w:type w:val="continuous"/>
        </w:sectPr>
      </w:pPr>
    </w:p>
    <w:bookmarkStart w:id="11" w:name="page12"/>
    <w:bookmarkEnd w:id="11"/>
    <w:p>
      <w:pPr>
        <w:ind w:left="980" w:hanging="489"/>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Low debt to enterprise value ratios</w:t>
      </w:r>
    </w:p>
    <w:p>
      <w:pPr>
        <w:spacing w:after="0" w:line="194"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Our loans are generally secured by real estate and, when lending to owner-operators in the cannabis industry, also other collateral, such as equipment, receivables, intellectual property, licenses or other assets of the borrowers to the extent permitted by applicable laws and regulations governing such borrowers. We also seek personal or corporate guarantees for additional credit protection on our loans.</w:t>
      </w:r>
    </w:p>
    <w:p>
      <w:pPr>
        <w:spacing w:after="0" w:line="153"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Generally, the loans we invest in have a complete set of financial maintenance covenants, which are used to proactively address materially adverse changes in a portfolio company’s financial performance. However, we occasionally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62"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We may also invest in companies or properties that are not related to the cannabis industry that provide return characteristics consistent with our investment objective. From time to time, we may also invest in mezzanine loans, preferred equity or other forms of joint venture equity to the extent consistent with our exemption from registration under the Investment Company Act of 1940, as amended (the “Investment Company Act”) and maintaining our qualification as a REIT. We may enter into credit agreements with borrowers that permit them to incur debt that ranks equally with, or senior to, the loans we extend to such companies under such credit agreements. There is no assurance that we will achieve our investment objective.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Manager</w:t>
      </w:r>
    </w:p>
    <w:p>
      <w:pPr>
        <w:spacing w:after="0" w:line="199"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Our Manager is an affiliate of Chicago Atlantic Group, LP (the "Sponsor" and collectively with the Manager, "Chicago Atlantic"), an alternative investment manager focused on industries and companies where demand for capital exceeds traditional supply. Chicago Atlantic's investment strategies include opportunistic private credit and private equity, with focuses on loans to portfolio companies in the cannabis industry, specialty asset-based loans, liquidity solutions, growth and technology finance, and other esoteric industries.</w:t>
      </w:r>
    </w:p>
    <w:p>
      <w:pPr>
        <w:spacing w:after="0" w:line="156"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Our Manager seeks to originate real estate mortgage loans between $ 5 million and $200 million, generally with one- to five-year terms and often include required amortization payments throughout the term of the loan.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that we have also invested in, including by means of allocating commitments, participating in loans or other means of syndicating loans. We generally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w:t>
      </w:r>
    </w:p>
    <w:p>
      <w:pPr>
        <w:spacing w:after="0" w:line="162"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Our senior management team is provided by our Manager and includes John Mazarakis, our Executive Chairman, Anthony Cappell, our Co-Chief Executive Officer, Peter Sack, our Co-Chief Executive Officer, David Kite, our President and Chief Operating Officer and Phil Silverman, our Chief Financial Officer. Our Manager is supported by additional investment professionals with significant expertise in executing our investment strategy and accounting, operational, compliance and legal professionals.</w:t>
      </w:r>
    </w:p>
    <w:p>
      <w:pPr>
        <w:spacing w:after="0" w:line="156"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Our Manager’s Investment Committee, which is comprised of John Mazarakis, Anthony Cappell, Peter Sack, Andreas Bodmeier, and David Kite, advises and consults with our Manager and its investment professionals with respect to our investment strategy, portfolio construction, financing, investment guidelines, and risk management, and approves all of our investments. The investment professionals of our Manager have over 100 years of combined experience in private credit, real estate lending, retail, real estate acquisitions and development, investment advice, risk management, and consulting. Collectively, the investment professionals have originated, underwritten, structured, documented, managed, or syndicated over $8.0 billion in credit and real estate transactions during their careers, which includes loans to cannabis operators, loans to companies engaged in activities unrelated to cannabis, as well as commercial real estate loans. The depth and breadth of the management and investment team allows our Manager to address all facets of our operations.</w:t>
      </w:r>
    </w:p>
    <w:p>
      <w:pPr>
        <w:spacing w:after="0" w:line="166" w:lineRule="exact"/>
        <w:rPr>
          <w:sz w:val="20"/>
          <w:szCs w:val="20"/>
          <w:color w:val="auto"/>
        </w:rPr>
      </w:pPr>
    </w:p>
    <w:p>
      <w:pPr>
        <w:jc w:val="both"/>
        <w:ind w:firstLine="355"/>
        <w:spacing w:after="0" w:line="300" w:lineRule="auto"/>
        <w:rPr>
          <w:sz w:val="20"/>
          <w:szCs w:val="20"/>
          <w:color w:val="auto"/>
        </w:rPr>
      </w:pPr>
      <w:r>
        <w:rPr>
          <w:rFonts w:ascii="Times New Roman" w:cs="Times New Roman" w:eastAsia="Times New Roman" w:hAnsi="Times New Roman"/>
          <w:sz w:val="19"/>
          <w:szCs w:val="19"/>
          <w:color w:val="auto"/>
        </w:rPr>
        <w:t>Pursuant to the Management Agreement, our Manager manages our loan portfolio and our day-to-day operations, subject at all times to the further terms and conditions set forth in our Management Agreement and such further limitations or parameters as</w:t>
      </w:r>
    </w:p>
    <w:p>
      <w:pPr>
        <w:sectPr>
          <w:pgSz w:w="12240" w:h="15840" w:orient="portrait"/>
          <w:cols w:equalWidth="0" w:num="1">
            <w:col w:w="10280"/>
          </w:cols>
          <w:pgMar w:left="1160" w:top="1023" w:right="800" w:bottom="254"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80"/>
          </w:cols>
          <w:pgMar w:left="1160" w:top="1023" w:right="800" w:bottom="254" w:gutter="0" w:footer="0" w:header="0"/>
          <w:type w:val="continuous"/>
        </w:sectPr>
      </w:pPr>
    </w:p>
    <w:bookmarkStart w:id="12" w:name="page13"/>
    <w:bookmarkEnd w:id="12"/>
    <w:p>
      <w:pPr>
        <w:jc w:val="both"/>
        <w:spacing w:after="0" w:line="246" w:lineRule="auto"/>
        <w:rPr>
          <w:sz w:val="20"/>
          <w:szCs w:val="20"/>
          <w:color w:val="auto"/>
        </w:rPr>
      </w:pPr>
      <w:r>
        <w:rPr>
          <w:rFonts w:ascii="Times New Roman" w:cs="Times New Roman" w:eastAsia="Times New Roman" w:hAnsi="Times New Roman"/>
          <w:sz w:val="20"/>
          <w:szCs w:val="20"/>
          <w:color w:val="auto"/>
        </w:rPr>
        <w:t>may be imposed from time to time by our board of directors (our “Board”). Under our Management Agreement, our Manager has contractual responsibilities to us, including to provide us with a management team (whether our Manager’s own employees or individuals for which our Manager has contracted with other parties to provide services to its clients), who will be our executive officers, and the Manager’s Investment Committee. Our Manager will use its commercially reasonable efforts to perform its duties under the Management Agreement.</w:t>
      </w:r>
    </w:p>
    <w:p>
      <w:pPr>
        <w:spacing w:after="0" w:line="156"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The Management Agreement had a three-year initial term that expired on April 30, 2024. After the initial term, the Management Agreement automatically renews for one-year periods unless the Company or the Manager elects not to renew in accordance with the terms of the Management Agreement. On April 30, 2025, the Management Agreement was automatically renewed. Our Management Agreement may be terminated by us or our Manager under certain specified circumstances.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Compensation</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compensation, fees and expense reimbursements that we pay to our Manager under our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Agreement. A portion or all of the fees may be paid in shares of our common stock, at the sole discretion of our</w:t>
      </w:r>
    </w:p>
    <w:p>
      <w:pPr>
        <w:spacing w:after="0"/>
        <w:rPr>
          <w:sz w:val="20"/>
          <w:szCs w:val="20"/>
          <w:color w:val="auto"/>
        </w:rPr>
      </w:pPr>
      <w:r>
        <w:rPr>
          <w:rFonts w:ascii="Times New Roman" w:cs="Times New Roman" w:eastAsia="Times New Roman" w:hAnsi="Times New Roman"/>
          <w:sz w:val="20"/>
          <w:szCs w:val="20"/>
          <w:color w:val="auto"/>
        </w:rPr>
        <w:t>Manager. To date, all fees have been paid in cash.</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80"/>
          </w:cols>
          <w:pgMar w:left="1160" w:top="1009" w:right="800" w:bottom="254"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51"/>
        </w:trPr>
        <w:tc>
          <w:tcPr>
            <w:tcW w:w="2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Type</w:t>
            </w:r>
          </w:p>
        </w:tc>
        <w:tc>
          <w:tcPr>
            <w:tcW w:w="100" w:type="dxa"/>
            <w:vAlign w:val="bottom"/>
          </w:tcPr>
          <w:p>
            <w:pPr>
              <w:spacing w:after="0"/>
              <w:rPr>
                <w:sz w:val="21"/>
                <w:szCs w:val="21"/>
                <w:color w:val="auto"/>
              </w:rPr>
            </w:pPr>
          </w:p>
        </w:tc>
        <w:tc>
          <w:tcPr>
            <w:tcW w:w="7020" w:type="dxa"/>
            <w:vAlign w:val="bottom"/>
            <w:gridSpan w:val="2"/>
          </w:tcPr>
          <w:p>
            <w:pPr>
              <w:ind w:left="298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Payment</w:t>
            </w:r>
          </w:p>
        </w:tc>
      </w:tr>
      <w:tr>
        <w:trPr>
          <w:trHeight w:val="198"/>
        </w:trPr>
        <w:tc>
          <w:tcPr>
            <w:tcW w:w="20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Base Management Fees</w:t>
            </w:r>
          </w:p>
        </w:tc>
        <w:tc>
          <w:tcPr>
            <w:tcW w:w="100" w:type="dxa"/>
            <w:vAlign w:val="bottom"/>
          </w:tcPr>
          <w:p>
            <w:pPr>
              <w:spacing w:after="0"/>
              <w:rPr>
                <w:sz w:val="17"/>
                <w:szCs w:val="17"/>
                <w:color w:val="auto"/>
              </w:rPr>
            </w:pPr>
          </w:p>
        </w:tc>
        <w:tc>
          <w:tcPr>
            <w:tcW w:w="6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An amount equal to 0.375% (1.50% on an annualized basis) of our Equity (as defined</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20"/>
                <w:szCs w:val="20"/>
                <w:color w:val="auto"/>
                <w:w w:val="98"/>
              </w:rPr>
              <w:t>Quarterly in</w:t>
            </w: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below), determined as of the last day of each quarter, reduced by an amount equal to</w:t>
            </w:r>
          </w:p>
        </w:tc>
        <w:tc>
          <w:tcPr>
            <w:tcW w:w="11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arrears.</w:t>
            </w: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50% of the pro rata amount of origination fees, structuring fees, or underwriting fees</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earned and paid to our Manager during the applicable quarter for loans that were</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originated on our behalf by our Manager. Our Equity, for purposes of calculating the</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Base Management Fees, could be greater than or less than the amount of stockholders’</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equity shown on our consolidated financial statements. The Base Management Fees are</w:t>
            </w:r>
          </w:p>
        </w:tc>
        <w:tc>
          <w:tcPr>
            <w:tcW w:w="1100" w:type="dxa"/>
            <w:vAlign w:val="bottom"/>
          </w:tcPr>
          <w:p>
            <w:pPr>
              <w:spacing w:after="0"/>
              <w:rPr>
                <w:sz w:val="19"/>
                <w:szCs w:val="19"/>
                <w:color w:val="auto"/>
              </w:rPr>
            </w:pPr>
          </w:p>
        </w:tc>
      </w:tr>
      <w:tr>
        <w:trPr>
          <w:trHeight w:val="264"/>
        </w:trPr>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payable independent of the performance of our loan portfolio.</w:t>
            </w:r>
          </w:p>
        </w:tc>
        <w:tc>
          <w:tcPr>
            <w:tcW w:w="1100" w:type="dxa"/>
            <w:vAlign w:val="bottom"/>
          </w:tcPr>
          <w:p>
            <w:pPr>
              <w:spacing w:after="0"/>
              <w:rPr>
                <w:sz w:val="22"/>
                <w:szCs w:val="22"/>
                <w:color w:val="auto"/>
              </w:rPr>
            </w:pPr>
          </w:p>
        </w:tc>
      </w:tr>
      <w:tr>
        <w:trPr>
          <w:trHeight w:val="418"/>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Incentive Compensation</w:t>
            </w: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Our Manager is entitled to incentive compensation (the “Incentive Compensation” or</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Quarterly in</w:t>
            </w:r>
          </w:p>
        </w:tc>
      </w:tr>
      <w:tr>
        <w:trPr>
          <w:trHeight w:val="227"/>
        </w:trPr>
        <w:tc>
          <w:tcPr>
            <w:tcW w:w="20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(the “Incentive</w:t>
            </w: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“Incentive Fees”) which is calculated and payable in cash with respect to each calendar</w:t>
            </w:r>
          </w:p>
        </w:tc>
        <w:tc>
          <w:tcPr>
            <w:tcW w:w="11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7"/>
              </w:rPr>
              <w:t>arrears.</w:t>
            </w:r>
          </w:p>
        </w:tc>
      </w:tr>
      <w:tr>
        <w:trPr>
          <w:trHeight w:val="227"/>
        </w:trPr>
        <w:tc>
          <w:tcPr>
            <w:tcW w:w="20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Compensation” or</w:t>
            </w: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quarter (or part thereof that the management agreement is in effect) in arrears in an</w:t>
            </w:r>
          </w:p>
        </w:tc>
        <w:tc>
          <w:tcPr>
            <w:tcW w:w="1100" w:type="dxa"/>
            <w:vAlign w:val="bottom"/>
          </w:tcPr>
          <w:p>
            <w:pPr>
              <w:spacing w:after="0"/>
              <w:rPr>
                <w:sz w:val="19"/>
                <w:szCs w:val="19"/>
                <w:color w:val="auto"/>
              </w:rPr>
            </w:pPr>
          </w:p>
        </w:tc>
      </w:tr>
      <w:tr>
        <w:trPr>
          <w:trHeight w:val="227"/>
        </w:trPr>
        <w:tc>
          <w:tcPr>
            <w:tcW w:w="20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“Incentive Fees”)</w:t>
            </w: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amount, not less than zero, equal to the excess of (1) the product of (a) 20% and (b) the</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excess of (i) our Core Earnings for the previous 12-month period, over (ii) the product</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of (A) our Equity in the previous 12-month period, and (B) 8% per annum, over (2) the</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sum of any incentive compensation paid to our Manager with respect to the first three</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 xml:space="preserve">calendar quarters of such previous 12-month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incentive compensation is payable with respect to any calendar quarter unless Core</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Earnings for the 12 most recently completed calendar quarters in the aggregate is</w:t>
            </w:r>
          </w:p>
        </w:tc>
        <w:tc>
          <w:tcPr>
            <w:tcW w:w="1100" w:type="dxa"/>
            <w:vAlign w:val="bottom"/>
          </w:tcPr>
          <w:p>
            <w:pPr>
              <w:spacing w:after="0"/>
              <w:rPr>
                <w:sz w:val="19"/>
                <w:szCs w:val="19"/>
                <w:color w:val="auto"/>
              </w:rPr>
            </w:pPr>
          </w:p>
        </w:tc>
      </w:tr>
      <w:tr>
        <w:trPr>
          <w:trHeight w:val="264"/>
        </w:trPr>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greater than zero.</w:t>
            </w:r>
          </w:p>
        </w:tc>
        <w:tc>
          <w:tcPr>
            <w:tcW w:w="1100" w:type="dxa"/>
            <w:vAlign w:val="bottom"/>
          </w:tcPr>
          <w:p>
            <w:pPr>
              <w:spacing w:after="0"/>
              <w:rPr>
                <w:sz w:val="22"/>
                <w:szCs w:val="22"/>
                <w:color w:val="auto"/>
              </w:rPr>
            </w:pPr>
          </w:p>
        </w:tc>
      </w:tr>
      <w:tr>
        <w:trPr>
          <w:trHeight w:val="418"/>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Core Earnings is defined as the Company's net income (loss) for the applicable period,</w:t>
            </w:r>
          </w:p>
        </w:tc>
        <w:tc>
          <w:tcPr>
            <w:tcW w:w="1100" w:type="dxa"/>
            <w:vAlign w:val="bottom"/>
          </w:tcPr>
          <w:p>
            <w:pPr>
              <w:spacing w:after="0"/>
              <w:rPr>
                <w:sz w:val="24"/>
                <w:szCs w:val="24"/>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computed in accordance with GAAP, excluding (i) non-cash equity compensation</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expense, (ii) the Incentive Compensation, (iii) depreciation and amortization, (iv) any</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unrealized gains or losses or other non-cash items that are included in net income for</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the applicable reporting period, regardless of whether such items are included in other</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comprehensive income or loss, or in net income and (v) one-time events pursuant to</w:t>
            </w:r>
          </w:p>
        </w:tc>
        <w:tc>
          <w:tcPr>
            <w:tcW w:w="1100" w:type="dxa"/>
            <w:vAlign w:val="bottom"/>
          </w:tcPr>
          <w:p>
            <w:pPr>
              <w:spacing w:after="0"/>
              <w:rPr>
                <w:sz w:val="19"/>
                <w:szCs w:val="19"/>
                <w:color w:val="auto"/>
              </w:rPr>
            </w:pPr>
          </w:p>
        </w:tc>
      </w:tr>
      <w:tr>
        <w:trPr>
          <w:trHeight w:val="264"/>
        </w:trPr>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GAAP and certain non-cash charges.</w:t>
            </w:r>
          </w:p>
        </w:tc>
        <w:tc>
          <w:tcPr>
            <w:tcW w:w="1100" w:type="dxa"/>
            <w:vAlign w:val="bottom"/>
          </w:tcPr>
          <w:p>
            <w:pPr>
              <w:spacing w:after="0"/>
              <w:rPr>
                <w:sz w:val="22"/>
                <w:szCs w:val="22"/>
                <w:color w:val="auto"/>
              </w:rPr>
            </w:pPr>
          </w:p>
        </w:tc>
      </w:tr>
      <w:tr>
        <w:trPr>
          <w:trHeight w:val="418"/>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Core Earnings, as defined in the Management Agreement, is consistent with the</w:t>
            </w:r>
          </w:p>
        </w:tc>
        <w:tc>
          <w:tcPr>
            <w:tcW w:w="1100" w:type="dxa"/>
            <w:vAlign w:val="bottom"/>
          </w:tcPr>
          <w:p>
            <w:pPr>
              <w:spacing w:after="0"/>
              <w:rPr>
                <w:sz w:val="24"/>
                <w:szCs w:val="24"/>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 xml:space="preserve">definition of Distributable Earnings as described in </w:t>
            </w:r>
            <w:r>
              <w:rPr>
                <w:rFonts w:ascii="Times New Roman" w:cs="Times New Roman" w:eastAsia="Times New Roman" w:hAnsi="Times New Roman"/>
                <w:sz w:val="20"/>
                <w:szCs w:val="20"/>
                <w:i w:val="1"/>
                <w:iCs w:val="1"/>
                <w:color w:val="auto"/>
              </w:rPr>
              <w:t>"Non-GAAP Measures and Key</w:t>
            </w:r>
          </w:p>
        </w:tc>
        <w:tc>
          <w:tcPr>
            <w:tcW w:w="1100" w:type="dxa"/>
            <w:vAlign w:val="bottom"/>
          </w:tcPr>
          <w:p>
            <w:pPr>
              <w:spacing w:after="0"/>
              <w:rPr>
                <w:sz w:val="19"/>
                <w:szCs w:val="19"/>
                <w:color w:val="auto"/>
              </w:rPr>
            </w:pPr>
          </w:p>
        </w:tc>
      </w:tr>
      <w:tr>
        <w:trPr>
          <w:trHeight w:val="22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Financial Measures and Indicators</w:t>
            </w:r>
            <w:r>
              <w:rPr>
                <w:rFonts w:ascii="Times New Roman" w:cs="Times New Roman" w:eastAsia="Times New Roman" w:hAnsi="Times New Roman"/>
                <w:sz w:val="20"/>
                <w:szCs w:val="20"/>
                <w:color w:val="auto"/>
              </w:rPr>
              <w:t>" within</w:t>
            </w:r>
            <w:r>
              <w:rPr>
                <w:rFonts w:ascii="Times New Roman" w:cs="Times New Roman" w:eastAsia="Times New Roman" w:hAnsi="Times New Roman"/>
                <w:sz w:val="20"/>
                <w:szCs w:val="20"/>
                <w:i w:val="1"/>
                <w:iCs w:val="1"/>
                <w:color w:val="auto"/>
              </w:rPr>
              <w:t xml:space="preserve"> Management’s Discussion and Analysis of</w:t>
            </w:r>
          </w:p>
        </w:tc>
        <w:tc>
          <w:tcPr>
            <w:tcW w:w="1100" w:type="dxa"/>
            <w:vAlign w:val="bottom"/>
          </w:tcPr>
          <w:p>
            <w:pPr>
              <w:spacing w:after="0"/>
              <w:rPr>
                <w:sz w:val="19"/>
                <w:szCs w:val="19"/>
                <w:color w:val="auto"/>
              </w:rPr>
            </w:pPr>
          </w:p>
        </w:tc>
      </w:tr>
      <w:tr>
        <w:trPr>
          <w:trHeight w:val="262"/>
        </w:trPr>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Financial Condition and Results of Operations.</w:t>
            </w:r>
          </w:p>
        </w:tc>
        <w:tc>
          <w:tcPr>
            <w:tcW w:w="1100" w:type="dxa"/>
            <w:vAlign w:val="bottom"/>
          </w:tcPr>
          <w:p>
            <w:pPr>
              <w:spacing w:after="0"/>
              <w:rPr>
                <w:sz w:val="22"/>
                <w:szCs w:val="22"/>
                <w:color w:val="auto"/>
              </w:rPr>
            </w:pPr>
          </w:p>
        </w:tc>
      </w:tr>
      <w:tr>
        <w:trPr>
          <w:trHeight w:val="418"/>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Expense Reimbursement</w:t>
            </w: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 pay all of our costs and expenses and reimburse our Manager or its affiliates for</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Monthly in</w:t>
            </w: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expenses of our Manager and its affiliates paid or incurred on our behalf, excepting</w:t>
            </w:r>
          </w:p>
        </w:tc>
        <w:tc>
          <w:tcPr>
            <w:tcW w:w="11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cash.</w:t>
            </w: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only those expenses that are specifically the responsibility of our Manager pursuant to</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our Management Agreement. Pursuant to our Management Agreement, and subject to</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review by the Compensation Committee of our Board, we reimburse our Manager or</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its  affiliates,  as  applicable,  for  our  fair  and  equitable  allocable  share  of  the</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compensation, including annual base salary, bonus, any related withholding taxes and</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employee benefits, paid to (i) our Manager’s personnel serving as our Chief Executive</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Officer or any of our other officers, based on the percentage of his or her time spent</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devoted to our affairs and (ii) other corporate finance, tax, accounting, internal audit,</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legal, risk management, operations, compliance and other non-investment personnel of</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our Manager and its affiliates who spend all or a portion of their time managing our</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affairs, with the allocable share of the compensation of such personnel described in this</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clause (ii) being as reasonably determined by our Manager to appropriately reflect the</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amount of time spent devoted by such personnel to our affairs. The service by any</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personnel of our Manager and its affiliates as a member of the Manager’s Investment</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Committee will not, by itself, be dispositive in the determination as to whether such</w:t>
            </w:r>
          </w:p>
        </w:tc>
        <w:tc>
          <w:tcPr>
            <w:tcW w:w="1100" w:type="dxa"/>
            <w:vAlign w:val="bottom"/>
          </w:tcPr>
          <w:p>
            <w:pPr>
              <w:spacing w:after="0"/>
              <w:rPr>
                <w:sz w:val="19"/>
                <w:szCs w:val="19"/>
                <w:color w:val="auto"/>
              </w:rPr>
            </w:pP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personnel is deemed “investment personnel” of our Manager and its affiliates for</w:t>
            </w:r>
          </w:p>
        </w:tc>
        <w:tc>
          <w:tcPr>
            <w:tcW w:w="1100" w:type="dxa"/>
            <w:vAlign w:val="bottom"/>
          </w:tcPr>
          <w:p>
            <w:pPr>
              <w:spacing w:after="0"/>
              <w:rPr>
                <w:sz w:val="19"/>
                <w:szCs w:val="19"/>
                <w:color w:val="auto"/>
              </w:rPr>
            </w:pPr>
          </w:p>
        </w:tc>
      </w:tr>
      <w:tr>
        <w:trPr>
          <w:trHeight w:val="264"/>
        </w:trPr>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purposes of expense reimbursement.</w:t>
            </w:r>
          </w:p>
        </w:tc>
        <w:tc>
          <w:tcPr>
            <w:tcW w:w="1100" w:type="dxa"/>
            <w:vAlign w:val="bottom"/>
          </w:tcPr>
          <w:p>
            <w:pPr>
              <w:spacing w:after="0"/>
              <w:rPr>
                <w:sz w:val="22"/>
                <w:szCs w:val="22"/>
                <w:color w:val="auto"/>
              </w:rPr>
            </w:pPr>
          </w:p>
        </w:tc>
      </w:tr>
      <w:tr>
        <w:trPr>
          <w:trHeight w:val="418"/>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Termination Fee</w:t>
            </w:r>
          </w:p>
        </w:tc>
        <w:tc>
          <w:tcPr>
            <w:tcW w:w="10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Equal to three times the sum of (i) the annualized average quarterly Base Management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Upon</w:t>
            </w:r>
          </w:p>
        </w:tc>
      </w:tr>
      <w:tr>
        <w:trPr>
          <w:trHeight w:val="227"/>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Fee and (ii) the annualized average quarterly Incentive Compensation, in each case,</w:t>
            </w:r>
          </w:p>
        </w:tc>
        <w:tc>
          <w:tcPr>
            <w:tcW w:w="11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specified</w:t>
            </w:r>
          </w:p>
        </w:tc>
      </w:tr>
      <w:tr>
        <w:trPr>
          <w:trHeight w:val="264"/>
        </w:trPr>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earned by our Manager during the 24-month period immediately preceding the most</w:t>
            </w:r>
          </w:p>
        </w:tc>
        <w:tc>
          <w:tcPr>
            <w:tcW w:w="1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-7085330</wp:posOffset>
            </wp:positionV>
            <wp:extent cx="6522720" cy="7075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6522720" cy="7075170"/>
                    </a:xfrm>
                    <a:prstGeom prst="rect">
                      <a:avLst/>
                    </a:prstGeom>
                    <a:noFill/>
                  </pic:spPr>
                </pic:pic>
              </a:graphicData>
            </a:graphic>
          </wp:anchor>
        </w:drawing>
      </w:r>
    </w:p>
    <w:p>
      <w:pPr>
        <w:sectPr>
          <w:pgSz w:w="12240" w:h="15840" w:orient="portrait"/>
          <w:cols w:equalWidth="0" w:num="1">
            <w:col w:w="10280"/>
          </w:cols>
          <w:pgMar w:left="1160" w:top="1232" w:right="800" w:bottom="254"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80"/>
          </w:cols>
          <w:pgMar w:left="1160" w:top="1232" w:right="800" w:bottom="254" w:gutter="0" w:footer="0" w:header="0"/>
          <w:type w:val="continuous"/>
        </w:sectPr>
      </w:pPr>
    </w:p>
    <w:bookmarkStart w:id="14" w:name="page15"/>
    <w:bookmarkEnd w:id="14"/>
    <w:tbl>
      <w:tblPr>
        <w:tblLayout w:type="fixed"/>
        <w:tblInd w:w="216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recently completed fiscal quarter prior to the date of termination. Such fee shall be</w:t>
            </w:r>
          </w:p>
        </w:tc>
        <w:tc>
          <w:tcPr>
            <w:tcW w:w="100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7"/>
              </w:rPr>
              <w:t>termination</w:t>
            </w:r>
          </w:p>
        </w:tc>
      </w:tr>
      <w:tr>
        <w:trPr>
          <w:trHeight w:val="227"/>
        </w:trPr>
        <w:tc>
          <w:tcPr>
            <w:tcW w:w="70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payable upon termination of our Management Agreement in the event that (i) we</w:t>
            </w:r>
          </w:p>
        </w:tc>
        <w:tc>
          <w:tcPr>
            <w:tcW w:w="1000" w:type="dxa"/>
            <w:vAlign w:val="bottom"/>
          </w:tcPr>
          <w:p>
            <w:pPr>
              <w:jc w:val="center"/>
              <w:ind w:left="21"/>
              <w:spacing w:after="0" w:line="228" w:lineRule="exact"/>
              <w:rPr>
                <w:sz w:val="20"/>
                <w:szCs w:val="20"/>
                <w:color w:val="auto"/>
              </w:rPr>
            </w:pPr>
            <w:r>
              <w:rPr>
                <w:rFonts w:ascii="Times New Roman" w:cs="Times New Roman" w:eastAsia="Times New Roman" w:hAnsi="Times New Roman"/>
                <w:sz w:val="20"/>
                <w:szCs w:val="20"/>
                <w:color w:val="auto"/>
                <w:w w:val="98"/>
              </w:rPr>
              <w:t>in cash.</w:t>
            </w:r>
          </w:p>
        </w:tc>
      </w:tr>
      <w:tr>
        <w:trPr>
          <w:trHeight w:val="227"/>
        </w:trPr>
        <w:tc>
          <w:tcPr>
            <w:tcW w:w="70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decline to renew our Management Agreement, without cause, upon 90 days’ prior</w:t>
            </w:r>
          </w:p>
        </w:tc>
        <w:tc>
          <w:tcPr>
            <w:tcW w:w="1000" w:type="dxa"/>
            <w:vAlign w:val="bottom"/>
          </w:tcPr>
          <w:p>
            <w:pPr>
              <w:spacing w:after="0"/>
              <w:rPr>
                <w:sz w:val="19"/>
                <w:szCs w:val="19"/>
                <w:color w:val="auto"/>
              </w:rPr>
            </w:pPr>
          </w:p>
        </w:tc>
      </w:tr>
      <w:tr>
        <w:trPr>
          <w:trHeight w:val="227"/>
        </w:trPr>
        <w:tc>
          <w:tcPr>
            <w:tcW w:w="70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written notice and the affirmative vote of at least a majority of our independent</w:t>
            </w:r>
          </w:p>
        </w:tc>
        <w:tc>
          <w:tcPr>
            <w:tcW w:w="1000" w:type="dxa"/>
            <w:vAlign w:val="bottom"/>
          </w:tcPr>
          <w:p>
            <w:pPr>
              <w:spacing w:after="0"/>
              <w:rPr>
                <w:sz w:val="19"/>
                <w:szCs w:val="19"/>
                <w:color w:val="auto"/>
              </w:rPr>
            </w:pPr>
          </w:p>
        </w:tc>
      </w:tr>
      <w:tr>
        <w:trPr>
          <w:trHeight w:val="227"/>
        </w:trPr>
        <w:tc>
          <w:tcPr>
            <w:tcW w:w="70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directors that there has been unsatisfactory performance by our Manager that is</w:t>
            </w:r>
          </w:p>
        </w:tc>
        <w:tc>
          <w:tcPr>
            <w:tcW w:w="1000" w:type="dxa"/>
            <w:vAlign w:val="bottom"/>
          </w:tcPr>
          <w:p>
            <w:pPr>
              <w:spacing w:after="0"/>
              <w:rPr>
                <w:sz w:val="19"/>
                <w:szCs w:val="19"/>
                <w:color w:val="auto"/>
              </w:rPr>
            </w:pPr>
          </w:p>
        </w:tc>
      </w:tr>
      <w:tr>
        <w:trPr>
          <w:trHeight w:val="227"/>
        </w:trPr>
        <w:tc>
          <w:tcPr>
            <w:tcW w:w="70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materially detrimental to us taken as a whole, or (ii) our Management Agreement is</w:t>
            </w:r>
          </w:p>
        </w:tc>
        <w:tc>
          <w:tcPr>
            <w:tcW w:w="1000" w:type="dxa"/>
            <w:vAlign w:val="bottom"/>
          </w:tcPr>
          <w:p>
            <w:pPr>
              <w:spacing w:after="0"/>
              <w:rPr>
                <w:sz w:val="19"/>
                <w:szCs w:val="19"/>
                <w:color w:val="auto"/>
              </w:rPr>
            </w:pPr>
          </w:p>
        </w:tc>
      </w:tr>
      <w:tr>
        <w:trPr>
          <w:trHeight w:val="227"/>
        </w:trPr>
        <w:tc>
          <w:tcPr>
            <w:tcW w:w="70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terminated by our Manager (effective upon 60 days’ prior written notice) based upon</w:t>
            </w:r>
          </w:p>
        </w:tc>
        <w:tc>
          <w:tcPr>
            <w:tcW w:w="1000" w:type="dxa"/>
            <w:vAlign w:val="bottom"/>
          </w:tcPr>
          <w:p>
            <w:pPr>
              <w:spacing w:after="0"/>
              <w:rPr>
                <w:sz w:val="19"/>
                <w:szCs w:val="19"/>
                <w:color w:val="auto"/>
              </w:rPr>
            </w:pPr>
          </w:p>
        </w:tc>
      </w:tr>
      <w:tr>
        <w:trPr>
          <w:trHeight w:val="227"/>
        </w:trPr>
        <w:tc>
          <w:tcPr>
            <w:tcW w:w="70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our default in the performance or observance of any material term, condition or</w:t>
            </w:r>
          </w:p>
        </w:tc>
        <w:tc>
          <w:tcPr>
            <w:tcW w:w="1000" w:type="dxa"/>
            <w:vAlign w:val="bottom"/>
          </w:tcPr>
          <w:p>
            <w:pPr>
              <w:spacing w:after="0"/>
              <w:rPr>
                <w:sz w:val="19"/>
                <w:szCs w:val="19"/>
                <w:color w:val="auto"/>
              </w:rPr>
            </w:pPr>
          </w:p>
        </w:tc>
      </w:tr>
      <w:tr>
        <w:trPr>
          <w:trHeight w:val="227"/>
        </w:trPr>
        <w:tc>
          <w:tcPr>
            <w:tcW w:w="70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covenant contained in our Management Agreement and such default continuing for a</w:t>
            </w:r>
          </w:p>
        </w:tc>
        <w:tc>
          <w:tcPr>
            <w:tcW w:w="1000" w:type="dxa"/>
            <w:vAlign w:val="bottom"/>
          </w:tcPr>
          <w:p>
            <w:pPr>
              <w:spacing w:after="0"/>
              <w:rPr>
                <w:sz w:val="19"/>
                <w:szCs w:val="19"/>
                <w:color w:val="auto"/>
              </w:rPr>
            </w:pPr>
          </w:p>
        </w:tc>
      </w:tr>
      <w:tr>
        <w:trPr>
          <w:trHeight w:val="227"/>
        </w:trPr>
        <w:tc>
          <w:tcPr>
            <w:tcW w:w="70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period of 30 days after written notice thereof specifying such default and requesting</w:t>
            </w:r>
          </w:p>
        </w:tc>
        <w:tc>
          <w:tcPr>
            <w:tcW w:w="1000" w:type="dxa"/>
            <w:vAlign w:val="bottom"/>
          </w:tcPr>
          <w:p>
            <w:pPr>
              <w:spacing w:after="0"/>
              <w:rPr>
                <w:sz w:val="19"/>
                <w:szCs w:val="19"/>
                <w:color w:val="auto"/>
              </w:rPr>
            </w:pPr>
          </w:p>
        </w:tc>
      </w:tr>
      <w:tr>
        <w:trPr>
          <w:trHeight w:val="264"/>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that the same be remedied in such 30-day period.</w:t>
            </w:r>
          </w:p>
        </w:tc>
        <w:tc>
          <w:tcPr>
            <w:tcW w:w="1000" w:type="dxa"/>
            <w:vAlign w:val="bottom"/>
          </w:tcPr>
          <w:p>
            <w:pPr>
              <w:spacing w:after="0"/>
              <w:rPr>
                <w:sz w:val="22"/>
                <w:szCs w:val="22"/>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Compensation Table</w:t>
            </w: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14"/>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Year ended</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7"/>
              </w:rPr>
              <w:t>Year ended</w:t>
            </w:r>
          </w:p>
        </w:tc>
      </w:tr>
      <w:tr>
        <w:trPr>
          <w:trHeight w:val="227"/>
        </w:trPr>
        <w:tc>
          <w:tcPr>
            <w:tcW w:w="6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center"/>
              <w:ind w:right="300"/>
              <w:spacing w:after="0" w:line="228" w:lineRule="exact"/>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51"/>
        </w:trPr>
        <w:tc>
          <w:tcPr>
            <w:tcW w:w="6260" w:type="dxa"/>
            <w:vAlign w:val="bottom"/>
            <w:tcBorders>
              <w:bottom w:val="single" w:sz="8" w:color="E3E3E3"/>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20" w:type="dxa"/>
            <w:vAlign w:val="bottom"/>
          </w:tcPr>
          <w:p>
            <w:pPr>
              <w:spacing w:after="0"/>
              <w:rPr>
                <w:sz w:val="21"/>
                <w:szCs w:val="21"/>
                <w:color w:val="auto"/>
              </w:rPr>
            </w:pPr>
          </w:p>
        </w:tc>
        <w:tc>
          <w:tcPr>
            <w:tcW w:w="260" w:type="dxa"/>
            <w:vAlign w:val="bottom"/>
            <w:tcBorders>
              <w:bottom w:val="single" w:sz="8" w:color="E3E3E3"/>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Borders>
              <w:bottom w:val="single" w:sz="8" w:color="E3E3E3"/>
            </w:tcBorders>
          </w:tcPr>
          <w:p>
            <w:pPr>
              <w:spacing w:after="0"/>
              <w:rPr>
                <w:sz w:val="21"/>
                <w:szCs w:val="21"/>
                <w:color w:val="auto"/>
              </w:rPr>
            </w:pPr>
          </w:p>
        </w:tc>
      </w:tr>
      <w:tr>
        <w:trPr>
          <w:trHeight w:val="222"/>
        </w:trPr>
        <w:tc>
          <w:tcPr>
            <w:tcW w:w="6260" w:type="dxa"/>
            <w:vAlign w:val="bottom"/>
            <w:shd w:val="clear" w:color="auto" w:fill="E3E3E3"/>
          </w:tcPr>
          <w:p>
            <w:pPr>
              <w:spacing w:after="0" w:line="222" w:lineRule="exact"/>
              <w:rPr>
                <w:sz w:val="20"/>
                <w:szCs w:val="20"/>
                <w:color w:val="auto"/>
              </w:rPr>
            </w:pPr>
            <w:r>
              <w:rPr>
                <w:rFonts w:ascii="Times New Roman" w:cs="Times New Roman" w:eastAsia="Times New Roman" w:hAnsi="Times New Roman"/>
                <w:sz w:val="20"/>
                <w:szCs w:val="20"/>
                <w:color w:val="auto"/>
              </w:rPr>
              <w:t>Base Management Fees</w:t>
            </w:r>
          </w:p>
        </w:tc>
        <w:tc>
          <w:tcPr>
            <w:tcW w:w="200" w:type="dxa"/>
            <w:vAlign w:val="bottom"/>
            <w:shd w:val="clear" w:color="auto" w:fill="E3E3E3"/>
          </w:tcPr>
          <w:p>
            <w:pPr>
              <w:jc w:val="right"/>
              <w:ind w:right="1"/>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gridSpan w:val="2"/>
            <w:shd w:val="clear" w:color="auto" w:fill="E3E3E3"/>
          </w:tcPr>
          <w:p>
            <w:pPr>
              <w:jc w:val="right"/>
              <w:ind w:right="20"/>
              <w:spacing w:after="0" w:line="222" w:lineRule="exact"/>
              <w:rPr>
                <w:sz w:val="20"/>
                <w:szCs w:val="20"/>
                <w:color w:val="auto"/>
              </w:rPr>
            </w:pPr>
            <w:r>
              <w:rPr>
                <w:rFonts w:ascii="Times New Roman" w:cs="Times New Roman" w:eastAsia="Times New Roman" w:hAnsi="Times New Roman"/>
                <w:sz w:val="20"/>
                <w:szCs w:val="20"/>
                <w:color w:val="auto"/>
              </w:rPr>
              <w:t>4,485,313</w:t>
            </w:r>
          </w:p>
        </w:tc>
        <w:tc>
          <w:tcPr>
            <w:tcW w:w="260" w:type="dxa"/>
            <w:vAlign w:val="bottom"/>
            <w:shd w:val="clear" w:color="auto" w:fill="E3E3E3"/>
          </w:tcPr>
          <w:p>
            <w:pPr>
              <w:spacing w:after="0"/>
              <w:rPr>
                <w:sz w:val="19"/>
                <w:szCs w:val="19"/>
                <w:color w:val="auto"/>
              </w:rPr>
            </w:pPr>
          </w:p>
        </w:tc>
        <w:tc>
          <w:tcPr>
            <w:tcW w:w="240" w:type="dxa"/>
            <w:vAlign w:val="bottom"/>
            <w:shd w:val="clear" w:color="auto" w:fill="E3E3E3"/>
          </w:tcPr>
          <w:p>
            <w:pPr>
              <w:jc w:val="right"/>
              <w:ind w:right="41"/>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4,138,401</w:t>
            </w:r>
          </w:p>
        </w:tc>
        <w:tc>
          <w:tcPr>
            <w:tcW w:w="60" w:type="dxa"/>
            <w:vAlign w:val="bottom"/>
            <w:shd w:val="clear" w:color="auto" w:fill="E3E3E3"/>
          </w:tcPr>
          <w:p>
            <w:pPr>
              <w:spacing w:after="0"/>
              <w:rPr>
                <w:sz w:val="19"/>
                <w:szCs w:val="19"/>
                <w:color w:val="auto"/>
              </w:rPr>
            </w:pPr>
          </w:p>
        </w:tc>
      </w:tr>
      <w:tr>
        <w:trPr>
          <w:trHeight w:val="227"/>
        </w:trPr>
        <w:tc>
          <w:tcPr>
            <w:tcW w:w="62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Incentive Fees</w:t>
            </w:r>
          </w:p>
        </w:tc>
        <w:tc>
          <w:tcPr>
            <w:tcW w:w="200" w:type="dxa"/>
            <w:vAlign w:val="bottom"/>
          </w:tcPr>
          <w:p>
            <w:pPr>
              <w:spacing w:after="0"/>
              <w:rPr>
                <w:sz w:val="19"/>
                <w:szCs w:val="19"/>
                <w:color w:val="auto"/>
              </w:rPr>
            </w:pPr>
          </w:p>
        </w:tc>
        <w:tc>
          <w:tcPr>
            <w:tcW w:w="158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3,716,823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3,923,495</w:t>
            </w:r>
          </w:p>
        </w:tc>
        <w:tc>
          <w:tcPr>
            <w:tcW w:w="60" w:type="dxa"/>
            <w:vAlign w:val="bottom"/>
          </w:tcPr>
          <w:p>
            <w:pPr>
              <w:spacing w:after="0"/>
              <w:rPr>
                <w:sz w:val="19"/>
                <w:szCs w:val="19"/>
                <w:color w:val="auto"/>
              </w:rPr>
            </w:pPr>
          </w:p>
        </w:tc>
      </w:tr>
      <w:tr>
        <w:trPr>
          <w:trHeight w:val="227"/>
        </w:trPr>
        <w:tc>
          <w:tcPr>
            <w:tcW w:w="6260" w:type="dxa"/>
            <w:vAlign w:val="bottom"/>
            <w:shd w:val="clear" w:color="auto" w:fill="E3E3E3"/>
          </w:tcPr>
          <w:p>
            <w:pPr>
              <w:spacing w:after="0" w:line="228" w:lineRule="exact"/>
              <w:rPr>
                <w:sz w:val="20"/>
                <w:szCs w:val="20"/>
                <w:color w:val="auto"/>
              </w:rPr>
            </w:pPr>
            <w:r>
              <w:rPr>
                <w:rFonts w:ascii="Times New Roman" w:cs="Times New Roman" w:eastAsia="Times New Roman" w:hAnsi="Times New Roman"/>
                <w:sz w:val="20"/>
                <w:szCs w:val="20"/>
                <w:color w:val="auto"/>
              </w:rPr>
              <w:t>Expense Reimbursement</w:t>
            </w:r>
          </w:p>
        </w:tc>
        <w:tc>
          <w:tcPr>
            <w:tcW w:w="200" w:type="dxa"/>
            <w:vAlign w:val="bottom"/>
            <w:shd w:val="clear" w:color="auto" w:fill="E3E3E3"/>
          </w:tcPr>
          <w:p>
            <w:pPr>
              <w:spacing w:after="0"/>
              <w:rPr>
                <w:sz w:val="19"/>
                <w:szCs w:val="19"/>
                <w:color w:val="auto"/>
              </w:rPr>
            </w:pPr>
          </w:p>
        </w:tc>
        <w:tc>
          <w:tcPr>
            <w:tcW w:w="1580" w:type="dxa"/>
            <w:vAlign w:val="bottom"/>
            <w:gridSpan w:val="2"/>
            <w:shd w:val="clear" w:color="auto" w:fill="E3E3E3"/>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4,930,489</w:t>
            </w:r>
          </w:p>
        </w:tc>
        <w:tc>
          <w:tcPr>
            <w:tcW w:w="26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740" w:type="dxa"/>
            <w:vAlign w:val="bottom"/>
            <w:gridSpan w:val="2"/>
            <w:shd w:val="clear" w:color="auto" w:fill="E3E3E3"/>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4,821,373</w:t>
            </w:r>
          </w:p>
        </w:tc>
      </w:tr>
      <w:tr>
        <w:trPr>
          <w:trHeight w:val="222"/>
        </w:trPr>
        <w:tc>
          <w:tcPr>
            <w:tcW w:w="6260" w:type="dxa"/>
            <w:vAlign w:val="bottom"/>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Total</w:t>
            </w:r>
          </w:p>
        </w:tc>
        <w:tc>
          <w:tcPr>
            <w:tcW w:w="200" w:type="dxa"/>
            <w:vAlign w:val="bottom"/>
            <w:tcBorders>
              <w:top w:val="single" w:sz="8" w:color="auto"/>
              <w:bottom w:val="single" w:sz="8" w:color="auto"/>
            </w:tcBorders>
          </w:tcPr>
          <w:p>
            <w:pPr>
              <w:jc w:val="right"/>
              <w:ind w:right="1"/>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13,132,625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1"/>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12,883,269</w:t>
            </w:r>
          </w:p>
        </w:tc>
        <w:tc>
          <w:tcPr>
            <w:tcW w:w="6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197"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We expect demand for financing in the cannabis market to continue to rise due to recent and future state legalization of cannabis for recreational and medical use, while federal prohibition on cannabis use and commercialization hampers certain commercial and financial activities. We believe we are well positioned to maintain and expand our position as a credible source of financing for cannabis industry operators and other property owners with the goal of becoming the lender of choice to leading cannabis industry operators, due to the following factors:</w:t>
      </w:r>
    </w:p>
    <w:p>
      <w:pPr>
        <w:spacing w:after="0" w:line="156"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Leading Cannabis Lending Platform. Our Manager and its affiliates </w:t>
      </w:r>
      <w:r>
        <w:rPr>
          <w:rFonts w:ascii="Times New Roman" w:cs="Times New Roman" w:eastAsia="Times New Roman" w:hAnsi="Times New Roman"/>
          <w:sz w:val="20"/>
          <w:szCs w:val="20"/>
          <w:color w:val="auto"/>
        </w:rPr>
        <w:t>have originated and closed more than 100 loans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totaling approximately $2.6 billion to companies operating in the cannabis industry, making the first loan to a cannabis operator in April 2019. We believe we are a leading capital provider in the cannabis ecosystem with the requisite domain expertise, deep relationships, nimble execution capabilities, stringent underwriting standards, and strong risk analytics to become the lender of choice in the industry. We believe our broad network of deep relationships allows us to originate a substantial number of loans that are not broadly marketed. We believe we are differentiated from our competitors because we seek to target operators and facilities that exhibit lower-risk characteristics on a relative basis, which we believe include generally limiting exposure to ground-up construction, lending to cannabis operators with operational and profitable facilities, diversification of geographies and distribution channels, among other factors.</w:t>
      </w:r>
    </w:p>
    <w:p>
      <w:pPr>
        <w:spacing w:after="0" w:line="166"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Sizable Portfolio with Compelling Risk-Adjusted Returns That is Secured by Different Types of Collateral. </w:t>
      </w:r>
      <w:r>
        <w:rPr>
          <w:rFonts w:ascii="Times New Roman" w:cs="Times New Roman" w:eastAsia="Times New Roman" w:hAnsi="Times New Roman"/>
          <w:sz w:val="20"/>
          <w:szCs w:val="20"/>
          <w:color w:val="auto"/>
        </w:rPr>
        <w:t>We believe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current portfolio investments have attractive risk-adjusted returns. As of December 31, 2025, the yield to maturity (“YTM”) IRR on our loans is 16.3% on a weighted average basis and ranges from 9.7% to 26.9% through coupons, OID, unused fees, exit fees, and other yield-enhancing fees, as applicable.</w:t>
      </w:r>
    </w:p>
    <w:p>
      <w:pPr>
        <w:spacing w:after="0" w:line="153"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Disciplined, “Credit-First” Underwriting Process. </w:t>
      </w:r>
      <w:r>
        <w:rPr>
          <w:rFonts w:ascii="Times New Roman" w:cs="Times New Roman" w:eastAsia="Times New Roman" w:hAnsi="Times New Roman"/>
          <w:sz w:val="20"/>
          <w:szCs w:val="20"/>
          <w:color w:val="auto"/>
        </w:rPr>
        <w:t>We have developed a systematic underwriting process that applies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consistent approach to credit review and approval, with a focus on evaluating credit first and then appropriately assessing the risk-reward profile of each loan. We subject all of our potential loans and operators to rigorous underwriting criteria. Our assessment of credit is paramount, as we seek to minimize potential credit losses through effective due diligence, structuring, and covenant design. We seek to customize each transaction structure and financial and operational covenants to reflect risks identified through the underwriting and due diligence process with the goal of maximizing risk-adjusted returns. Our Manager’s investment professionals have extensive experience with and the ability to execute on innovative financing solutions that meet the needs of cannabis operators. We also seek to actively supplement our origination and credit underwriting activities through site visits and consistent dialogue with operators and outside capital partners, if any.</w:t>
      </w:r>
    </w:p>
    <w:p>
      <w:pPr>
        <w:spacing w:after="0" w:line="166"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Our Team’s Track Record in Identifying Market Inefficiencies. </w:t>
      </w:r>
      <w:r>
        <w:rPr>
          <w:rFonts w:ascii="Times New Roman" w:cs="Times New Roman" w:eastAsia="Times New Roman" w:hAnsi="Times New Roman"/>
          <w:sz w:val="19"/>
          <w:szCs w:val="19"/>
          <w:color w:val="auto"/>
        </w:rPr>
        <w:t>Members of our Manager’s Investment Committee have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had successful careers in private credit, real estate lending, acquisitions, and development, consumer retail, investments, risk management, and consulting. We believe that our willingness and ability to invest and lend in market niches encumbered by regulatory uncertainty, where constrained or less nimble market participants are absent, offers us a distinct advantage. We believe our focus on identifying opportunities in such markets provides for commensurate returns relative to risk. Our relentless pursuit of</w:t>
      </w:r>
    </w:p>
    <w:p>
      <w:pPr>
        <w:sectPr>
          <w:pgSz w:w="12240" w:h="15840" w:orient="portrait"/>
          <w:cols w:equalWidth="0" w:num="1">
            <w:col w:w="10280"/>
          </w:cols>
          <w:pgMar w:left="1160" w:top="1006" w:right="800" w:bottom="254"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80"/>
          </w:cols>
          <w:pgMar w:left="1160" w:top="1006" w:right="800" w:bottom="254" w:gutter="0" w:footer="0" w:header="0"/>
          <w:type w:val="continuous"/>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20"/>
          <w:szCs w:val="20"/>
          <w:color w:val="auto"/>
        </w:rPr>
        <w:t>all relevant information in connection with each transaction is a discrete focus of our investment team. We believe by carefully assessing specific challenges and because we possess the ability to understand and quantify the risks involved, we are able to effectively capitalize on market inefficiencies. We believe these types of assets provide an attractive, and often overlooked, investment opportunity.</w:t>
      </w:r>
    </w:p>
    <w:p>
      <w:pPr>
        <w:spacing w:after="0" w:line="153"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Nimble Execution</w:t>
      </w:r>
      <w:r>
        <w:rPr>
          <w:rFonts w:ascii="Times New Roman" w:cs="Times New Roman" w:eastAsia="Times New Roman" w:hAnsi="Times New Roman"/>
          <w:sz w:val="20"/>
          <w:szCs w:val="20"/>
          <w:color w:val="auto"/>
        </w:rPr>
        <w:t>. We believe we have nimble execution capabilities, with the ability to redeploy capital more quickly than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typical REIT land ownership models because we offer shorter terms on our loans than typical equity REITs. Our current portfolio as of December 31, 2025 has a weighted average maturity of 2.2 years with significant prepayment protections, whereas we believe that certain competitors with typical equity REIT land ownership models often have long-term leases averaging 10 years or more. The duration of our loans, as compared to the length of leases usually employed by equity REITs, allows us to redeploy our capital with more flexibility as market changes occur instead of being locked in for longer periods of time. This model also allows our borrowers to retain control of their real estate assets, which is important to their businesses and allows for more flexibility regarding their capital structure.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Cannabis Market Overview</w:t>
      </w:r>
    </w:p>
    <w:p>
      <w:pPr>
        <w:spacing w:after="0" w:line="193" w:lineRule="exact"/>
        <w:rPr>
          <w:sz w:val="20"/>
          <w:szCs w:val="20"/>
          <w:color w:val="auto"/>
        </w:rPr>
      </w:pPr>
    </w:p>
    <w:p>
      <w:pPr>
        <w:jc w:val="both"/>
        <w:ind w:firstLine="709"/>
        <w:spacing w:after="0" w:line="235" w:lineRule="auto"/>
        <w:rPr>
          <w:sz w:val="20"/>
          <w:szCs w:val="20"/>
          <w:color w:val="auto"/>
        </w:rPr>
      </w:pPr>
      <w:r>
        <w:rPr>
          <w:rFonts w:ascii="Times New Roman" w:cs="Times New Roman" w:eastAsia="Times New Roman" w:hAnsi="Times New Roman"/>
          <w:sz w:val="20"/>
          <w:szCs w:val="20"/>
          <w:color w:val="auto"/>
        </w:rPr>
        <w:t>The cannabis industry has experienced significant growth over the last several years. Canada legalized cannabis for adult use in 2018, and, as of December 31, 2025, forty two states and the District of Columbia, as well as several territories, have legalized some form of whole-plant cannabis cultivation, sales and use for certain medical or recreational purposes. The cannabis industry is still in the early stages of its development and should continue to achieve significant growth both domestically and internationally over the coming years. 2025 U.S. state-legal cannabis retail sales were expected to be greater than $35 billion, and state-legal cannabis sales are expected to reach approximately $69 billion by 2031</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We believe continued legalization of cannabis and the normalization of cannabis and its many potential uses - therapeutic, recreational and general health and wellness, are creating an attractive opportunity to invest in related businesses. At the same time, the cannabis industry is highly fragmented and subject to a complex regulatory framework, creating significant barriers to entry</w:t>
      </w:r>
    </w:p>
    <w:p>
      <w:pPr>
        <w:spacing w:after="0" w:line="161"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The transition of the cannabis and derivative products to a regulated and legal marketplace has been happening at a rapid pace over recent years, with full legalization in Canada and legislative momentum continuing to expand the U.S. market. There have been hundreds of businesses launched across various sub-sectors of the cannabis industry, many of which have raised significant amounts of capital, mainly from retail and family office investors, in both public and private markets. In addition, large multinational alcohol and tobacco companies have made strategic investments into the Canadian cannabis sector to diversify their core business while protecting against potential market share loss to cannabis.</w:t>
      </w:r>
    </w:p>
    <w:p>
      <w:pPr>
        <w:spacing w:after="0" w:line="159"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Broadly speaking, the cannabis industry is still in its early stages, and we believe that businesses with strong management teams, deep operational expertise and financial acumen will thrive in this large and growing market. As cannabis markets continue to grow, there will be increased demand for capital on behalf of cannabis industry operators and ancillary companies serving the industry. The cannabis capital markets, both credit and equity, are still currently dominated by small funds and family offices, which we believe lack the experience and capital to navigate such a dynamic and complex environment. Furthermore, the vast majority of banks and institutional investment funds are not lending to the cannabis industry, given the current regulatory environment, creating a void in the market for credit-based solutions.</w:t>
      </w:r>
    </w:p>
    <w:p>
      <w:pPr>
        <w:spacing w:after="0" w:line="159"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Historically, cannabis firms have funded operations with equity, but as the industry matures and companies become more sensitive to equity dilution, we expect demand for credit-based solutions to increase. Market turbulence also added to the significant decrease in total capital raised for the cannabis industry in recent years and has driven debt capital to increase significantly as a percentage of total capital raised. The reliance on debt financing is something we expect to continue until significant reform is enacted at the federal level.</w:t>
      </w:r>
    </w:p>
    <w:p>
      <w:pPr>
        <w:spacing w:after="0" w:line="156"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The cannabis industry entered 2026, as in past years, with public optimism for partial federal reform supported by legislative proposals and statements of support by certain members of the Presidential administration and congressional leaders. On December 18, 2025, I, President Trump issued an executive order (the "Order") directing the U.S. Department of Justice (“DOJ”) to take all necessary steps to complete the rulemaking process to reschedule marijuana from a Schedule I controlled substance to a Schedule III controlled substance under the Controlled Substances Act (“CSA”). The Order does not itself reschedule marijuana, and any change in marijuana’s classification remains subject to the completion of the federal administrative rulemaking process, including potential legal and procedural challenges. As of the date of this filing, the DOJ and the Drug Enforcement Administration (“DEA”) have not issued a final rule implementing the rescheduling, and the timing and ultimate outcome of the process remain uncertain. While management believes the existence of the Order represents a catalyst to regulatory reform that would have a positive overall impact to our business and that of our portfolio companies; however, there can be no assurance that any such reforms will be fully adopted or such benefits realized.</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80"/>
          </w:cols>
          <w:pgMar w:left="1160" w:top="1009" w:right="800" w:bottom="254" w:gutter="0" w:footer="0" w:header="0"/>
          <w:type w:val="continuous"/>
        </w:sectPr>
      </w:pPr>
    </w:p>
    <w:bookmarkStart w:id="16" w:name="page17"/>
    <w:bookmarkEnd w:id="16"/>
    <w:p>
      <w:pPr>
        <w:jc w:val="both"/>
        <w:ind w:firstLine="355"/>
        <w:spacing w:after="0" w:line="250" w:lineRule="auto"/>
        <w:rPr>
          <w:sz w:val="20"/>
          <w:szCs w:val="20"/>
          <w:color w:val="auto"/>
        </w:rPr>
      </w:pPr>
      <w:r>
        <w:rPr>
          <w:rFonts w:ascii="Times New Roman" w:cs="Times New Roman" w:eastAsia="Times New Roman" w:hAnsi="Times New Roman"/>
          <w:sz w:val="20"/>
          <w:szCs w:val="20"/>
          <w:color w:val="auto"/>
        </w:rPr>
        <w:t>If marijuana were ultimately rescheduled to Schedule III pursuant to the Order, it would represent a significant change in federal drug policy. Schedule III substances are recognized as having accepted medical use under federal law and are subject to less restrictive regulatory controls and oversight than Schedule I substances. However, rescheduling would not legalize marijuana at the federal level, authorize recreational use, or eliminate the applicability of other federal laws, including the Food, Drug, and Cosmetic Act. Any cannabis</w:t>
      </w:r>
      <w:r>
        <w:rPr>
          <w:rFonts w:ascii="Arial" w:cs="Arial" w:eastAsia="Arial" w:hAnsi="Arial"/>
          <w:sz w:val="20"/>
          <w:szCs w:val="20"/>
          <w:color w:val="auto"/>
        </w:rPr>
        <w:t>̻</w:t>
      </w:r>
      <w:r>
        <w:rPr>
          <w:rFonts w:ascii="Times New Roman" w:cs="Times New Roman" w:eastAsia="Times New Roman" w:hAnsi="Times New Roman"/>
          <w:sz w:val="20"/>
          <w:szCs w:val="20"/>
          <w:color w:val="auto"/>
        </w:rPr>
        <w:t>related activity would remain subject to federal oversight, registration, and enforcement requirements, as well as potentially increased regulatory scrutiny.</w:t>
      </w:r>
    </w:p>
    <w:p>
      <w:pPr>
        <w:spacing w:after="0" w:line="15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The potential rescheduling of marijuana to Schedule III could have both favorable and adverse effects on our business, predicated on how the final regulatory framework is implemented and interpreted by federal agencies, courts, and market participants. Possible impacts may include:</w:t>
      </w:r>
    </w:p>
    <w:p>
      <w:pPr>
        <w:spacing w:after="0" w:line="82" w:lineRule="exact"/>
        <w:rPr>
          <w:sz w:val="20"/>
          <w:szCs w:val="20"/>
          <w:color w:val="auto"/>
        </w:rPr>
      </w:pPr>
    </w:p>
    <w:p>
      <w:pPr>
        <w:jc w:val="both"/>
        <w:ind w:left="980" w:hanging="489"/>
        <w:spacing w:after="0" w:line="250"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Tax treatment for portfolio companies </w:t>
      </w:r>
      <w:r>
        <w:rPr>
          <w:rFonts w:ascii="Times New Roman" w:cs="Times New Roman" w:eastAsia="Times New Roman" w:hAnsi="Times New Roman"/>
          <w:sz w:val="20"/>
          <w:szCs w:val="20"/>
          <w:color w:val="auto"/>
        </w:rPr>
        <w:t>— Rescheduling marijuana to Schedule III could eliminate the application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Section 280E of the Code to certain cannabis</w:t>
      </w:r>
      <w:r>
        <w:rPr>
          <w:rFonts w:ascii="Arial" w:cs="Arial" w:eastAsia="Arial" w:hAnsi="Arial"/>
          <w:sz w:val="20"/>
          <w:szCs w:val="20"/>
          <w:color w:val="auto"/>
        </w:rPr>
        <w:t>̻</w:t>
      </w:r>
      <w:r>
        <w:rPr>
          <w:rFonts w:ascii="Times New Roman" w:cs="Times New Roman" w:eastAsia="Times New Roman" w:hAnsi="Times New Roman"/>
          <w:sz w:val="20"/>
          <w:szCs w:val="20"/>
          <w:color w:val="auto"/>
        </w:rPr>
        <w:t>related businesses, potentially allowing ordinary and necessary business expense deductions that are currently disallowed for Schedule I substances. While any such change would depend on final regulatory action and IRS interpretation and could be subject to future legislative or administrative changes, the elimination of the applicability of the Section 280E tax regime, if enacted, is expected to improve free cash flows for our vertically integrated borrowers potentially easing their ability to meet debt service obligations.</w:t>
      </w:r>
    </w:p>
    <w:p>
      <w:pPr>
        <w:spacing w:after="0" w:line="87" w:lineRule="exact"/>
        <w:rPr>
          <w:rFonts w:ascii="Arial" w:cs="Arial" w:eastAsia="Arial" w:hAnsi="Arial"/>
          <w:sz w:val="20"/>
          <w:szCs w:val="20"/>
          <w:color w:val="auto"/>
        </w:rPr>
      </w:pPr>
    </w:p>
    <w:p>
      <w:pPr>
        <w:jc w:val="both"/>
        <w:ind w:left="980" w:hanging="489"/>
        <w:spacing w:after="0" w:line="246"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Market dynamics and competition </w:t>
      </w:r>
      <w:r>
        <w:rPr>
          <w:rFonts w:ascii="Times New Roman" w:cs="Times New Roman" w:eastAsia="Times New Roman" w:hAnsi="Times New Roman"/>
          <w:sz w:val="20"/>
          <w:szCs w:val="20"/>
          <w:color w:val="auto"/>
        </w:rPr>
        <w:t>— A change in federal scheduling could lower barriers to entry for new market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participants, including larger pharmaceutical, consumer products, or multinational companies, which could increase competition and place pressure on pricing, margins, and market share for existing operators, including our existing portfolio companies. However; the Company has not yet observed any significant changes in market competition since the issuance of the Order.</w:t>
      </w:r>
    </w:p>
    <w:p>
      <w:pPr>
        <w:spacing w:after="0" w:line="90" w:lineRule="exact"/>
        <w:rPr>
          <w:rFonts w:ascii="Arial" w:cs="Arial" w:eastAsia="Arial" w:hAnsi="Arial"/>
          <w:sz w:val="20"/>
          <w:szCs w:val="20"/>
          <w:color w:val="auto"/>
        </w:rPr>
      </w:pPr>
    </w:p>
    <w:p>
      <w:pPr>
        <w:jc w:val="both"/>
        <w:ind w:left="980" w:hanging="489"/>
        <w:spacing w:after="0" w:line="249"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Banking, financing, and counterparties </w:t>
      </w:r>
      <w:r>
        <w:rPr>
          <w:rFonts w:ascii="Times New Roman" w:cs="Times New Roman" w:eastAsia="Times New Roman" w:hAnsi="Times New Roman"/>
          <w:sz w:val="20"/>
          <w:szCs w:val="20"/>
          <w:color w:val="auto"/>
        </w:rPr>
        <w:t>— Although rescheduling may improve access to certain financial services,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across both banking and lending over time, there is no assurance that banks, insurers, private investment managers or other counterparties will materially change their risk assessments or policies absent further legislative or regulatory action</w:t>
      </w:r>
      <w:r>
        <w:rPr>
          <w:rFonts w:ascii="Segoe UI" w:cs="Segoe UI" w:eastAsia="Segoe UI" w:hAnsi="Segoe UI"/>
          <w:sz w:val="20"/>
          <w:szCs w:val="20"/>
          <w:color w:val="auto"/>
        </w:rPr>
        <w:t>.</w:t>
      </w:r>
    </w:p>
    <w:p>
      <w:pPr>
        <w:spacing w:after="0" w:line="163" w:lineRule="exact"/>
        <w:rPr>
          <w:sz w:val="20"/>
          <w:szCs w:val="20"/>
          <w:color w:val="auto"/>
        </w:rPr>
      </w:pPr>
    </w:p>
    <w:p>
      <w:pPr>
        <w:jc w:val="both"/>
        <w:ind w:firstLine="355"/>
        <w:spacing w:after="0" w:line="248" w:lineRule="auto"/>
        <w:rPr>
          <w:sz w:val="20"/>
          <w:szCs w:val="20"/>
          <w:color w:val="auto"/>
        </w:rPr>
      </w:pPr>
      <w:r>
        <w:rPr>
          <w:rFonts w:ascii="Times New Roman" w:cs="Times New Roman" w:eastAsia="Times New Roman" w:hAnsi="Times New Roman"/>
          <w:sz w:val="20"/>
          <w:szCs w:val="20"/>
          <w:color w:val="auto"/>
        </w:rPr>
        <w:t>While we do not currently engage in the cultivation, processing, or sale of cannabis, changes in federal cannabis policy may indirectly affect our portfolio companies and could impact demand, pricing, or contractual relationships. The Order is subject to significant uncertainty, including the possibility of administrative delay, modification, reversal, or legal challenge. Any final rescheduling action could also be subject to litigation, congressional action, or future changes in executive policy. As a result, we cannot predict whether or when marijuana will be rescheduled, the final scope of any regulatory changes, or the ultimate effect on our business, financial condition, or results of operations. We continue to monitor federal and state cannabis</w:t>
      </w:r>
      <w:r>
        <w:rPr>
          <w:rFonts w:ascii="Arial" w:cs="Arial" w:eastAsia="Arial" w:hAnsi="Arial"/>
          <w:sz w:val="20"/>
          <w:szCs w:val="20"/>
          <w:color w:val="auto"/>
        </w:rPr>
        <w:t>̻</w:t>
      </w:r>
      <w:r>
        <w:rPr>
          <w:rFonts w:ascii="Times New Roman" w:cs="Times New Roman" w:eastAsia="Times New Roman" w:hAnsi="Times New Roman"/>
          <w:sz w:val="20"/>
          <w:szCs w:val="20"/>
          <w:color w:val="auto"/>
        </w:rPr>
        <w:t>related regulatory developments and will assess their potential impact as additional information becomes available.</w:t>
      </w:r>
    </w:p>
    <w:p>
      <w:pPr>
        <w:spacing w:after="0" w:line="155"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Regardless of the outcome of the rescheduling process, we continue to expect demand for credit-based solutions to increase, as companies continue to prefer less dilutive forms of growth capital and equity capital remains scarce. The lack of competition and financing options for cannabis businesses remains consistent with what we have seen in recent years and has created an opportune environment for us to make attractive growth capital investments from an advantageous position – the ability to drive terms and enhance structural protections while capturing above average risk-adjusted returns. The below tables summarize trailing history of cannabis capital markets activities: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Public and Private Cannabis Capital Raises in the United States: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0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20"/>
                <w:szCs w:val="20"/>
                <w:b w:val="1"/>
                <w:bCs w:val="1"/>
                <w:color w:val="auto"/>
              </w:rPr>
              <w:t>Year</w:t>
            </w:r>
          </w:p>
        </w:tc>
        <w:tc>
          <w:tcPr>
            <w:tcW w:w="100" w:type="dxa"/>
            <w:vAlign w:val="bottom"/>
            <w:tcBorders>
              <w:bottom w:val="single" w:sz="8" w:color="E3E3E3"/>
            </w:tcBorders>
          </w:tcPr>
          <w:p>
            <w:pPr>
              <w:spacing w:after="0"/>
              <w:rPr>
                <w:sz w:val="21"/>
                <w:szCs w:val="21"/>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Equity (in billions)</w:t>
            </w:r>
          </w:p>
        </w:tc>
        <w:tc>
          <w:tcPr>
            <w:tcW w:w="120" w:type="dxa"/>
            <w:vAlign w:val="bottom"/>
            <w:tcBorders>
              <w:bottom w:val="single" w:sz="8" w:color="E3E3E3"/>
            </w:tcBorders>
          </w:tcPr>
          <w:p>
            <w:pPr>
              <w:spacing w:after="0"/>
              <w:rPr>
                <w:sz w:val="21"/>
                <w:szCs w:val="21"/>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Debt (in billions)</w:t>
            </w:r>
          </w:p>
        </w:tc>
      </w:tr>
      <w:tr>
        <w:trPr>
          <w:trHeight w:val="231"/>
        </w:trPr>
        <w:tc>
          <w:tcPr>
            <w:tcW w:w="3400" w:type="dxa"/>
            <w:vAlign w:val="bottom"/>
            <w:shd w:val="clear" w:color="auto" w:fill="E3E3E3"/>
          </w:tcPr>
          <w:p>
            <w:pPr>
              <w:ind w:left="1500"/>
              <w:spacing w:after="0"/>
              <w:rPr>
                <w:sz w:val="20"/>
                <w:szCs w:val="20"/>
                <w:color w:val="auto"/>
              </w:rPr>
            </w:pPr>
            <w:r>
              <w:rPr>
                <w:rFonts w:ascii="Times New Roman" w:cs="Times New Roman" w:eastAsia="Times New Roman" w:hAnsi="Times New Roman"/>
                <w:sz w:val="20"/>
                <w:szCs w:val="20"/>
                <w:color w:val="auto"/>
              </w:rPr>
              <w:t>2019</w:t>
            </w:r>
          </w:p>
        </w:tc>
        <w:tc>
          <w:tcPr>
            <w:tcW w:w="100" w:type="dxa"/>
            <w:vAlign w:val="bottom"/>
            <w:shd w:val="clear" w:color="auto" w:fill="E3E3E3"/>
          </w:tcPr>
          <w:p>
            <w:pPr>
              <w:spacing w:after="0"/>
              <w:rPr>
                <w:sz w:val="20"/>
                <w:szCs w:val="20"/>
                <w:color w:val="auto"/>
              </w:rPr>
            </w:pPr>
          </w:p>
        </w:tc>
        <w:tc>
          <w:tcPr>
            <w:tcW w:w="32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9"/>
              </w:rPr>
              <w:t>S4.3</w:t>
            </w:r>
          </w:p>
        </w:tc>
        <w:tc>
          <w:tcPr>
            <w:tcW w:w="120" w:type="dxa"/>
            <w:vAlign w:val="bottom"/>
            <w:shd w:val="clear" w:color="auto" w:fill="E3E3E3"/>
          </w:tcPr>
          <w:p>
            <w:pPr>
              <w:spacing w:after="0"/>
              <w:rPr>
                <w:sz w:val="20"/>
                <w:szCs w:val="20"/>
                <w:color w:val="auto"/>
              </w:rPr>
            </w:pPr>
          </w:p>
        </w:tc>
        <w:tc>
          <w:tcPr>
            <w:tcW w:w="33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rPr>
              <w:t>$1.1</w:t>
            </w:r>
          </w:p>
        </w:tc>
      </w:tr>
      <w:tr>
        <w:trPr>
          <w:trHeight w:val="241"/>
        </w:trPr>
        <w:tc>
          <w:tcPr>
            <w:tcW w:w="3400" w:type="dxa"/>
            <w:vAlign w:val="bottom"/>
          </w:tcPr>
          <w:p>
            <w:pPr>
              <w:ind w:left="1500"/>
              <w:spacing w:after="0"/>
              <w:rPr>
                <w:sz w:val="20"/>
                <w:szCs w:val="20"/>
                <w:color w:val="auto"/>
              </w:rPr>
            </w:pPr>
            <w:r>
              <w:rPr>
                <w:rFonts w:ascii="Times New Roman" w:cs="Times New Roman" w:eastAsia="Times New Roman" w:hAnsi="Times New Roman"/>
                <w:sz w:val="20"/>
                <w:szCs w:val="20"/>
                <w:color w:val="auto"/>
              </w:rPr>
              <w:t>2020</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$1.4</w:t>
            </w:r>
          </w:p>
        </w:tc>
        <w:tc>
          <w:tcPr>
            <w:tcW w:w="12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$1.3</w:t>
            </w:r>
          </w:p>
        </w:tc>
      </w:tr>
      <w:tr>
        <w:trPr>
          <w:trHeight w:val="241"/>
        </w:trPr>
        <w:tc>
          <w:tcPr>
            <w:tcW w:w="3400" w:type="dxa"/>
            <w:vAlign w:val="bottom"/>
            <w:shd w:val="clear" w:color="auto" w:fill="E3E3E3"/>
          </w:tcPr>
          <w:p>
            <w:pPr>
              <w:ind w:left="1500"/>
              <w:spacing w:after="0"/>
              <w:rPr>
                <w:sz w:val="20"/>
                <w:szCs w:val="20"/>
                <w:color w:val="auto"/>
              </w:rPr>
            </w:pPr>
            <w:r>
              <w:rPr>
                <w:rFonts w:ascii="Times New Roman" w:cs="Times New Roman" w:eastAsia="Times New Roman" w:hAnsi="Times New Roman"/>
                <w:sz w:val="20"/>
                <w:szCs w:val="20"/>
                <w:color w:val="auto"/>
              </w:rPr>
              <w:t>2021</w:t>
            </w:r>
          </w:p>
        </w:tc>
        <w:tc>
          <w:tcPr>
            <w:tcW w:w="3380" w:type="dxa"/>
            <w:vAlign w:val="bottom"/>
            <w:gridSpan w:val="2"/>
            <w:shd w:val="clear" w:color="auto" w:fill="E3E3E3"/>
          </w:tcPr>
          <w:p>
            <w:pPr>
              <w:jc w:val="center"/>
              <w:ind w:left="1"/>
              <w:spacing w:after="0"/>
              <w:rPr>
                <w:sz w:val="20"/>
                <w:szCs w:val="20"/>
                <w:color w:val="auto"/>
              </w:rPr>
            </w:pPr>
            <w:r>
              <w:rPr>
                <w:rFonts w:ascii="Times New Roman" w:cs="Times New Roman" w:eastAsia="Times New Roman" w:hAnsi="Times New Roman"/>
                <w:sz w:val="20"/>
                <w:szCs w:val="20"/>
                <w:color w:val="auto"/>
              </w:rPr>
              <w:t>$5.1</w:t>
            </w:r>
          </w:p>
        </w:tc>
        <w:tc>
          <w:tcPr>
            <w:tcW w:w="3500" w:type="dxa"/>
            <w:vAlign w:val="bottom"/>
            <w:gridSpan w:val="2"/>
            <w:shd w:val="clear" w:color="auto" w:fill="E3E3E3"/>
          </w:tcPr>
          <w:p>
            <w:pPr>
              <w:jc w:val="center"/>
              <w:ind w:left="1"/>
              <w:spacing w:after="0"/>
              <w:rPr>
                <w:sz w:val="20"/>
                <w:szCs w:val="20"/>
                <w:color w:val="auto"/>
              </w:rPr>
            </w:pPr>
            <w:r>
              <w:rPr>
                <w:rFonts w:ascii="Times New Roman" w:cs="Times New Roman" w:eastAsia="Times New Roman" w:hAnsi="Times New Roman"/>
                <w:sz w:val="20"/>
                <w:szCs w:val="20"/>
                <w:color w:val="auto"/>
              </w:rPr>
              <w:t>$3.8</w:t>
            </w:r>
          </w:p>
        </w:tc>
      </w:tr>
      <w:tr>
        <w:trPr>
          <w:trHeight w:val="241"/>
        </w:trPr>
        <w:tc>
          <w:tcPr>
            <w:tcW w:w="3400" w:type="dxa"/>
            <w:vAlign w:val="bottom"/>
          </w:tcPr>
          <w:p>
            <w:pPr>
              <w:ind w:left="1500"/>
              <w:spacing w:after="0"/>
              <w:rPr>
                <w:sz w:val="20"/>
                <w:szCs w:val="20"/>
                <w:color w:val="auto"/>
              </w:rPr>
            </w:pPr>
            <w:r>
              <w:rPr>
                <w:rFonts w:ascii="Times New Roman" w:cs="Times New Roman" w:eastAsia="Times New Roman" w:hAnsi="Times New Roman"/>
                <w:sz w:val="20"/>
                <w:szCs w:val="20"/>
                <w:color w:val="auto"/>
              </w:rPr>
              <w:t>2022</w:t>
            </w:r>
          </w:p>
        </w:tc>
        <w:tc>
          <w:tcPr>
            <w:tcW w:w="338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$1.3</w:t>
            </w:r>
          </w:p>
        </w:tc>
        <w:tc>
          <w:tcPr>
            <w:tcW w:w="35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$2.0</w:t>
            </w:r>
          </w:p>
        </w:tc>
      </w:tr>
      <w:tr>
        <w:trPr>
          <w:trHeight w:val="241"/>
        </w:trPr>
        <w:tc>
          <w:tcPr>
            <w:tcW w:w="3400" w:type="dxa"/>
            <w:vAlign w:val="bottom"/>
            <w:shd w:val="clear" w:color="auto" w:fill="E3E3E3"/>
          </w:tcPr>
          <w:p>
            <w:pPr>
              <w:ind w:left="1500"/>
              <w:spacing w:after="0"/>
              <w:rPr>
                <w:sz w:val="20"/>
                <w:szCs w:val="20"/>
                <w:color w:val="auto"/>
              </w:rPr>
            </w:pPr>
            <w:r>
              <w:rPr>
                <w:rFonts w:ascii="Times New Roman" w:cs="Times New Roman" w:eastAsia="Times New Roman" w:hAnsi="Times New Roman"/>
                <w:sz w:val="20"/>
                <w:szCs w:val="20"/>
                <w:color w:val="auto"/>
              </w:rPr>
              <w:t>2023</w:t>
            </w:r>
          </w:p>
        </w:tc>
        <w:tc>
          <w:tcPr>
            <w:tcW w:w="3380" w:type="dxa"/>
            <w:vAlign w:val="bottom"/>
            <w:gridSpan w:val="2"/>
            <w:shd w:val="clear" w:color="auto" w:fill="E3E3E3"/>
          </w:tcPr>
          <w:p>
            <w:pPr>
              <w:jc w:val="center"/>
              <w:ind w:left="1"/>
              <w:spacing w:after="0"/>
              <w:rPr>
                <w:sz w:val="20"/>
                <w:szCs w:val="20"/>
                <w:color w:val="auto"/>
              </w:rPr>
            </w:pPr>
            <w:r>
              <w:rPr>
                <w:rFonts w:ascii="Times New Roman" w:cs="Times New Roman" w:eastAsia="Times New Roman" w:hAnsi="Times New Roman"/>
                <w:sz w:val="20"/>
                <w:szCs w:val="20"/>
                <w:color w:val="auto"/>
              </w:rPr>
              <w:t>$0.4</w:t>
            </w:r>
          </w:p>
        </w:tc>
        <w:tc>
          <w:tcPr>
            <w:tcW w:w="3500" w:type="dxa"/>
            <w:vAlign w:val="bottom"/>
            <w:gridSpan w:val="2"/>
            <w:shd w:val="clear" w:color="auto" w:fill="E3E3E3"/>
          </w:tcPr>
          <w:p>
            <w:pPr>
              <w:jc w:val="center"/>
              <w:ind w:left="1"/>
              <w:spacing w:after="0"/>
              <w:rPr>
                <w:sz w:val="20"/>
                <w:szCs w:val="20"/>
                <w:color w:val="auto"/>
              </w:rPr>
            </w:pPr>
            <w:r>
              <w:rPr>
                <w:rFonts w:ascii="Times New Roman" w:cs="Times New Roman" w:eastAsia="Times New Roman" w:hAnsi="Times New Roman"/>
                <w:sz w:val="20"/>
                <w:szCs w:val="20"/>
                <w:color w:val="auto"/>
              </w:rPr>
              <w:t>$0.6</w:t>
            </w:r>
          </w:p>
        </w:tc>
      </w:tr>
      <w:tr>
        <w:trPr>
          <w:trHeight w:val="241"/>
        </w:trPr>
        <w:tc>
          <w:tcPr>
            <w:tcW w:w="3400" w:type="dxa"/>
            <w:vAlign w:val="bottom"/>
          </w:tcPr>
          <w:p>
            <w:pPr>
              <w:ind w:left="1500"/>
              <w:spacing w:after="0"/>
              <w:rPr>
                <w:sz w:val="20"/>
                <w:szCs w:val="20"/>
                <w:color w:val="auto"/>
              </w:rPr>
            </w:pPr>
            <w:r>
              <w:rPr>
                <w:rFonts w:ascii="Times New Roman" w:cs="Times New Roman" w:eastAsia="Times New Roman" w:hAnsi="Times New Roman"/>
                <w:sz w:val="20"/>
                <w:szCs w:val="20"/>
                <w:color w:val="auto"/>
              </w:rPr>
              <w:t>2024</w:t>
            </w:r>
          </w:p>
        </w:tc>
        <w:tc>
          <w:tcPr>
            <w:tcW w:w="338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$0.5</w:t>
            </w:r>
          </w:p>
        </w:tc>
        <w:tc>
          <w:tcPr>
            <w:tcW w:w="35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$1.2</w:t>
            </w:r>
          </w:p>
        </w:tc>
      </w:tr>
      <w:tr>
        <w:trPr>
          <w:trHeight w:val="241"/>
        </w:trPr>
        <w:tc>
          <w:tcPr>
            <w:tcW w:w="3400" w:type="dxa"/>
            <w:vAlign w:val="bottom"/>
            <w:shd w:val="clear" w:color="auto" w:fill="E3E3E3"/>
          </w:tcPr>
          <w:p>
            <w:pPr>
              <w:ind w:left="1500"/>
              <w:spacing w:after="0"/>
              <w:rPr>
                <w:sz w:val="20"/>
                <w:szCs w:val="20"/>
                <w:color w:val="auto"/>
              </w:rPr>
            </w:pPr>
            <w:r>
              <w:rPr>
                <w:rFonts w:ascii="Times New Roman" w:cs="Times New Roman" w:eastAsia="Times New Roman" w:hAnsi="Times New Roman"/>
                <w:sz w:val="20"/>
                <w:szCs w:val="20"/>
                <w:color w:val="auto"/>
              </w:rPr>
              <w:t>2025</w:t>
            </w:r>
          </w:p>
        </w:tc>
        <w:tc>
          <w:tcPr>
            <w:tcW w:w="3380" w:type="dxa"/>
            <w:vAlign w:val="bottom"/>
            <w:gridSpan w:val="2"/>
            <w:shd w:val="clear" w:color="auto" w:fill="E3E3E3"/>
          </w:tcPr>
          <w:p>
            <w:pPr>
              <w:jc w:val="center"/>
              <w:ind w:left="1"/>
              <w:spacing w:after="0"/>
              <w:rPr>
                <w:sz w:val="20"/>
                <w:szCs w:val="20"/>
                <w:color w:val="auto"/>
              </w:rPr>
            </w:pPr>
            <w:r>
              <w:rPr>
                <w:rFonts w:ascii="Times New Roman" w:cs="Times New Roman" w:eastAsia="Times New Roman" w:hAnsi="Times New Roman"/>
                <w:sz w:val="20"/>
                <w:szCs w:val="20"/>
                <w:color w:val="auto"/>
              </w:rPr>
              <w:t>$0.3</w:t>
            </w:r>
          </w:p>
        </w:tc>
        <w:tc>
          <w:tcPr>
            <w:tcW w:w="3500" w:type="dxa"/>
            <w:vAlign w:val="bottom"/>
            <w:gridSpan w:val="2"/>
            <w:shd w:val="clear" w:color="auto" w:fill="E3E3E3"/>
          </w:tcPr>
          <w:p>
            <w:pPr>
              <w:jc w:val="center"/>
              <w:ind w:left="1"/>
              <w:spacing w:after="0"/>
              <w:rPr>
                <w:sz w:val="20"/>
                <w:szCs w:val="20"/>
                <w:color w:val="auto"/>
              </w:rPr>
            </w:pPr>
            <w:r>
              <w:rPr>
                <w:rFonts w:ascii="Times New Roman" w:cs="Times New Roman" w:eastAsia="Times New Roman" w:hAnsi="Times New Roman"/>
                <w:sz w:val="20"/>
                <w:szCs w:val="20"/>
                <w:color w:val="auto"/>
              </w:rPr>
              <w:t>$1.7</w:t>
            </w:r>
          </w:p>
        </w:tc>
      </w:tr>
    </w:tbl>
    <w:p>
      <w:pPr>
        <w:spacing w:after="0"/>
        <w:rPr>
          <w:sz w:val="20"/>
          <w:szCs w:val="20"/>
          <w:color w:val="auto"/>
        </w:rPr>
      </w:pPr>
      <w:r>
        <w:rPr>
          <w:rFonts w:ascii="Times New Roman" w:cs="Times New Roman" w:eastAsia="Times New Roman" w:hAnsi="Times New Roman"/>
          <w:sz w:val="20"/>
          <w:szCs w:val="20"/>
          <w:i w:val="1"/>
          <w:iCs w:val="1"/>
          <w:color w:val="auto"/>
        </w:rPr>
        <w:t>Source: Viridian Cannabis Deal Tracker</w:t>
      </w:r>
    </w:p>
    <w:p>
      <w:pPr>
        <w:ind w:left="120" w:hanging="112"/>
        <w:spacing w:after="0" w:line="205" w:lineRule="auto"/>
        <w:tabs>
          <w:tab w:leader="none" w:pos="12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See MJBiz Factbook 2025.</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80"/>
          </w:cols>
          <w:pgMar w:left="1160" w:top="1009" w:right="800" w:bottom="254"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62"/>
        </w:trPr>
        <w:tc>
          <w:tcPr>
            <w:tcW w:w="6680" w:type="dxa"/>
            <w:vAlign w:val="bottom"/>
            <w:gridSpan w:val="3"/>
          </w:tcPr>
          <w:p>
            <w:pPr>
              <w:spacing w:after="0"/>
              <w:rPr>
                <w:sz w:val="20"/>
                <w:szCs w:val="20"/>
                <w:color w:val="auto"/>
              </w:rPr>
            </w:pPr>
            <w:r>
              <w:rPr>
                <w:rFonts w:ascii="Times New Roman" w:cs="Times New Roman" w:eastAsia="Times New Roman" w:hAnsi="Times New Roman"/>
                <w:sz w:val="20"/>
                <w:szCs w:val="20"/>
                <w:i w:val="1"/>
                <w:iCs w:val="1"/>
                <w:color w:val="auto"/>
              </w:rPr>
              <w:t>Public and Private Cannabis Mergers and Acquisitions in the United States:</w:t>
            </w:r>
          </w:p>
        </w:tc>
        <w:tc>
          <w:tcPr>
            <w:tcW w:w="3600" w:type="dxa"/>
            <w:vAlign w:val="bottom"/>
          </w:tcPr>
          <w:p>
            <w:pPr>
              <w:spacing w:after="0"/>
              <w:rPr>
                <w:sz w:val="22"/>
                <w:szCs w:val="22"/>
                <w:color w:val="auto"/>
              </w:rPr>
            </w:pPr>
          </w:p>
        </w:tc>
      </w:tr>
      <w:tr>
        <w:trPr>
          <w:trHeight w:val="422"/>
        </w:trPr>
        <w:tc>
          <w:tcPr>
            <w:tcW w:w="6680" w:type="dxa"/>
            <w:vAlign w:val="bottom"/>
            <w:gridSpan w:val="3"/>
          </w:tcPr>
          <w:p>
            <w:pPr>
              <w:ind w:left="2160"/>
              <w:spacing w:after="0"/>
              <w:rPr>
                <w:sz w:val="20"/>
                <w:szCs w:val="20"/>
                <w:color w:val="auto"/>
              </w:rPr>
            </w:pPr>
            <w:r>
              <w:rPr>
                <w:rFonts w:ascii="Times New Roman" w:cs="Times New Roman" w:eastAsia="Times New Roman" w:hAnsi="Times New Roman"/>
                <w:sz w:val="20"/>
                <w:szCs w:val="20"/>
                <w:b w:val="1"/>
                <w:bCs w:val="1"/>
                <w:color w:val="auto"/>
              </w:rPr>
              <w:t>Year</w:t>
            </w:r>
          </w:p>
        </w:tc>
        <w:tc>
          <w:tcPr>
            <w:tcW w:w="3600" w:type="dxa"/>
            <w:vAlign w:val="bottom"/>
          </w:tcPr>
          <w:p>
            <w:pPr>
              <w:ind w:left="640"/>
              <w:spacing w:after="0"/>
              <w:rPr>
                <w:sz w:val="20"/>
                <w:szCs w:val="20"/>
                <w:color w:val="auto"/>
              </w:rPr>
            </w:pPr>
            <w:r>
              <w:rPr>
                <w:rFonts w:ascii="Times New Roman" w:cs="Times New Roman" w:eastAsia="Times New Roman" w:hAnsi="Times New Roman"/>
                <w:sz w:val="20"/>
                <w:szCs w:val="20"/>
                <w:b w:val="1"/>
                <w:bCs w:val="1"/>
                <w:color w:val="auto"/>
              </w:rPr>
              <w:t>Deals</w:t>
            </w:r>
          </w:p>
        </w:tc>
      </w:tr>
      <w:tr>
        <w:trPr>
          <w:trHeight w:val="231"/>
        </w:trPr>
        <w:tc>
          <w:tcPr>
            <w:tcW w:w="4740" w:type="dxa"/>
            <w:vAlign w:val="bottom"/>
            <w:tcBorders>
              <w:top w:val="single" w:sz="8" w:color="auto"/>
            </w:tcBorders>
            <w:shd w:val="clear" w:color="auto" w:fill="E3E3E3"/>
          </w:tcPr>
          <w:p>
            <w:pPr>
              <w:ind w:left="2160"/>
              <w:spacing w:after="0"/>
              <w:rPr>
                <w:sz w:val="20"/>
                <w:szCs w:val="20"/>
                <w:color w:val="auto"/>
              </w:rPr>
            </w:pPr>
            <w:r>
              <w:rPr>
                <w:rFonts w:ascii="Times New Roman" w:cs="Times New Roman" w:eastAsia="Times New Roman" w:hAnsi="Times New Roman"/>
                <w:sz w:val="20"/>
                <w:szCs w:val="20"/>
                <w:color w:val="auto"/>
              </w:rPr>
              <w:t>2019</w:t>
            </w:r>
          </w:p>
        </w:tc>
        <w:tc>
          <w:tcPr>
            <w:tcW w:w="100" w:type="dxa"/>
            <w:vAlign w:val="bottom"/>
            <w:tcBorders>
              <w:top w:val="single" w:sz="8" w:color="E3E3E3"/>
            </w:tcBorders>
            <w:shd w:val="clear" w:color="auto" w:fill="E3E3E3"/>
          </w:tcPr>
          <w:p>
            <w:pPr>
              <w:spacing w:after="0"/>
              <w:rPr>
                <w:sz w:val="20"/>
                <w:szCs w:val="20"/>
                <w:color w:val="auto"/>
              </w:rPr>
            </w:pPr>
          </w:p>
        </w:tc>
        <w:tc>
          <w:tcPr>
            <w:tcW w:w="1840" w:type="dxa"/>
            <w:vAlign w:val="bottom"/>
            <w:tcBorders>
              <w:top w:val="single" w:sz="8" w:color="auto"/>
            </w:tcBorders>
            <w:shd w:val="clear" w:color="auto" w:fill="E3E3E3"/>
          </w:tcPr>
          <w:p>
            <w:pPr>
              <w:spacing w:after="0"/>
              <w:rPr>
                <w:sz w:val="20"/>
                <w:szCs w:val="20"/>
                <w:color w:val="auto"/>
              </w:rPr>
            </w:pPr>
          </w:p>
        </w:tc>
        <w:tc>
          <w:tcPr>
            <w:tcW w:w="3600" w:type="dxa"/>
            <w:vAlign w:val="bottom"/>
            <w:tcBorders>
              <w:top w:val="single" w:sz="8" w:color="auto"/>
            </w:tcBorders>
            <w:shd w:val="clear" w:color="auto" w:fill="E3E3E3"/>
          </w:tcPr>
          <w:p>
            <w:pPr>
              <w:jc w:val="center"/>
              <w:ind w:right="1761"/>
              <w:spacing w:after="0"/>
              <w:rPr>
                <w:sz w:val="20"/>
                <w:szCs w:val="20"/>
                <w:color w:val="auto"/>
              </w:rPr>
            </w:pPr>
            <w:r>
              <w:rPr>
                <w:rFonts w:ascii="Times New Roman" w:cs="Times New Roman" w:eastAsia="Times New Roman" w:hAnsi="Times New Roman"/>
                <w:sz w:val="20"/>
                <w:szCs w:val="20"/>
                <w:color w:val="auto"/>
                <w:w w:val="99"/>
              </w:rPr>
              <w:t>164</w:t>
            </w:r>
          </w:p>
        </w:tc>
      </w:tr>
      <w:tr>
        <w:trPr>
          <w:trHeight w:val="241"/>
        </w:trPr>
        <w:tc>
          <w:tcPr>
            <w:tcW w:w="4740" w:type="dxa"/>
            <w:vAlign w:val="bottom"/>
          </w:tcPr>
          <w:p>
            <w:pPr>
              <w:ind w:left="2160"/>
              <w:spacing w:after="0"/>
              <w:rPr>
                <w:sz w:val="20"/>
                <w:szCs w:val="20"/>
                <w:color w:val="auto"/>
              </w:rPr>
            </w:pPr>
            <w:r>
              <w:rPr>
                <w:rFonts w:ascii="Times New Roman" w:cs="Times New Roman" w:eastAsia="Times New Roman" w:hAnsi="Times New Roman"/>
                <w:sz w:val="20"/>
                <w:szCs w:val="20"/>
                <w:color w:val="auto"/>
              </w:rPr>
              <w:t>2020</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0" w:type="dxa"/>
            <w:vAlign w:val="bottom"/>
          </w:tcPr>
          <w:p>
            <w:pPr>
              <w:jc w:val="center"/>
              <w:ind w:right="1741"/>
              <w:spacing w:after="0"/>
              <w:rPr>
                <w:sz w:val="20"/>
                <w:szCs w:val="20"/>
                <w:color w:val="auto"/>
              </w:rPr>
            </w:pPr>
            <w:r>
              <w:rPr>
                <w:rFonts w:ascii="Times New Roman" w:cs="Times New Roman" w:eastAsia="Times New Roman" w:hAnsi="Times New Roman"/>
                <w:sz w:val="20"/>
                <w:szCs w:val="20"/>
                <w:color w:val="auto"/>
                <w:w w:val="99"/>
              </w:rPr>
              <w:t>51</w:t>
            </w:r>
          </w:p>
        </w:tc>
      </w:tr>
      <w:tr>
        <w:trPr>
          <w:trHeight w:val="241"/>
        </w:trPr>
        <w:tc>
          <w:tcPr>
            <w:tcW w:w="4740" w:type="dxa"/>
            <w:vAlign w:val="bottom"/>
            <w:shd w:val="clear" w:color="auto" w:fill="E3E3E3"/>
          </w:tcPr>
          <w:p>
            <w:pPr>
              <w:ind w:left="2160"/>
              <w:spacing w:after="0"/>
              <w:rPr>
                <w:sz w:val="20"/>
                <w:szCs w:val="20"/>
                <w:color w:val="auto"/>
              </w:rPr>
            </w:pPr>
            <w:r>
              <w:rPr>
                <w:rFonts w:ascii="Times New Roman" w:cs="Times New Roman" w:eastAsia="Times New Roman" w:hAnsi="Times New Roman"/>
                <w:sz w:val="20"/>
                <w:szCs w:val="20"/>
                <w:color w:val="auto"/>
              </w:rPr>
              <w:t>2021</w:t>
            </w:r>
          </w:p>
        </w:tc>
        <w:tc>
          <w:tcPr>
            <w:tcW w:w="100" w:type="dxa"/>
            <w:vAlign w:val="bottom"/>
            <w:shd w:val="clear" w:color="auto" w:fill="E3E3E3"/>
          </w:tcPr>
          <w:p>
            <w:pPr>
              <w:spacing w:after="0"/>
              <w:rPr>
                <w:sz w:val="20"/>
                <w:szCs w:val="20"/>
                <w:color w:val="auto"/>
              </w:rPr>
            </w:pPr>
          </w:p>
        </w:tc>
        <w:tc>
          <w:tcPr>
            <w:tcW w:w="1840" w:type="dxa"/>
            <w:vAlign w:val="bottom"/>
            <w:shd w:val="clear" w:color="auto" w:fill="E3E3E3"/>
          </w:tcPr>
          <w:p>
            <w:pPr>
              <w:spacing w:after="0"/>
              <w:rPr>
                <w:sz w:val="20"/>
                <w:szCs w:val="20"/>
                <w:color w:val="auto"/>
              </w:rPr>
            </w:pPr>
          </w:p>
        </w:tc>
        <w:tc>
          <w:tcPr>
            <w:tcW w:w="3600" w:type="dxa"/>
            <w:vAlign w:val="bottom"/>
            <w:shd w:val="clear" w:color="auto" w:fill="E3E3E3"/>
          </w:tcPr>
          <w:p>
            <w:pPr>
              <w:jc w:val="center"/>
              <w:ind w:right="1761"/>
              <w:spacing w:after="0"/>
              <w:rPr>
                <w:sz w:val="20"/>
                <w:szCs w:val="20"/>
                <w:color w:val="auto"/>
              </w:rPr>
            </w:pPr>
            <w:r>
              <w:rPr>
                <w:rFonts w:ascii="Times New Roman" w:cs="Times New Roman" w:eastAsia="Times New Roman" w:hAnsi="Times New Roman"/>
                <w:sz w:val="20"/>
                <w:szCs w:val="20"/>
                <w:color w:val="auto"/>
                <w:w w:val="99"/>
              </w:rPr>
              <w:t>220</w:t>
            </w:r>
          </w:p>
        </w:tc>
      </w:tr>
      <w:tr>
        <w:trPr>
          <w:trHeight w:val="241"/>
        </w:trPr>
        <w:tc>
          <w:tcPr>
            <w:tcW w:w="4740" w:type="dxa"/>
            <w:vAlign w:val="bottom"/>
          </w:tcPr>
          <w:p>
            <w:pPr>
              <w:ind w:left="2160"/>
              <w:spacing w:after="0"/>
              <w:rPr>
                <w:sz w:val="20"/>
                <w:szCs w:val="20"/>
                <w:color w:val="auto"/>
              </w:rPr>
            </w:pPr>
            <w:r>
              <w:rPr>
                <w:rFonts w:ascii="Times New Roman" w:cs="Times New Roman" w:eastAsia="Times New Roman" w:hAnsi="Times New Roman"/>
                <w:sz w:val="20"/>
                <w:szCs w:val="20"/>
                <w:color w:val="auto"/>
              </w:rPr>
              <w:t>2022</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0" w:type="dxa"/>
            <w:vAlign w:val="bottom"/>
          </w:tcPr>
          <w:p>
            <w:pPr>
              <w:jc w:val="center"/>
              <w:ind w:right="1761"/>
              <w:spacing w:after="0"/>
              <w:rPr>
                <w:sz w:val="20"/>
                <w:szCs w:val="20"/>
                <w:color w:val="auto"/>
              </w:rPr>
            </w:pPr>
            <w:r>
              <w:rPr>
                <w:rFonts w:ascii="Times New Roman" w:cs="Times New Roman" w:eastAsia="Times New Roman" w:hAnsi="Times New Roman"/>
                <w:sz w:val="20"/>
                <w:szCs w:val="20"/>
                <w:color w:val="auto"/>
                <w:w w:val="99"/>
              </w:rPr>
              <w:t>109</w:t>
            </w:r>
          </w:p>
        </w:tc>
      </w:tr>
      <w:tr>
        <w:trPr>
          <w:trHeight w:val="241"/>
        </w:trPr>
        <w:tc>
          <w:tcPr>
            <w:tcW w:w="4740" w:type="dxa"/>
            <w:vAlign w:val="bottom"/>
            <w:shd w:val="clear" w:color="auto" w:fill="E3E3E3"/>
          </w:tcPr>
          <w:p>
            <w:pPr>
              <w:ind w:left="216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shd w:val="clear" w:color="auto" w:fill="E3E3E3"/>
          </w:tcPr>
          <w:p>
            <w:pPr>
              <w:spacing w:after="0"/>
              <w:rPr>
                <w:sz w:val="20"/>
                <w:szCs w:val="20"/>
                <w:color w:val="auto"/>
              </w:rPr>
            </w:pPr>
          </w:p>
        </w:tc>
        <w:tc>
          <w:tcPr>
            <w:tcW w:w="1840" w:type="dxa"/>
            <w:vAlign w:val="bottom"/>
            <w:shd w:val="clear" w:color="auto" w:fill="E3E3E3"/>
          </w:tcPr>
          <w:p>
            <w:pPr>
              <w:spacing w:after="0"/>
              <w:rPr>
                <w:sz w:val="20"/>
                <w:szCs w:val="20"/>
                <w:color w:val="auto"/>
              </w:rPr>
            </w:pPr>
          </w:p>
        </w:tc>
        <w:tc>
          <w:tcPr>
            <w:tcW w:w="3600" w:type="dxa"/>
            <w:vAlign w:val="bottom"/>
            <w:shd w:val="clear" w:color="auto" w:fill="E3E3E3"/>
          </w:tcPr>
          <w:p>
            <w:pPr>
              <w:jc w:val="center"/>
              <w:ind w:right="1741"/>
              <w:spacing w:after="0"/>
              <w:rPr>
                <w:sz w:val="20"/>
                <w:szCs w:val="20"/>
                <w:color w:val="auto"/>
              </w:rPr>
            </w:pPr>
            <w:r>
              <w:rPr>
                <w:rFonts w:ascii="Times New Roman" w:cs="Times New Roman" w:eastAsia="Times New Roman" w:hAnsi="Times New Roman"/>
                <w:sz w:val="20"/>
                <w:szCs w:val="20"/>
                <w:color w:val="auto"/>
                <w:w w:val="99"/>
              </w:rPr>
              <w:t>67</w:t>
            </w:r>
          </w:p>
        </w:tc>
      </w:tr>
      <w:tr>
        <w:trPr>
          <w:trHeight w:val="241"/>
        </w:trPr>
        <w:tc>
          <w:tcPr>
            <w:tcW w:w="4740" w:type="dxa"/>
            <w:vAlign w:val="bottom"/>
          </w:tcPr>
          <w:p>
            <w:pPr>
              <w:ind w:left="2160"/>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0" w:type="dxa"/>
            <w:vAlign w:val="bottom"/>
          </w:tcPr>
          <w:p>
            <w:pPr>
              <w:jc w:val="center"/>
              <w:ind w:right="1741"/>
              <w:spacing w:after="0"/>
              <w:rPr>
                <w:sz w:val="20"/>
                <w:szCs w:val="20"/>
                <w:color w:val="auto"/>
              </w:rPr>
            </w:pPr>
            <w:r>
              <w:rPr>
                <w:rFonts w:ascii="Times New Roman" w:cs="Times New Roman" w:eastAsia="Times New Roman" w:hAnsi="Times New Roman"/>
                <w:sz w:val="20"/>
                <w:szCs w:val="20"/>
                <w:color w:val="auto"/>
                <w:w w:val="99"/>
              </w:rPr>
              <w:t>72</w:t>
            </w:r>
          </w:p>
        </w:tc>
      </w:tr>
      <w:tr>
        <w:trPr>
          <w:trHeight w:val="241"/>
        </w:trPr>
        <w:tc>
          <w:tcPr>
            <w:tcW w:w="4740" w:type="dxa"/>
            <w:vAlign w:val="bottom"/>
            <w:shd w:val="clear" w:color="auto" w:fill="E3E3E3"/>
          </w:tcPr>
          <w:p>
            <w:pPr>
              <w:ind w:left="216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shd w:val="clear" w:color="auto" w:fill="E3E3E3"/>
          </w:tcPr>
          <w:p>
            <w:pPr>
              <w:spacing w:after="0"/>
              <w:rPr>
                <w:sz w:val="20"/>
                <w:szCs w:val="20"/>
                <w:color w:val="auto"/>
              </w:rPr>
            </w:pPr>
          </w:p>
        </w:tc>
        <w:tc>
          <w:tcPr>
            <w:tcW w:w="1840" w:type="dxa"/>
            <w:vAlign w:val="bottom"/>
            <w:shd w:val="clear" w:color="auto" w:fill="E3E3E3"/>
          </w:tcPr>
          <w:p>
            <w:pPr>
              <w:spacing w:after="0"/>
              <w:rPr>
                <w:sz w:val="20"/>
                <w:szCs w:val="20"/>
                <w:color w:val="auto"/>
              </w:rPr>
            </w:pPr>
          </w:p>
        </w:tc>
        <w:tc>
          <w:tcPr>
            <w:tcW w:w="3600" w:type="dxa"/>
            <w:vAlign w:val="bottom"/>
            <w:shd w:val="clear" w:color="auto" w:fill="E3E3E3"/>
          </w:tcPr>
          <w:p>
            <w:pPr>
              <w:jc w:val="center"/>
              <w:ind w:right="1741"/>
              <w:spacing w:after="0"/>
              <w:rPr>
                <w:sz w:val="20"/>
                <w:szCs w:val="20"/>
                <w:color w:val="auto"/>
              </w:rPr>
            </w:pPr>
            <w:r>
              <w:rPr>
                <w:rFonts w:ascii="Times New Roman" w:cs="Times New Roman" w:eastAsia="Times New Roman" w:hAnsi="Times New Roman"/>
                <w:sz w:val="20"/>
                <w:szCs w:val="20"/>
                <w:color w:val="auto"/>
                <w:w w:val="99"/>
              </w:rPr>
              <w:t>52</w:t>
            </w:r>
          </w:p>
        </w:tc>
      </w:tr>
      <w:tr>
        <w:trPr>
          <w:trHeight w:val="262"/>
        </w:trPr>
        <w:tc>
          <w:tcPr>
            <w:tcW w:w="6680" w:type="dxa"/>
            <w:vAlign w:val="bottom"/>
            <w:gridSpan w:val="3"/>
          </w:tcPr>
          <w:p>
            <w:pPr>
              <w:spacing w:after="0"/>
              <w:rPr>
                <w:sz w:val="20"/>
                <w:szCs w:val="20"/>
                <w:color w:val="auto"/>
              </w:rPr>
            </w:pPr>
            <w:r>
              <w:rPr>
                <w:rFonts w:ascii="Times New Roman" w:cs="Times New Roman" w:eastAsia="Times New Roman" w:hAnsi="Times New Roman"/>
                <w:sz w:val="20"/>
                <w:szCs w:val="20"/>
                <w:i w:val="1"/>
                <w:iCs w:val="1"/>
                <w:color w:val="auto"/>
              </w:rPr>
              <w:t>Source: Viridian Cannabis Deal Tracker</w:t>
            </w:r>
          </w:p>
        </w:tc>
        <w:tc>
          <w:tcPr>
            <w:tcW w:w="3600" w:type="dxa"/>
            <w:vAlign w:val="bottom"/>
          </w:tcPr>
          <w:p>
            <w:pPr>
              <w:spacing w:after="0"/>
              <w:rPr>
                <w:sz w:val="22"/>
                <w:szCs w:val="22"/>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Market Trends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believe the lower middle-market and the middle-market lending environment provides opportunities for us to meet our goal of making investments that generate attractive risk-adjusted returns based on a combination of the following factors, which continue to remain true in the current environment.</w:t>
      </w:r>
    </w:p>
    <w:p>
      <w:pPr>
        <w:spacing w:after="0" w:line="147"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Limited Availability of Capital for Cannabis Operators</w:t>
      </w:r>
      <w:r>
        <w:rPr>
          <w:rFonts w:ascii="Times New Roman" w:cs="Times New Roman" w:eastAsia="Times New Roman" w:hAnsi="Times New Roman"/>
          <w:sz w:val="20"/>
          <w:szCs w:val="20"/>
          <w:color w:val="auto"/>
        </w:rPr>
        <w:t>. We believe that regulatory and structural moats in the cannabis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lending market have generally reduced the amount of capital available to cannabis operators. We believe that many commercial and investment banks have, in recent years, de-emphasized their service and product offerings to these businesses in favor of lending to large corporate clients, traditional operating companies, and managing capital markets transactions. In addition, these lenders may be constrained in their ability to underwrite and hold bank cannabis loans as they seek to meet existing and future regulatory capital requirements. We also believe that there is a lack of market participants that are willing to hold meaningful amounts of loans to portfolio companies operating in the cannabis industry. As a result, we believe our ability to minimize syndication risk for a company seeking financing by being able to hold its loans without having to syndicate them, coupled with reduced capacity of traditional lenders to serve the lower middle-market, present an attractive opportunity to invest in lower middle-market companies.</w:t>
      </w:r>
    </w:p>
    <w:p>
      <w:pPr>
        <w:spacing w:after="0" w:line="162"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Robust Demand for Debt Capital. </w:t>
      </w:r>
      <w:r>
        <w:rPr>
          <w:rFonts w:ascii="Times New Roman" w:cs="Times New Roman" w:eastAsia="Times New Roman" w:hAnsi="Times New Roman"/>
          <w:sz w:val="20"/>
          <w:szCs w:val="20"/>
          <w:color w:val="auto"/>
        </w:rPr>
        <w:t>We believe U.S.-based cannabis companies will continue to require access to debt capital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support growth, refinance existing debt, and finance mergers and acquisitions. We expect that private equity sponsors and entrepreneurs will continue to pursue acquisitions and leverage their equity investments with secured and unsecured loans provided by lenders like us.</w:t>
      </w:r>
    </w:p>
    <w:p>
      <w:pPr>
        <w:spacing w:after="0" w:line="15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Attractive Investment Dynamics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imbalance between the supply of, and demand for, cannabis debt capital creates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attractive pricing dynamics. We believe the directly negotiated nature of direct lending also generally provides more favorable terms to the lender, including stronger covenant and reporting packages, better call protection, and lender-protective change of control provisions. Additionally, we believe our expertise in credit selection and in investing in the cannabis industry provides a strong basis for success.</w:t>
      </w:r>
    </w:p>
    <w:p>
      <w:pPr>
        <w:spacing w:after="0" w:line="156"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Conservative Capital Structures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Given the limited access to credit for the cannabis industry, many companies have typically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been funded with equity capital from entrepreneurs, family offices and, to a lesser extent, smaller private equity firms. The significant amount of equity invested in these companies should provide us with opportunities to lend to companies that have a larger percentage of equity as a percentage of their total capitalization than middle-market and upper middle-market companies. With more conservative capital structures, federally legal cannabis companies can have higher levels of cash flows available to service their debt. In addition, we generally expect borrowers we target to have simpler capital structures than larger borrowers, which facilitates a streamlined underwriting process and, when necessary, restructuring process.</w:t>
      </w:r>
    </w:p>
    <w:p>
      <w:pPr>
        <w:spacing w:after="0" w:line="159"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Attractive Opportunities in Investments in Loans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invest in senior secured or unsecured mortgage loans and from 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time may invest in subordinated loans or mezzanine loans. We believe that opportunities in loans are significant because of the floating rate structure of most senior secured debt issuances and because of the strong defensive characteristics of these types of investments. Given the current deflationary interest rate environment, we believe that debt issued with floating interest rates with high interest rate floors offer a superior return profile as compared with fixed-rate investments, since floating rate structures are generally less susceptible to declines in value experienced by fixed-rate securities in a volatile interest rate environment. Senior secured debt also provides strong defensive characteristics. Senior secured debt has priority in payment among an issuer’s security holders whereby holders are due to receive payment before junior creditors and equity holders. Further, these investments are secured by the issuer’s assets, which may provide protection in the event of a default.</w:t>
      </w:r>
    </w:p>
    <w:p>
      <w:pPr>
        <w:sectPr>
          <w:pgSz w:w="12240" w:h="15840" w:orient="portrait"/>
          <w:cols w:equalWidth="0" w:num="1">
            <w:col w:w="10280"/>
          </w:cols>
          <w:pgMar w:left="1160" w:top="1436" w:right="800" w:bottom="254"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80"/>
          </w:cols>
          <w:pgMar w:left="1160" w:top="1436" w:right="800" w:bottom="254"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Our Business and Growth Strategy</w:t>
      </w:r>
    </w:p>
    <w:p>
      <w:pPr>
        <w:spacing w:after="0" w:line="199"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a diversified portfolio of income-producing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intend to grow the size of our portfolio by continuing the track record of our business by making loans to leading operators and property owners in the cannabis industry.</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Key elements of our strategy include:</w:t>
      </w:r>
    </w:p>
    <w:p>
      <w:pPr>
        <w:spacing w:after="0" w:line="209" w:lineRule="exact"/>
        <w:rPr>
          <w:sz w:val="20"/>
          <w:szCs w:val="20"/>
          <w:color w:val="auto"/>
        </w:rPr>
      </w:pPr>
    </w:p>
    <w:p>
      <w:pPr>
        <w:ind w:left="720" w:hanging="357"/>
        <w:spacing w:after="0"/>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Targeting loans for origination and investment that typically have the following characteristics:</w:t>
      </w:r>
    </w:p>
    <w:p>
      <w:pPr>
        <w:spacing w:after="0" w:line="208" w:lineRule="exact"/>
        <w:rPr>
          <w:rFonts w:ascii="Arial" w:cs="Arial" w:eastAsia="Arial" w:hAnsi="Arial"/>
          <w:sz w:val="20"/>
          <w:szCs w:val="20"/>
          <w:color w:val="auto"/>
        </w:rPr>
      </w:pPr>
    </w:p>
    <w:p>
      <w:pPr>
        <w:ind w:left="1460" w:hanging="487"/>
        <w:spacing w:after="0"/>
        <w:tabs>
          <w:tab w:leader="none" w:pos="1460" w:val="left"/>
        </w:tabs>
        <w:numPr>
          <w:ilvl w:val="1"/>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real estate collateral coverage of at least one times the principal balance;</w:t>
      </w:r>
    </w:p>
    <w:p>
      <w:pPr>
        <w:spacing w:after="0" w:line="208" w:lineRule="exact"/>
        <w:rPr>
          <w:rFonts w:ascii="Arial" w:cs="Arial" w:eastAsia="Arial" w:hAnsi="Arial"/>
          <w:sz w:val="20"/>
          <w:szCs w:val="20"/>
          <w:color w:val="auto"/>
        </w:rPr>
      </w:pPr>
    </w:p>
    <w:p>
      <w:pPr>
        <w:ind w:left="1460" w:hanging="487"/>
        <w:spacing w:after="0" w:line="272" w:lineRule="auto"/>
        <w:tabs>
          <w:tab w:leader="none" w:pos="1460" w:val="left"/>
        </w:tabs>
        <w:numPr>
          <w:ilvl w:val="1"/>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secured by commercial real estate properties, including cannabis cultivation facilities, processing facilities and dispensaries;</w:t>
      </w:r>
    </w:p>
    <w:p>
      <w:pPr>
        <w:spacing w:after="0" w:line="144" w:lineRule="exact"/>
        <w:rPr>
          <w:rFonts w:ascii="Arial" w:cs="Arial" w:eastAsia="Arial" w:hAnsi="Arial"/>
          <w:sz w:val="20"/>
          <w:szCs w:val="20"/>
          <w:color w:val="auto"/>
        </w:rPr>
      </w:pPr>
    </w:p>
    <w:p>
      <w:pPr>
        <w:ind w:left="1460" w:hanging="487"/>
        <w:spacing w:after="0" w:line="272" w:lineRule="auto"/>
        <w:tabs>
          <w:tab w:leader="none" w:pos="1460" w:val="left"/>
        </w:tabs>
        <w:numPr>
          <w:ilvl w:val="1"/>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well-capitalized operators with substantial experience in particular real estate sectors and geographic markets; and</w:t>
      </w:r>
    </w:p>
    <w:p>
      <w:pPr>
        <w:spacing w:after="0" w:line="144" w:lineRule="exact"/>
        <w:rPr>
          <w:rFonts w:ascii="Arial" w:cs="Arial" w:eastAsia="Arial" w:hAnsi="Arial"/>
          <w:sz w:val="20"/>
          <w:szCs w:val="20"/>
          <w:color w:val="auto"/>
        </w:rPr>
      </w:pPr>
    </w:p>
    <w:p>
      <w:pPr>
        <w:ind w:left="1460" w:hanging="487"/>
        <w:spacing w:after="0"/>
        <w:tabs>
          <w:tab w:leader="none" w:pos="1460" w:val="left"/>
        </w:tabs>
        <w:numPr>
          <w:ilvl w:val="1"/>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operations in limited license jurisdictions contributing to lower loan to value ratios</w:t>
      </w:r>
    </w:p>
    <w:p>
      <w:pPr>
        <w:spacing w:after="0" w:line="208" w:lineRule="exact"/>
        <w:rPr>
          <w:rFonts w:ascii="Arial" w:cs="Arial" w:eastAsia="Arial" w:hAnsi="Arial"/>
          <w:sz w:val="20"/>
          <w:szCs w:val="20"/>
          <w:color w:val="auto"/>
        </w:rPr>
      </w:pPr>
    </w:p>
    <w:p>
      <w:pPr>
        <w:ind w:left="720" w:hanging="357"/>
        <w:spacing w:after="0" w:line="272"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Diversifying our financing sources with increased access to equity and debt capital, which may provide us with a lower overall cost of funding and the ability to hold larger loan sizes, among other things.</w:t>
      </w:r>
    </w:p>
    <w:p>
      <w:pPr>
        <w:spacing w:after="0" w:line="130"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We intend to continue providing financing to state-licensed cannabis cultivators, processors, distributors, retailers, vertically-integrated cannabis firms, non-plant touching manufacturers, suppliers, and service providers to such industries, and other businesses ancillary thereto, located in the U.S. and Canada. We will continue to focus on operators with strong collateral, in the form of real estate, equipment, intellectual property, receivables, and other assets owned by the borrower, and may opportunistically invest in “all asset lien” cash flow loans, to the extent that allows us to maintain our qualification as a REIT, with a strict focus on adhering to conservative underwriting criteria. Our Manager will regularly evaluate loans and retains independent third-party valuation firms to provide input on the valuation of unquoted assets, which our Manager considers along with various other subjective and objective factors when making any such evaluation, including the determination of reserves for credit losses, as applicable. The collateral underlying our loans is located in states in the U.S. that we believe have attractive regulatory environments for companies operating in the cannabis industry, economic conditions and commercial real estate fundamentals.</w:t>
      </w:r>
    </w:p>
    <w:p>
      <w:pPr>
        <w:spacing w:after="0" w:line="169"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An evaluation of the real estate and other collateral is an important part of our Manager’s underwriting process, but we may be limited in our ability to foreclose on certain collateral. If we expect that exercising rights and remedies available to us would lead to a lower recovery, we may instead seek to sell a defaulted loan to a third party or force the sale of collateral underlying the loan as permitted in our standard loan agreements. There may be no readily available market for our loans, so we can provide no assurances that a third party would buy such loans or that the sales price of such loans would be sufficient to recover our outstanding principal balance. For more information, see “</w:t>
      </w:r>
      <w:r>
        <w:rPr>
          <w:rFonts w:ascii="Times New Roman" w:cs="Times New Roman" w:eastAsia="Times New Roman" w:hAnsi="Times New Roman"/>
          <w:sz w:val="20"/>
          <w:szCs w:val="20"/>
          <w:i w:val="1"/>
          <w:iCs w:val="1"/>
          <w:color w:val="auto"/>
        </w:rPr>
        <w:t>Risk Factors — Certain assets of our borrowers may not be used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collateral or transferred to us due to applicable state laws and regulations governing the cannabis industry, and such restrictions could negatively impact our profitability</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We may diversify our portfolio by also lending or investing in properties that are not related to the cannabis industry if they provide return characteristics consistent with our investment objective. From time to time, we may invest in mezzanine loans, preferred equity or other forms of joint venture equity.</w:t>
      </w:r>
    </w:p>
    <w:p>
      <w:pPr>
        <w:spacing w:after="0" w:line="147"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We draw upon our Manager’s expertise in sourcing, underwriting, structuring and funding capabilities to implement our growth strategy. We believe that our current growth strategy provides significant potential opportunities to our stockholders for attractive risk-adjusted returns over time. However, to capitalize on the appropriate loan opportunities at different points in the economic and real estate investment cycle, we may modify or expand our growth strategy from time to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Processes</w:t>
      </w:r>
    </w:p>
    <w:p>
      <w:pPr>
        <w:sectPr>
          <w:pgSz w:w="12240" w:h="15840" w:orient="portrait"/>
          <w:cols w:equalWidth="0" w:num="1">
            <w:col w:w="10280"/>
          </w:cols>
          <w:pgMar w:left="1160" w:top="1005"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80"/>
          </w:cols>
          <w:pgMar w:left="1160" w:top="1005" w:right="800" w:bottom="254" w:gutter="0" w:footer="0" w:header="0"/>
          <w:type w:val="continuous"/>
        </w:sectPr>
      </w:pPr>
    </w:p>
    <w:bookmarkStart w:id="19" w:name="page20"/>
    <w:bookmarkEnd w:id="19"/>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The Manager’s Investment Committee which oversees the loan origination and portfolio monitoring processes is focused on managing our credit risk through a comprehensive investment review process. As part of this process, the Manager’s Investment Committee must approve each loan before term sheets or other commitment papers are issued.</w:t>
      </w:r>
    </w:p>
    <w:p>
      <w:pPr>
        <w:spacing w:after="0" w:line="147"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In addition, the Audit Committee of our Board (the "Audit Committee") may assist our Board in its oversight of the determination of loss reserves and/or the fair value of assets, as applicable, that are not publicly traded or for which current market values are not readily available by evaluating various subjective and objective factors, including input provided by an independent valuation firm that we currently retain to provide input on the valuation of such assets. The Audit Committee is also responsible for the approval and pricing as it relates to all related party transactions, including those relating to loan portfolio transactions. Our Manager's investment process is described below.</w:t>
      </w:r>
    </w:p>
    <w:p>
      <w:pPr>
        <w:spacing w:after="0" w:line="159"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Originations; New Opportunities Referred. </w:t>
      </w:r>
      <w:r>
        <w:rPr>
          <w:rFonts w:ascii="Times New Roman" w:cs="Times New Roman" w:eastAsia="Times New Roman" w:hAnsi="Times New Roman"/>
          <w:sz w:val="20"/>
          <w:szCs w:val="20"/>
          <w:color w:val="auto"/>
        </w:rPr>
        <w:t>Chicago Atlantic has a multi-channel sourcing strategy focused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entrepreneurs, venture capital firms, private equity firms and investment banks, as well as brokers who focus on the cannabis industry. Chicago Atlantic seeks to interact directly with operating businesses owned and advised by these groups, and typically negotiates investment terms directly with potential portfolio companies. Chicago Atlantic focuses on businesses with strong management teams who have a successful history managing their companies. Chicago Atlantic has a nationwide network, has built relationships with these operators and investors, and has established itself a leading provider of financial solutions for the cannabis industry.</w:t>
      </w:r>
    </w:p>
    <w:p>
      <w:pPr>
        <w:spacing w:after="0" w:line="159"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When a new investment opportunity is identified, a member of Chicago Atlantic's investment team typically speaks with the prospective portfolio company to gather information about the business and its financing and capital needs. If, following this call, the investment team sees an opportunity as a potential fit with our investment strategy and criteria, the investment team asks the prospective portfolio company to submit an information package, which includes detailed information regarding the portfolio company’s products or services, capitalization, customers, historical financial performance, and forward-looking financial projections. Once received, the portfolio company’s information package is then reviewed by the investment team and a summary investment memorandum is shared with our Manager’s Investment Committee.</w:t>
      </w:r>
    </w:p>
    <w:p>
      <w:pPr>
        <w:spacing w:after="0" w:line="159"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Preliminary Due Diligence and Executive Summary. </w:t>
      </w:r>
      <w:r>
        <w:rPr>
          <w:rFonts w:ascii="Times New Roman" w:cs="Times New Roman" w:eastAsia="Times New Roman" w:hAnsi="Times New Roman"/>
          <w:sz w:val="20"/>
          <w:szCs w:val="20"/>
          <w:color w:val="auto"/>
        </w:rPr>
        <w:t>The next phase of the due diligence process involves a structured call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the management team of the prospective portfolio company. A detailed discussion including a discussion of the prospective portfolio company’s products or services, market dynamics, business model, historical financial performance and projections, management team, existing investors and capital structure and debt. Following the management call, if the opportunity still appears to be worthy of consideration, an executive summary memorandum is prepared by the due diligence team for consideration and voting by our Manager’s Investment Committee. The executive summary memorandum is distributed to our Manager's Investment Committee, and the deal terms for the investment are defined. If approved by our Manager's Investment Committee, we issue a term sheet to the prospective portfolio company.</w:t>
      </w:r>
    </w:p>
    <w:p>
      <w:pPr>
        <w:spacing w:after="0" w:line="162"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Confirmatory Due Diligence and On-Site Meeting. </w:t>
      </w:r>
      <w:r>
        <w:rPr>
          <w:rFonts w:ascii="Times New Roman" w:cs="Times New Roman" w:eastAsia="Times New Roman" w:hAnsi="Times New Roman"/>
          <w:sz w:val="20"/>
          <w:szCs w:val="20"/>
          <w:color w:val="auto"/>
        </w:rPr>
        <w:t>If the term sheet offered by us is accepted by the prospective portfolio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the process of obtaining additional confirmatory due diligence begins. The confirmatory due diligence process typically includes calls with the key constituents of the portfolio company, as well as key customers, suppliers, partners, or other stakeholders as may be deemed relevant by the due diligence team. Additional financial analysis is performed, in order to confirm the assumptions that were made prior to term sheet issuance. During this process, we engage senior members of our Manager’s Investment Committee to discuss industry dynamics and evaluate the business model of the portfolio company.</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final step in the confirmatory diligence process involves one or more on-site meetings, at which members of our due diligence team meet with the management team of the prospective portfolio company for a final review of the portfolio company’s financial performance and forward-looking plans. These meetings are typically held at the business offices of the portfolio company; however, occasionally the meeting will be held via video teleconference if travel to the portfolio company is not possible. One or more members of our Manager’s Investment Committee will attend the on-site meeting, if possible.</w:t>
      </w:r>
    </w:p>
    <w:p>
      <w:pPr>
        <w:spacing w:after="0" w:line="156"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Underwriting Report and Investment Committee Vote </w:t>
      </w:r>
      <w:r>
        <w:rPr>
          <w:rFonts w:ascii="Times New Roman" w:cs="Times New Roman" w:eastAsia="Times New Roman" w:hAnsi="Times New Roman"/>
          <w:sz w:val="20"/>
          <w:szCs w:val="20"/>
          <w:color w:val="auto"/>
        </w:rPr>
        <w:t>Assuming that the confirmatory due diligence process reveals no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issues that would cause the due diligence team to recommend against the proposed investment, the due diligence team prepares a final Investment Committee Memorandum, which is distributed to our Manager’s Investment Committee. Our Manager's Investment Committee then meets to discuss and review the investment terms regarding the proposed investment. Unanimous agreement of our Manager's Investment Committee is required to approve the transaction.</w:t>
      </w:r>
    </w:p>
    <w:p>
      <w:pPr>
        <w:spacing w:after="0" w:line="156" w:lineRule="exact"/>
        <w:rPr>
          <w:sz w:val="20"/>
          <w:szCs w:val="20"/>
          <w:color w:val="auto"/>
        </w:rPr>
      </w:pPr>
    </w:p>
    <w:p>
      <w:pPr>
        <w:jc w:val="both"/>
        <w:ind w:firstLine="355"/>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Management and Oversight. </w:t>
      </w:r>
      <w:r>
        <w:rPr>
          <w:rFonts w:ascii="Times New Roman" w:cs="Times New Roman" w:eastAsia="Times New Roman" w:hAnsi="Times New Roman"/>
          <w:sz w:val="19"/>
          <w:szCs w:val="19"/>
          <w:color w:val="auto"/>
        </w:rPr>
        <w:t>One or two members of our Manager's Investment Committee will be responsible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9"/>
          <w:szCs w:val="19"/>
          <w:color w:val="auto"/>
        </w:rPr>
        <w:t>for monitoring the portfolio company following closing of an investment. Beyond the dedicated portfolio management team, all of our management team members and investment professionals are typically involved at various times with our portfolio companies and investments. Our portfolio management team reviews our portfolio companies’ monthly or quarterly financial statements and compares actual results to the portfolio companies’ projections. Additionally, the portfolio management team may initiate periodic</w:t>
      </w:r>
    </w:p>
    <w:p>
      <w:pPr>
        <w:sectPr>
          <w:pgSz w:w="12240" w:h="15840" w:orient="portrait"/>
          <w:cols w:equalWidth="0" w:num="1">
            <w:col w:w="10280"/>
          </w:cols>
          <w:pgMar w:left="1160" w:top="1009" w:right="800" w:bottom="254" w:gutter="0" w:footer="0" w:header="0"/>
        </w:sect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80"/>
          </w:cols>
          <w:pgMar w:left="1160" w:top="1009" w:right="800" w:bottom="254" w:gutter="0" w:footer="0" w:header="0"/>
          <w:type w:val="continuous"/>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20"/>
          <w:szCs w:val="20"/>
          <w:color w:val="auto"/>
        </w:rPr>
        <w:t>calls with the portfolio company’s venture capital partners and its management team, and may obtain observer rights on the portfolio company’s board of directors. Our management team and investment professionals anticipate potential problems by monitoring reporting requirements and having frequent calls with the management teams of our portfolio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Underwriting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Underwriting Process and Investment Approval</w:t>
      </w:r>
    </w:p>
    <w:p>
      <w:pPr>
        <w:spacing w:after="0" w:line="2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intend to make our investment decisions only after consideration of a number of factors regarding the potential investment, including but not limited to: (i) historical and projected financial performance; (ii) company and industry- specific characteristics, such as strengths, weaknesses, opportunities, threats, and regulatory barriers to entry; (iii) composition and experience of the management team; and (iv) track record of the private equity sponsor leading the transaction, if applicable.</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an investment is deemed appropriate to pursue, a more detailed and rigorous evaluation is made along a variety of investment parameters, not all of which may be relevant or considered in evaluating a potential investment opportunity. The following outlines the general parameters and areas of evaluation and due diligence we intend to utilize for investment decisions, although not all factors will necessarily be considered or given equal weighting in the evaluation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Assessment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Manager makes an in-depth assessment of the management team, including evaluation along several key metrics:</w:t>
      </w:r>
    </w:p>
    <w:p>
      <w:pPr>
        <w:spacing w:after="0" w:line="130" w:lineRule="exact"/>
        <w:rPr>
          <w:sz w:val="20"/>
          <w:szCs w:val="20"/>
          <w:color w:val="auto"/>
        </w:rPr>
      </w:pPr>
    </w:p>
    <w:p>
      <w:pPr>
        <w:ind w:left="980" w:hanging="489"/>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years in their current position(s);</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Track record and industry experience;</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 incentive, including level of direct investment in the enterprise;</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Background investigations</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Completeness of management team (lack of positions that need to be filled)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Industry Dynamics</w:t>
      </w:r>
    </w:p>
    <w:p>
      <w:pPr>
        <w:spacing w:after="0" w:line="223"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20"/>
          <w:szCs w:val="20"/>
          <w:color w:val="auto"/>
        </w:rPr>
        <w:t>An evaluation of the industry is undertaken by our Manager that considers several factors. If considered appropriate, industry experts will be consulted or retained. The following factors are typically analyzed through this process:</w:t>
      </w:r>
    </w:p>
    <w:p>
      <w:pPr>
        <w:spacing w:after="0" w:line="66" w:lineRule="exact"/>
        <w:rPr>
          <w:sz w:val="20"/>
          <w:szCs w:val="20"/>
          <w:color w:val="auto"/>
        </w:rPr>
      </w:pPr>
    </w:p>
    <w:p>
      <w:pPr>
        <w:ind w:left="980" w:hanging="489"/>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Sensitivity to economic cycles;</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Competitive environment, including number of competitors, threat of new entrants or substitutes</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Fragmentation and relative market share of industry leaders;</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Growth potential; and</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and legal environment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Model and Financial Assessment</w:t>
      </w:r>
    </w:p>
    <w:p>
      <w:pPr>
        <w:spacing w:after="0" w:line="22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Prior to making an investment decision, our Manager undertakes a review and analysis of the financial and strategic plans for the potential portfolio company investment. There is significant evaluation of the due diligence performed by the private equity sponsor, if any, and third-party experts including accountants and consultants. Primary areas of evaluation include:</w:t>
      </w:r>
    </w:p>
    <w:p>
      <w:pPr>
        <w:spacing w:after="0" w:line="82" w:lineRule="exact"/>
        <w:rPr>
          <w:sz w:val="20"/>
          <w:szCs w:val="20"/>
          <w:color w:val="auto"/>
        </w:rPr>
      </w:pPr>
    </w:p>
    <w:p>
      <w:pPr>
        <w:ind w:left="980" w:hanging="489"/>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Historical and projected financial performance;</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Quality of earnings, including source and predictability of cash flows;</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Customer and vendor interviews, reference checks and assessments;</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exit scenarios, including probability of liquidity event</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Internal controls and accounting systems and capabilities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80"/>
          </w:cols>
          <w:pgMar w:left="1160" w:top="1009" w:right="800" w:bottom="254" w:gutter="0" w:footer="0" w:header="0"/>
          <w:type w:val="continuous"/>
        </w:sectPr>
      </w:pPr>
    </w:p>
    <w:bookmarkStart w:id="21" w:name="page22"/>
    <w:bookmarkEnd w:id="21"/>
    <w:p>
      <w:pPr>
        <w:jc w:val="both"/>
        <w:ind w:firstLine="355"/>
        <w:spacing w:after="0" w:line="239" w:lineRule="auto"/>
        <w:rPr>
          <w:sz w:val="20"/>
          <w:szCs w:val="20"/>
          <w:color w:val="auto"/>
        </w:rPr>
      </w:pPr>
      <w:r>
        <w:rPr>
          <w:rFonts w:ascii="Times New Roman" w:cs="Times New Roman" w:eastAsia="Times New Roman" w:hAnsi="Times New Roman"/>
          <w:sz w:val="20"/>
          <w:szCs w:val="20"/>
          <w:color w:val="auto"/>
        </w:rPr>
        <w:t>We operate in a competitive market for the origination and acquisition of attractive lending opportunities, though competition for cannabis-related investment opportunities are more scarce. From time to time, we may compete with a variety of institutional investors, including other REITs, debt funds, specialty finance companies, savings and loan associations, local banks and credit unions, mortgage bankers, insurance companies, investment banking firms, financial institutions, private equity and hedge funds, and other entities. Some of our competitors are substantially larger and have considerably greater financial, technical and marketing resources than we do. Several of our competitors, including other REITs, have raised, or may raise, significant amounts of capital and may have investment objectives that overlap with our investment objective, which may create additional competition for lending and other investment opportunities. Some of our competitors may have a lower cost of funds and access to funding sources that may not be available to us or are only available to us on substantially less attractive terms. Many of our competitors are not subject to the operating constraints associated with REIT tax compliance or maintenance of an exclusion or exemption from the Investment Company Act. In addition, some of our competitors may have higher risk tolerances or different risk assessments, which could allow them to consider a wider variety of investments and establish more lending relationships than we do. Competition may result in realizing fewer investments, higher prices, acceptance of greater risk, greater defaults, lower yields or a narrower spread of yields over our borrowing costs. In addition, competition for attractive investments could delay the investment of our capital.</w:t>
      </w:r>
    </w:p>
    <w:p>
      <w:pPr>
        <w:spacing w:after="0" w:line="17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In the face of this competition, we have access to our Manager’s professionals and their financing industry expertise, which may provide us with a competitive advantage in competing effectively for attractive investment opportunities and help us assess risks and determine appropriate pricing for certain potential investments. Although we believe our Manager’s expertise and our flexible funding structure provide us with valuable competitive advantages, we may not be able to achieve our business goals or expectations due to the competitive risks that we face. For additional information concerning these competitive risks, see “</w:t>
      </w:r>
      <w:r>
        <w:rPr>
          <w:rFonts w:ascii="Times New Roman" w:cs="Times New Roman" w:eastAsia="Times New Roman" w:hAnsi="Times New Roman"/>
          <w:sz w:val="20"/>
          <w:szCs w:val="20"/>
          <w:i w:val="1"/>
          <w:iCs w:val="1"/>
          <w:color w:val="auto"/>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Factors — Risks Related to Our Business and Growth Strategy</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Federal Income Tax Considerations</w:t>
      </w:r>
    </w:p>
    <w:p>
      <w:pPr>
        <w:spacing w:after="0" w:line="199"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We have elected to be taxed as a REIT under Sections 856 through 860 of the Code, commencing with our taxable year ended December 31, 2021. We believe that we have qualified as a REIT and that our method of operation will enable us to continue to qualify as a REIT.</w:t>
      </w:r>
    </w:p>
    <w:p>
      <w:pPr>
        <w:spacing w:after="0" w:line="147"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So long as we qualify for taxation as a REIT, we generally are not subject to U.S. federal income tax on the portion of our taxable income or capital gain that is distributed to stockholders annually. This treatment substantially eliminates the “double taxation” (i.e., at both the corporate and stockholder levels) that typically results from investment in a corporation.</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Notwithstanding our qualification as a REIT, we will be subject to U.S. federal income tax as follows:</w:t>
      </w:r>
    </w:p>
    <w:p>
      <w:pPr>
        <w:spacing w:after="0" w:line="209" w:lineRule="exact"/>
        <w:rPr>
          <w:sz w:val="20"/>
          <w:szCs w:val="20"/>
          <w:color w:val="auto"/>
        </w:rPr>
      </w:pPr>
    </w:p>
    <w:p>
      <w:pPr>
        <w:ind w:left="720" w:hanging="357"/>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will be taxed at normal corporate rates on any undistributed net income (including undistributed net capital gains);</w:t>
      </w:r>
    </w:p>
    <w:p>
      <w:pPr>
        <w:spacing w:after="0" w:line="208" w:lineRule="exact"/>
        <w:rPr>
          <w:rFonts w:ascii="Arial" w:cs="Arial" w:eastAsia="Arial" w:hAnsi="Arial"/>
          <w:sz w:val="20"/>
          <w:szCs w:val="20"/>
          <w:color w:val="auto"/>
        </w:rPr>
      </w:pPr>
    </w:p>
    <w:p>
      <w:pPr>
        <w:jc w:val="both"/>
        <w:ind w:left="720" w:hanging="357"/>
        <w:spacing w:after="0" w:line="248"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satisfy either the 75% or the 95% gross income tests (discussed below), but nonetheless maintain our qualification as a REIT because other requirements are met, we will be subject to a 100% tax on the greater of (1) the amount by which we fail the 75% test and (2) the amount by which we fail the 95% test, in either case, multiplied by a fraction intended to reflect our profitability;</w:t>
      </w:r>
    </w:p>
    <w:p>
      <w:pPr>
        <w:spacing w:after="0" w:line="170" w:lineRule="exact"/>
        <w:rPr>
          <w:rFonts w:ascii="Arial" w:cs="Arial" w:eastAsia="Arial" w:hAnsi="Arial"/>
          <w:sz w:val="20"/>
          <w:szCs w:val="20"/>
          <w:color w:val="auto"/>
        </w:rPr>
      </w:pPr>
    </w:p>
    <w:p>
      <w:pPr>
        <w:jc w:val="both"/>
        <w:ind w:left="720" w:hanging="357"/>
        <w:spacing w:after="0" w:line="254"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if we should fail to satisfy the asset tests or other requirements applicable to REITs, as described below, yet nonetheless maintain our qualification as a REIT because there is reasonable cause for the failure and other applicable requirements are met, we may be subject to an excise tax;</w:t>
      </w:r>
    </w:p>
    <w:p>
      <w:pPr>
        <w:spacing w:after="0" w:line="163" w:lineRule="exact"/>
        <w:rPr>
          <w:rFonts w:ascii="Arial" w:cs="Arial" w:eastAsia="Arial" w:hAnsi="Arial"/>
          <w:sz w:val="20"/>
          <w:szCs w:val="20"/>
          <w:color w:val="auto"/>
        </w:rPr>
      </w:pPr>
    </w:p>
    <w:p>
      <w:pPr>
        <w:ind w:left="720" w:hanging="357"/>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will be subject to a tax of 100% on net income from any “prohibited transaction”;</w:t>
      </w:r>
    </w:p>
    <w:p>
      <w:pPr>
        <w:spacing w:after="0" w:line="208" w:lineRule="exact"/>
        <w:rPr>
          <w:rFonts w:ascii="Arial" w:cs="Arial" w:eastAsia="Arial" w:hAnsi="Arial"/>
          <w:sz w:val="20"/>
          <w:szCs w:val="20"/>
          <w:color w:val="auto"/>
        </w:rPr>
      </w:pPr>
    </w:p>
    <w:p>
      <w:pPr>
        <w:jc w:val="both"/>
        <w:ind w:left="720" w:hanging="357"/>
        <w:spacing w:after="0" w:line="248"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will be subject to tax, at the highest corporate rate, on net income from (1) the sale or other disposition of “foreclosure property” (generally, property acquired by us through foreclosure or after a default on a loan secured by the property or a lease of the property and for which an election is in effect) that is held primarily for sale to customers in the ordinary course of business or (2) other non-qualifying income from foreclosure property;</w:t>
      </w:r>
    </w:p>
    <w:p>
      <w:pPr>
        <w:spacing w:after="0" w:line="170" w:lineRule="exact"/>
        <w:rPr>
          <w:rFonts w:ascii="Arial" w:cs="Arial" w:eastAsia="Arial" w:hAnsi="Arial"/>
          <w:sz w:val="20"/>
          <w:szCs w:val="20"/>
          <w:color w:val="auto"/>
        </w:rPr>
      </w:pPr>
    </w:p>
    <w:p>
      <w:pPr>
        <w:ind w:left="720" w:hanging="357"/>
        <w:spacing w:after="0"/>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distribute during each calendar year at least the sum of (1) 85% of our REIT ordinary income for the year,</w:t>
      </w:r>
    </w:p>
    <w:p>
      <w:pPr>
        <w:spacing w:after="0" w:line="24" w:lineRule="exact"/>
        <w:rPr>
          <w:rFonts w:ascii="Arial" w:cs="Arial" w:eastAsia="Arial" w:hAnsi="Arial"/>
          <w:sz w:val="20"/>
          <w:szCs w:val="20"/>
          <w:color w:val="auto"/>
        </w:rPr>
      </w:pPr>
    </w:p>
    <w:p>
      <w:pPr>
        <w:jc w:val="both"/>
        <w:ind w:left="72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(2) 95% of our REIT capital gain income for the year and (3) any undistributed taxable income from prior years, we will be subject to a 4% excise tax on the excess of the Required Distribution over the sum of (a) the amounts actually distributed plus (b) the amounts with respect to which certain taxes are imposed on us;</w:t>
      </w:r>
    </w:p>
    <w:p>
      <w:pPr>
        <w:spacing w:after="0" w:line="176" w:lineRule="exact"/>
        <w:rPr>
          <w:rFonts w:ascii="Arial" w:cs="Arial" w:eastAsia="Arial" w:hAnsi="Arial"/>
          <w:sz w:val="20"/>
          <w:szCs w:val="20"/>
          <w:color w:val="auto"/>
        </w:rPr>
      </w:pPr>
    </w:p>
    <w:p>
      <w:pPr>
        <w:jc w:val="both"/>
        <w:ind w:left="720" w:hanging="357"/>
        <w:spacing w:after="0" w:line="299" w:lineRule="auto"/>
        <w:tabs>
          <w:tab w:leader="none" w:pos="720"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color w:val="auto"/>
        </w:rPr>
        <w:t>if we acquire any asset from a “C corporation” (that is, a corporation generally subject to the full corporate level tax) in a transaction in which the basis of the asset in our hands is determined by reference to the basis of the asset in the hands of</w:t>
      </w:r>
    </w:p>
    <w:p>
      <w:pPr>
        <w:sectPr>
          <w:pgSz w:w="12240" w:h="15840" w:orient="portrait"/>
          <w:cols w:equalWidth="0" w:num="1">
            <w:col w:w="10280"/>
          </w:cols>
          <w:pgMar w:left="1160" w:top="1009" w:right="800" w:bottom="254"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80"/>
          </w:cols>
          <w:pgMar w:left="1160" w:top="1009" w:right="800" w:bottom="254" w:gutter="0" w:footer="0" w:header="0"/>
          <w:type w:val="continuous"/>
        </w:sectPr>
      </w:pPr>
    </w:p>
    <w:bookmarkStart w:id="22" w:name="page23"/>
    <w:bookmarkEnd w:id="22"/>
    <w:p>
      <w:pPr>
        <w:jc w:val="both"/>
        <w:ind w:left="720"/>
        <w:spacing w:after="0" w:line="255" w:lineRule="auto"/>
        <w:rPr>
          <w:sz w:val="20"/>
          <w:szCs w:val="20"/>
          <w:color w:val="auto"/>
        </w:rPr>
      </w:pPr>
      <w:r>
        <w:rPr>
          <w:rFonts w:ascii="Times New Roman" w:cs="Times New Roman" w:eastAsia="Times New Roman" w:hAnsi="Times New Roman"/>
          <w:sz w:val="20"/>
          <w:szCs w:val="20"/>
          <w:color w:val="auto"/>
        </w:rPr>
        <w:t>the C corporation, and we recognize gain on the disposition of the asset during a five-year period beginning on the date that we acquired the asset, then the asset’s “built-in” gain generally will be subject to tax at the highest regular corporate rate;</w:t>
      </w:r>
    </w:p>
    <w:p>
      <w:pPr>
        <w:spacing w:after="0" w:line="161" w:lineRule="exact"/>
        <w:rPr>
          <w:sz w:val="20"/>
          <w:szCs w:val="20"/>
          <w:color w:val="auto"/>
        </w:rPr>
      </w:pPr>
    </w:p>
    <w:p>
      <w:pPr>
        <w:jc w:val="both"/>
        <w:ind w:left="720" w:hanging="357"/>
        <w:spacing w:after="0" w:line="245"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qualify for taxation as a REIT because we failed to distribute by the end of the relevant year any earnings and profits we inherited from a taxable C corporation during the year (e.g., by tax-free merger or tax-free liquidation), and the failure is not due to fraud with intent to evade tax, we generally may retain our REIT status by paying a special distribution, but we will be required to pay an interest charge on 50% of the amount of undistributed non-REIT earnings and profits;</w:t>
      </w:r>
    </w:p>
    <w:p>
      <w:pPr>
        <w:spacing w:after="0" w:line="174" w:lineRule="exact"/>
        <w:rPr>
          <w:rFonts w:ascii="Arial" w:cs="Arial" w:eastAsia="Arial" w:hAnsi="Arial"/>
          <w:sz w:val="20"/>
          <w:szCs w:val="20"/>
          <w:color w:val="auto"/>
        </w:rPr>
      </w:pPr>
    </w:p>
    <w:p>
      <w:pPr>
        <w:ind w:left="720" w:hanging="357"/>
        <w:spacing w:after="0" w:line="272"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a 100% tax may be imposed on certain transactions between us and our taxable REIT subsidiaries (“TRSs”) that do not reflect arm’s length terms;</w:t>
      </w:r>
    </w:p>
    <w:p>
      <w:pPr>
        <w:spacing w:after="0" w:line="144" w:lineRule="exact"/>
        <w:rPr>
          <w:rFonts w:ascii="Arial" w:cs="Arial" w:eastAsia="Arial" w:hAnsi="Arial"/>
          <w:sz w:val="20"/>
          <w:szCs w:val="20"/>
          <w:color w:val="auto"/>
        </w:rPr>
      </w:pPr>
    </w:p>
    <w:p>
      <w:pPr>
        <w:jc w:val="both"/>
        <w:ind w:left="720" w:hanging="357"/>
        <w:spacing w:after="0" w:line="254"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pay monetary penalties to the Internal Revenue Service (the "IRS") in certain circumstances, including if we fail to satisfy the record keeping requirements intended to monitor our compliance with rules relating to the ownership of our common stock;</w:t>
      </w:r>
    </w:p>
    <w:p>
      <w:pPr>
        <w:spacing w:after="0" w:line="163" w:lineRule="exact"/>
        <w:rPr>
          <w:rFonts w:ascii="Arial" w:cs="Arial" w:eastAsia="Arial" w:hAnsi="Arial"/>
          <w:sz w:val="20"/>
          <w:szCs w:val="20"/>
          <w:color w:val="auto"/>
        </w:rPr>
      </w:pPr>
    </w:p>
    <w:p>
      <w:pPr>
        <w:ind w:left="720" w:hanging="357"/>
        <w:spacing w:after="0" w:line="272"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certain of our subsidiaries, if any, may be C corporations, the earnings of which could be subject to federal corporate income tax; and</w:t>
      </w:r>
    </w:p>
    <w:p>
      <w:pPr>
        <w:spacing w:after="0" w:line="144" w:lineRule="exact"/>
        <w:rPr>
          <w:rFonts w:ascii="Arial" w:cs="Arial" w:eastAsia="Arial" w:hAnsi="Arial"/>
          <w:sz w:val="20"/>
          <w:szCs w:val="20"/>
          <w:color w:val="auto"/>
        </w:rPr>
      </w:pPr>
    </w:p>
    <w:p>
      <w:pPr>
        <w:jc w:val="both"/>
        <w:ind w:left="720" w:hanging="357"/>
        <w:spacing w:after="0" w:line="254"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we and our subsidiaries, if any, may be subject to a variety of taxes, including state and local income taxes, property taxes and other taxes on our assets and operations and could also be subject to tax in situations and on transactions not presently contemplated.</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will use the calendar year both for U.S. federal income tax purposes and for financial reporting purposes.</w:t>
      </w:r>
    </w:p>
    <w:p>
      <w:pPr>
        <w:spacing w:after="0" w:line="195"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Requirements for Qualification. </w:t>
      </w:r>
      <w:r>
        <w:rPr>
          <w:rFonts w:ascii="Times New Roman" w:cs="Times New Roman" w:eastAsia="Times New Roman" w:hAnsi="Times New Roman"/>
          <w:sz w:val="20"/>
          <w:szCs w:val="20"/>
          <w:color w:val="auto"/>
        </w:rPr>
        <w:t>To qualify as a REIT for U.S. federal income tax purposes, we must elect to be treated 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REIT and must meet various (a) organizational requirements, (b) gross income tests, (c) asset tests and (d) annual distribution requirements.</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Organizational Requirements. </w:t>
      </w:r>
      <w:r>
        <w:rPr>
          <w:rFonts w:ascii="Times New Roman" w:cs="Times New Roman" w:eastAsia="Times New Roman" w:hAnsi="Times New Roman"/>
          <w:sz w:val="20"/>
          <w:szCs w:val="20"/>
          <w:color w:val="auto"/>
        </w:rPr>
        <w:t>A REIT must be organized as a corporation, trust or association:</w:t>
      </w:r>
    </w:p>
    <w:p>
      <w:pPr>
        <w:spacing w:after="0" w:line="195" w:lineRule="exact"/>
        <w:rPr>
          <w:sz w:val="20"/>
          <w:szCs w:val="20"/>
          <w:color w:val="auto"/>
        </w:rPr>
      </w:pPr>
    </w:p>
    <w:p>
      <w:pPr>
        <w:ind w:left="720" w:hanging="357"/>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managed by one or more trustees or directors;</w:t>
      </w:r>
    </w:p>
    <w:p>
      <w:pPr>
        <w:spacing w:after="0" w:line="195" w:lineRule="exact"/>
        <w:rPr>
          <w:rFonts w:ascii="Times New Roman" w:cs="Times New Roman" w:eastAsia="Times New Roman" w:hAnsi="Times New Roman"/>
          <w:sz w:val="20"/>
          <w:szCs w:val="20"/>
          <w:color w:val="auto"/>
        </w:rPr>
      </w:pPr>
    </w:p>
    <w:p>
      <w:pPr>
        <w:ind w:left="720" w:hanging="357"/>
        <w:spacing w:after="0" w:line="27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beneficial ownership of which is evidenced by transferable shares, or by transferable certificates of beneficial interest;</w:t>
      </w:r>
    </w:p>
    <w:p>
      <w:pPr>
        <w:spacing w:after="0" w:line="129"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would be taxable as a domestic corporation, but for Sections 856 through 860 of the Code;</w:t>
      </w:r>
    </w:p>
    <w:p>
      <w:pPr>
        <w:spacing w:after="0" w:line="195"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neither a financial institution nor an insurance company subject to specified provisions of the Code;</w:t>
      </w:r>
    </w:p>
    <w:p>
      <w:pPr>
        <w:spacing w:after="0" w:line="195"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beneficial ownership of which is held by 100 or more persons;</w:t>
      </w:r>
    </w:p>
    <w:p>
      <w:pPr>
        <w:spacing w:after="0" w:line="195" w:lineRule="exact"/>
        <w:rPr>
          <w:rFonts w:ascii="Times New Roman" w:cs="Times New Roman" w:eastAsia="Times New Roman" w:hAnsi="Times New Roman"/>
          <w:sz w:val="20"/>
          <w:szCs w:val="20"/>
          <w:color w:val="auto"/>
        </w:rPr>
      </w:pPr>
    </w:p>
    <w:p>
      <w:pPr>
        <w:jc w:val="both"/>
        <w:ind w:left="720" w:hanging="357"/>
        <w:spacing w:after="0" w:line="249"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during the last half of each taxable year, after the first taxable year, not more than 50% in value of the outstanding stock of which is owned, directly or indirectly, or by application of certain constructive ownership rules, by five or fewer individuals (as defined in the Code to include some entities that would not ordinarily be considered “individuals”); and</w:t>
      </w:r>
    </w:p>
    <w:p>
      <w:pPr>
        <w:spacing w:after="0" w:line="152" w:lineRule="exact"/>
        <w:rPr>
          <w:rFonts w:ascii="Times New Roman" w:cs="Times New Roman" w:eastAsia="Times New Roman" w:hAnsi="Times New Roman"/>
          <w:sz w:val="20"/>
          <w:szCs w:val="20"/>
          <w:color w:val="auto"/>
        </w:rPr>
      </w:pPr>
    </w:p>
    <w:p>
      <w:pPr>
        <w:ind w:left="720" w:hanging="357"/>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meets other tests, described below, regarding the nature of its income and assets.</w:t>
      </w:r>
    </w:p>
    <w:p>
      <w:pPr>
        <w:spacing w:after="0" w:line="195"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The Code provides that conditions (1) through (4) must be met during our entire taxable year, and that condition (5) must be met during at least 335 days of a taxable year of 12 months, or during a proportionate part of a taxable year of less than 12 months. The Charter provides for restrictions regarding transfer of our capital stock, in order to assist us in continuing to satisfy the share ownership requirements described in (5) and (6) above.</w:t>
      </w:r>
    </w:p>
    <w:p>
      <w:pPr>
        <w:spacing w:after="0" w:line="15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We will be treated as having satisfied condition (6) above if we comply with the regulatory requirements to request information from our stockholders regarding their actual ownership of our common stock, and we do not know, or in exercising reasonable diligence would not have known, that we failed to satisfy this condition. If we fail to comply with these regulatory requirements for any taxable year we will be subject to a penalty of $25,000, or $50,000 if such failure was intentional. However, if our failure to comply was due to reasonable cause and not willful neglect, no penalties will be imposed.</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80"/>
          </w:cols>
          <w:pgMar w:left="1160" w:top="1009" w:right="800" w:bottom="254" w:gutter="0" w:footer="0" w:header="0"/>
          <w:type w:val="continuous"/>
        </w:sectPr>
      </w:pPr>
    </w:p>
    <w:bookmarkStart w:id="23" w:name="page24"/>
    <w:bookmarkEnd w:id="23"/>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Gross Income Tests. </w:t>
      </w:r>
      <w:r>
        <w:rPr>
          <w:rFonts w:ascii="Times New Roman" w:cs="Times New Roman" w:eastAsia="Times New Roman" w:hAnsi="Times New Roman"/>
          <w:sz w:val="20"/>
          <w:szCs w:val="20"/>
          <w:color w:val="auto"/>
        </w:rPr>
        <w:t>We must satisfy the following two separate gross income tests each year:</w:t>
      </w:r>
    </w:p>
    <w:p>
      <w:pPr>
        <w:spacing w:after="0" w:line="209" w:lineRule="exact"/>
        <w:rPr>
          <w:sz w:val="20"/>
          <w:szCs w:val="20"/>
          <w:color w:val="auto"/>
        </w:rPr>
      </w:pPr>
    </w:p>
    <w:p>
      <w:pPr>
        <w:jc w:val="both"/>
        <w:ind w:left="720" w:hanging="357"/>
        <w:spacing w:after="0" w:line="245"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75% Gross Income Test</w:t>
      </w:r>
      <w:r>
        <w:rPr>
          <w:rFonts w:ascii="Times New Roman" w:cs="Times New Roman" w:eastAsia="Times New Roman" w:hAnsi="Times New Roman"/>
          <w:sz w:val="20"/>
          <w:szCs w:val="20"/>
          <w:color w:val="auto"/>
        </w:rPr>
        <w:t>. At least 75% of our gross income (excluding gross income from prohibited transactions,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from certain hedging transactions and certain foreign currency gains) must consist of income derived directly or indirectly from investments relating to real property or mortgages on real property (generally including rents from real property, dividends from other REITs, and interest on obligations secured by mortgages on real property or on interests in real property), or some types of temporary investment income.</w:t>
      </w:r>
    </w:p>
    <w:p>
      <w:pPr>
        <w:spacing w:after="0" w:line="174" w:lineRule="exact"/>
        <w:rPr>
          <w:rFonts w:ascii="Arial" w:cs="Arial" w:eastAsia="Arial" w:hAnsi="Arial"/>
          <w:sz w:val="20"/>
          <w:szCs w:val="20"/>
          <w:color w:val="auto"/>
        </w:rPr>
      </w:pPr>
    </w:p>
    <w:p>
      <w:pPr>
        <w:jc w:val="both"/>
        <w:ind w:left="720" w:hanging="357"/>
        <w:spacing w:after="0" w:line="248"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95% Gross Income Test</w:t>
      </w:r>
      <w:r>
        <w:rPr>
          <w:rFonts w:ascii="Times New Roman" w:cs="Times New Roman" w:eastAsia="Times New Roman" w:hAnsi="Times New Roman"/>
          <w:sz w:val="20"/>
          <w:szCs w:val="20"/>
          <w:color w:val="auto"/>
        </w:rPr>
        <w:t>. At least 95% of our gross income (excluding gross income from prohibited transactions,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from certain hedging transactions and certain foreign currency gains) must consist of items that satisfy the 75% gross income test and certain other items, including dividends, interest and gain from the sale or disposition of stock or securities (or from any combination of these types of income).</w:t>
      </w:r>
    </w:p>
    <w:p>
      <w:pPr>
        <w:spacing w:after="0" w:line="156"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Interest income that we receive will satisfy the 75% gross income test (as described above) to the extent that it is derived from a loan that is adequately secured by a mortgage on real property or on interests in real property (including, in the case of a loan secured by both real property and personal property, such personal property if it does not exceed 15% of the total fair market value of all of the property securing the loan). If a loan is secured by both real property and other property (and such other property is not treated as real property as described above), and the highest principal amount of the loan outstanding during a taxable year exceeds the fair market value of the real property securing the loan, determined as of (a) the date we agreed to acquire or originate the loan or (b) in the event of a “significant modification,” the date we modified the loan, then a part of the interest income from such loan equal to the percentage amount by which the loan exceeds the value of the real property will not be qualifying income for purposes of the 75% gross income test, but may be qualifying income for purposes of the 95% gross income test.</w:t>
      </w:r>
    </w:p>
    <w:p>
      <w:pPr>
        <w:spacing w:after="0" w:line="162"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From time to time, we may invest in mezzanine loans. The IRS has provided a safe harbor with respect to the treatment of a mezzanine loan as a loan and therefore as a qualifying asset for purposes of the REIT asset tests, but not rules of substantive law. Pursuant to the safe harbor, if a mezzanine loan meets certain requirements, it will be treated by the IRS as a qualifying real estate asset for purposes of the REIT asset tests, and interest derived from the mezzanine loan will be treated as qualifying mortgage interest for purposes of the REIT 75% income test. However, structuring a mezzanine loan to meet the requirements of the safe harbor may not always be practical. To the extent that any of our mezzanine loans do not meet all of the requirements for reliance on the safe harbor, such loans might not be properly treated as qualifying loans for REIT purposes.</w:t>
      </w:r>
    </w:p>
    <w:p>
      <w:pPr>
        <w:spacing w:after="0" w:line="160"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If we receive contingent interest that is based on the cash proceeds realized upon the sale of the property securing the loan, then the income attributable to the participation feature will be treated as gain from the sale of the underlying real property and will satisfy both the 75% and 95% gross income tests provided that the property is not held by the borrower as inventory or dealer property. Interest income that we receive from a loan in which all or a portion of the interest income payable is contingent on the gross receipts or sales of the borrower will generally be qualifying income for purposes of both the 75% and 95% gross income tests.</w:t>
      </w:r>
    </w:p>
    <w:p>
      <w:pPr>
        <w:spacing w:after="0" w:line="159"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We may receive fee income in a number of circumstances, including from loans that we originate. Fee income, including prepayment penalties, loan assumption fees and late payment charges that are not compensation for services, generally will be qualifying income for purposes of both the 75% and 95% gross income tests if it is received in consideration for us entering or having entered into an agreement to make a loan secured by real property or an interest in real property and the fees are not determined by income or profits of the borrower. Other fees generally are not qualifying income for purposes of either gross income test. Fees earned by any TRSs are not included in computing the 75% and 95% gross income tests, and thus neither assist nor hinder our compliance with these tests.</w:t>
      </w:r>
    </w:p>
    <w:p>
      <w:pPr>
        <w:spacing w:after="0" w:line="160"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Prohibited Transactions. </w:t>
      </w:r>
      <w:r>
        <w:rPr>
          <w:rFonts w:ascii="Times New Roman" w:cs="Times New Roman" w:eastAsia="Times New Roman" w:hAnsi="Times New Roman"/>
          <w:sz w:val="20"/>
          <w:szCs w:val="20"/>
          <w:color w:val="auto"/>
        </w:rPr>
        <w:t>Net income from prohibited transactions is subject to a 100% tax. The term “prohibited transaction”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assets held for at least two years and meeting certain additional requirements will not be treated as prohibited transactions, but compliance with the safe harbor may not always be practical. We intend to continue to conduct our operations so that no asset that we own (or are treated as owning) will be treated as, or as having been, held as inventory or for sale to customers and that a sale of any such asset will not be treated as having been in the ordinary course of our business.</w:t>
      </w:r>
    </w:p>
    <w:p>
      <w:pPr>
        <w:spacing w:after="0" w:line="162" w:lineRule="exact"/>
        <w:rPr>
          <w:sz w:val="20"/>
          <w:szCs w:val="20"/>
          <w:color w:val="auto"/>
        </w:rPr>
      </w:pPr>
    </w:p>
    <w:p>
      <w:pPr>
        <w:jc w:val="both"/>
        <w:ind w:firstLine="355"/>
        <w:spacing w:after="0" w:line="266" w:lineRule="auto"/>
        <w:rPr>
          <w:sz w:val="20"/>
          <w:szCs w:val="20"/>
          <w:color w:val="auto"/>
        </w:rPr>
      </w:pPr>
      <w:r>
        <w:rPr>
          <w:rFonts w:ascii="Times New Roman" w:cs="Times New Roman" w:eastAsia="Times New Roman" w:hAnsi="Times New Roman"/>
          <w:sz w:val="19"/>
          <w:szCs w:val="19"/>
          <w:i w:val="1"/>
          <w:iCs w:val="1"/>
          <w:color w:val="auto"/>
        </w:rPr>
        <w:t xml:space="preserve">Effect of Subsidiary Entities. </w:t>
      </w:r>
      <w:r>
        <w:rPr>
          <w:rFonts w:ascii="Times New Roman" w:cs="Times New Roman" w:eastAsia="Times New Roman" w:hAnsi="Times New Roman"/>
          <w:sz w:val="19"/>
          <w:szCs w:val="19"/>
          <w:color w:val="auto"/>
        </w:rPr>
        <w:t>A TRS is a corporation in which we directly or indirectly own stock and that jointly with 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elects to be treated as our TRS under Section 856(</w:t>
      </w:r>
      <w:r>
        <w:rPr>
          <w:rFonts w:ascii="Times New Roman" w:cs="Times New Roman" w:eastAsia="Times New Roman" w:hAnsi="Times New Roman"/>
          <w:sz w:val="19"/>
          <w:szCs w:val="19"/>
          <w:i w:val="1"/>
          <w:iCs w:val="1"/>
          <w:color w:val="auto"/>
        </w:rPr>
        <w:t>l</w:t>
      </w:r>
      <w:r>
        <w:rPr>
          <w:rFonts w:ascii="Times New Roman" w:cs="Times New Roman" w:eastAsia="Times New Roman" w:hAnsi="Times New Roman"/>
          <w:sz w:val="19"/>
          <w:szCs w:val="19"/>
          <w:color w:val="auto"/>
        </w:rPr>
        <w:t>) of the Code. A TRS is subject to U.S. federal income tax and state and local income tax, where applicable, as a regular C corporation. Generally, a TRS can engage in activities that, if conducted by us other than through a TRS, could result in the receipt of non-qualified income or the ownership of non-qualified assets. However,</w:t>
      </w:r>
    </w:p>
    <w:p>
      <w:pPr>
        <w:sectPr>
          <w:pgSz w:w="12240" w:h="15840" w:orient="portrait"/>
          <w:cols w:equalWidth="0" w:num="1">
            <w:col w:w="10280"/>
          </w:cols>
          <w:pgMar w:left="1160" w:top="1009" w:right="800" w:bottom="254"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80"/>
          </w:cols>
          <w:pgMar w:left="1160" w:top="1009" w:right="800" w:bottom="254" w:gutter="0" w:footer="0" w:header="0"/>
          <w:type w:val="continuous"/>
        </w:sectPr>
      </w:pPr>
    </w:p>
    <w:bookmarkStart w:id="24" w:name="page25"/>
    <w:bookmarkEnd w:id="24"/>
    <w:p>
      <w:pPr>
        <w:jc w:val="both"/>
        <w:spacing w:after="0" w:line="249" w:lineRule="auto"/>
        <w:rPr>
          <w:sz w:val="20"/>
          <w:szCs w:val="20"/>
          <w:color w:val="auto"/>
        </w:rPr>
      </w:pPr>
      <w:r>
        <w:rPr>
          <w:rFonts w:ascii="Times New Roman" w:cs="Times New Roman" w:eastAsia="Times New Roman" w:hAnsi="Times New Roman"/>
          <w:sz w:val="20"/>
          <w:szCs w:val="20"/>
          <w:color w:val="auto"/>
        </w:rPr>
        <w:t>several provisions regarding the arrangements between a REIT and its TRSs ensure that a TRS will be subject to an appropriate level of U.S. federal income taxation. For example, we will be obligated to pay a 100% penalty tax on some payments that we receive or certain other amounts or on certain expenses deducted by the TRS if the economic arrangements among us, our borrowers and/or the TRS are not comparable to similar arrangements among unrelated parties.</w:t>
      </w:r>
    </w:p>
    <w:p>
      <w:pPr>
        <w:spacing w:after="0" w:line="15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We may own interests in one or more TRSs that may receive management fee income and/or hold assets or generate income that could cause us to fail the REIT income or asset tests or subject it to the 100% tax on prohibited transactions. Our TRSs may incur significant amounts of U.S. federal, state and local income taxes and, if doing business or owning property outside of the United States, significant non-U.S. taxes.</w:t>
      </w:r>
    </w:p>
    <w:p>
      <w:pPr>
        <w:spacing w:after="0" w:line="15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Relief Provisions for Failing the 75% or the 95% Gross Income Tests. </w:t>
      </w:r>
      <w:r>
        <w:rPr>
          <w:rFonts w:ascii="Times New Roman" w:cs="Times New Roman" w:eastAsia="Times New Roman" w:hAnsi="Times New Roman"/>
          <w:sz w:val="20"/>
          <w:szCs w:val="20"/>
          <w:color w:val="auto"/>
        </w:rPr>
        <w:t>If we fail to satisfy one or both of the 75% or 95%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gross income tests for any taxable year, we may nevertheless qualify as a REIT for that year if we are entitled to relief under provisions of the Code. Relief provisions are generally available if:</w:t>
      </w:r>
    </w:p>
    <w:p>
      <w:pPr>
        <w:spacing w:after="0" w:line="161" w:lineRule="exact"/>
        <w:rPr>
          <w:sz w:val="20"/>
          <w:szCs w:val="20"/>
          <w:color w:val="auto"/>
        </w:rPr>
      </w:pPr>
    </w:p>
    <w:p>
      <w:pPr>
        <w:jc w:val="both"/>
        <w:ind w:left="720" w:hanging="357"/>
        <w:spacing w:after="0" w:line="254"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following our identification of the failure to meet the 75% or 95% gross income tests for any taxable year, we file a schedule with the IRS setting forth each item of our gross income for purposes of the 75% or 95% gross income tests for such taxable year; and</w:t>
      </w:r>
    </w:p>
    <w:p>
      <w:pPr>
        <w:spacing w:after="0" w:line="163" w:lineRule="exact"/>
        <w:rPr>
          <w:rFonts w:ascii="Arial" w:cs="Arial" w:eastAsia="Arial" w:hAnsi="Arial"/>
          <w:sz w:val="20"/>
          <w:szCs w:val="20"/>
          <w:color w:val="auto"/>
        </w:rPr>
      </w:pPr>
    </w:p>
    <w:p>
      <w:pPr>
        <w:ind w:left="720" w:hanging="357"/>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meet these tests was due to reasonable cause and not willful neglect.</w:t>
      </w:r>
    </w:p>
    <w:p>
      <w:pPr>
        <w:spacing w:after="0" w:line="194"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However, it is not possible to state whether in all circumstances we would be entitled to the benefit of these relief provisions. As discussed above, even if the relief provisions apply, a tax will be imposed with respect to some or all of our excess nonqualifying gross income, reduced by approximated expenses.</w:t>
      </w:r>
    </w:p>
    <w:p>
      <w:pPr>
        <w:spacing w:after="0" w:line="147"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i w:val="1"/>
          <w:iCs w:val="1"/>
          <w:color w:val="auto"/>
        </w:rPr>
        <w:t xml:space="preserve">Asset Tests. </w:t>
      </w:r>
      <w:r>
        <w:rPr>
          <w:rFonts w:ascii="Times New Roman" w:cs="Times New Roman" w:eastAsia="Times New Roman" w:hAnsi="Times New Roman"/>
          <w:sz w:val="20"/>
          <w:szCs w:val="20"/>
          <w:color w:val="auto"/>
        </w:rPr>
        <w:t>We must satisfy the following tests relating to the nature of our assets at the close of each quarter of our taxable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year:</w:t>
      </w:r>
    </w:p>
    <w:p>
      <w:pPr>
        <w:spacing w:after="0" w:line="145" w:lineRule="exact"/>
        <w:rPr>
          <w:sz w:val="20"/>
          <w:szCs w:val="20"/>
          <w:color w:val="auto"/>
        </w:rPr>
      </w:pPr>
    </w:p>
    <w:p>
      <w:pPr>
        <w:jc w:val="both"/>
        <w:ind w:left="720" w:hanging="357"/>
        <w:spacing w:after="0" w:line="245"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at least 75% of the value of our total assets must be represented by real estate assets (including (1) our allocable share of real estate assets held by partnerships in which we own an interest, (2) stock or debt instruments held for not more than one year purchased with the proceeds of our stock offering or long-term (at least five years) debt offering, cash and cash items (including receivables), and government securities, (3) stock in other REITs and (4) certain mortgage-backed securities and loans);</w:t>
      </w:r>
    </w:p>
    <w:p>
      <w:pPr>
        <w:spacing w:after="0" w:line="174" w:lineRule="exact"/>
        <w:rPr>
          <w:rFonts w:ascii="Arial" w:cs="Arial" w:eastAsia="Arial" w:hAnsi="Arial"/>
          <w:sz w:val="20"/>
          <w:szCs w:val="20"/>
          <w:color w:val="auto"/>
        </w:rPr>
      </w:pPr>
    </w:p>
    <w:p>
      <w:pPr>
        <w:ind w:left="720" w:hanging="357"/>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not more than 25% of our total assets may be represented by securities other than those in the 75% asset class;</w:t>
      </w:r>
    </w:p>
    <w:p>
      <w:pPr>
        <w:spacing w:after="0" w:line="208" w:lineRule="exact"/>
        <w:rPr>
          <w:rFonts w:ascii="Arial" w:cs="Arial" w:eastAsia="Arial" w:hAnsi="Arial"/>
          <w:sz w:val="20"/>
          <w:szCs w:val="20"/>
          <w:color w:val="auto"/>
        </w:rPr>
      </w:pPr>
    </w:p>
    <w:p>
      <w:pPr>
        <w:jc w:val="both"/>
        <w:ind w:left="720" w:hanging="357"/>
        <w:spacing w:after="0" w:line="24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of the investments included in the 25% asset class, the value of any one issuer’s securities owned by us may not exceed 5% of the value of our total assets (unless the issuer is a TRS), and we may not own more than 10% of the vote or value of any one issuer’s outstanding securities (unless the issuer is a TRS or we can avail ourselves of the rules relating to certain securities and “straight debt” summarized below);</w:t>
      </w:r>
    </w:p>
    <w:p>
      <w:pPr>
        <w:spacing w:after="0" w:line="170" w:lineRule="exact"/>
        <w:rPr>
          <w:rFonts w:ascii="Arial" w:cs="Arial" w:eastAsia="Arial" w:hAnsi="Arial"/>
          <w:sz w:val="20"/>
          <w:szCs w:val="20"/>
          <w:color w:val="auto"/>
        </w:rPr>
      </w:pPr>
    </w:p>
    <w:p>
      <w:pPr>
        <w:ind w:left="720" w:hanging="357"/>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not more than 25% of the value of our total assets may be represented by securities of one or more TRS; and</w:t>
      </w:r>
    </w:p>
    <w:p>
      <w:pPr>
        <w:spacing w:after="0" w:line="208" w:lineRule="exact"/>
        <w:rPr>
          <w:rFonts w:ascii="Arial" w:cs="Arial" w:eastAsia="Arial" w:hAnsi="Arial"/>
          <w:sz w:val="20"/>
          <w:szCs w:val="20"/>
          <w:color w:val="auto"/>
        </w:rPr>
      </w:pPr>
    </w:p>
    <w:p>
      <w:pPr>
        <w:ind w:left="720" w:hanging="357"/>
        <w:spacing w:after="0" w:line="272"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not more than 25% of the value of our total assets may be represented by debt instruments of publicly offered REITs that are not secured by mortgages on real property or interests in real property.</w:t>
      </w:r>
    </w:p>
    <w:p>
      <w:pPr>
        <w:spacing w:after="0" w:line="130"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The term “securities” generally includes debt securities issued by a partnership or another REIT. However, “straight debt” securities and certain other obligations, including loans to individuals or estates, certain specified loans to partnerships, certain specified rental agreements and securities issued by REITs are not treated as “securities” for purposes of the “10% value” asset test. “Straight debt” means a written unconditional promise to pay on demand or on a specified date a sum certain in cash if (i) the debt is not convertible, directly or indirectly, into stock, (ii) the interest rate and interest payment dates are not contingent on profits, the borrower’s discretion, or similar factors (subject to certain specified exceptions), and (iii) the issuer is either not a corporation or partnership, or the only securities of the issuer held by us, and certain of our TRSs, subject to a de minimis exception, are straight debt and other specified assets.</w:t>
      </w:r>
    </w:p>
    <w:p>
      <w:pPr>
        <w:spacing w:after="0" w:line="162" w:lineRule="exact"/>
        <w:rPr>
          <w:sz w:val="20"/>
          <w:szCs w:val="20"/>
          <w:color w:val="auto"/>
        </w:rPr>
      </w:pPr>
    </w:p>
    <w:p>
      <w:pPr>
        <w:jc w:val="both"/>
        <w:ind w:firstLine="355"/>
        <w:spacing w:after="0" w:line="259" w:lineRule="auto"/>
        <w:rPr>
          <w:sz w:val="20"/>
          <w:szCs w:val="20"/>
          <w:color w:val="auto"/>
        </w:rPr>
      </w:pPr>
      <w:r>
        <w:rPr>
          <w:rFonts w:ascii="Times New Roman" w:cs="Times New Roman" w:eastAsia="Times New Roman" w:hAnsi="Times New Roman"/>
          <w:sz w:val="19"/>
          <w:szCs w:val="19"/>
          <w:color w:val="auto"/>
        </w:rPr>
        <w:t>The above asset tests must be satisfied not only on the date that we acquire securities in the applicable issuer, but also at the close of each quarter in which we acquire any security or other property. After initially meeting the asset tests at the beginning of any quarter, we will not lose our REIT status if we fail to satisfy the asset tests at the end of a later quarter solely by reason of changes in the relative values of our assets. If the failure to satisfy the asset tests results from the acquisition of securities or other property during a quarter, the failure can be cured by a disposition of sufficient non-qualifying assets or acquisition of sufficient qualifying assets within 30 days after the close of that quarter. Although we plan to take steps to ensure that we satisfy such steps</w:t>
      </w:r>
    </w:p>
    <w:p>
      <w:pPr>
        <w:sectPr>
          <w:pgSz w:w="12240" w:h="15840" w:orient="portrait"/>
          <w:cols w:equalWidth="0" w:num="1">
            <w:col w:w="10280"/>
          </w:cols>
          <w:pgMar w:left="1160" w:top="1009" w:right="800" w:bottom="254"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80"/>
          </w:cols>
          <w:pgMar w:left="1160" w:top="1009" w:right="800" w:bottom="254" w:gutter="0" w:footer="0" w:header="0"/>
          <w:type w:val="continuous"/>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20"/>
          <w:szCs w:val="20"/>
          <w:color w:val="auto"/>
        </w:rPr>
        <w:t>for any quarter with respect to which retesting is to occur, there can be no assurance that such steps will always be successful, or will not require a reduction in our overall interest in an issuer. If we fail to cure the noncompliance with the asset tests within this 30-day period, we could fail to qualify as a REIT.</w:t>
      </w:r>
    </w:p>
    <w:p>
      <w:pPr>
        <w:spacing w:after="0" w:line="147"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In certain cases, we may avoid disqualification for any taxable year if we fail to satisfy the asset tests after the 30-day cure period. We will be deemed to have met certain of the REIT asset tests if the value of our non-qualifying assets for such tests (i) does not exceed the lesser of (a) 1% of the total value of our assets at the end of the applicable quarter or (b) $10,000,000, and (ii) we dispose of the non-qualifying assets within six months after the last day of the quarter in which the failure to satisfy the asset tests is discovered. For violations due to reasonable cause rather than willful neglect that are in excess of the de minimis exception described above, we may avoid disqualification as a REIT, after the 30-day cure period, by taking steps including (i) the disposition of sufficient assets to meet the asset test within six months after the last day of the quarter in which the failure to satisfy the asset tests is discovered, (ii) paying a tax equal to the greater of (a) $50,000 or (b) the highest corporate tax rate multiplied by the net income generated by the non-qualifying assets, and (iii) disclosing certain information to the IRS. If we fail the asset test and cannot avail ourselves of these relief provisions, we may fail to qualify as a REIT.</w:t>
      </w:r>
    </w:p>
    <w:p>
      <w:pPr>
        <w:spacing w:after="0" w:line="162" w:lineRule="exact"/>
        <w:rPr>
          <w:sz w:val="20"/>
          <w:szCs w:val="20"/>
          <w:color w:val="auto"/>
        </w:rPr>
      </w:pPr>
    </w:p>
    <w:p>
      <w:pPr>
        <w:jc w:val="both"/>
        <w:ind w:firstLine="355"/>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Annual Distribution Requirements. </w:t>
      </w:r>
      <w:r>
        <w:rPr>
          <w:rFonts w:ascii="Times New Roman" w:cs="Times New Roman" w:eastAsia="Times New Roman" w:hAnsi="Times New Roman"/>
          <w:sz w:val="20"/>
          <w:szCs w:val="20"/>
          <w:color w:val="auto"/>
        </w:rPr>
        <w:t>We are required to distribute dividends (other than capital gain dividends) to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stockholders in an amount at least equal to (i) the sum of (a) 90% of our REIT taxable income (computed without regard to the dividends paid deduction and our net capital gain) and (b) 90% of the net income (after tax), if any, from foreclosure property, minus (ii) the sum of specified items of noncash income. Dividends must be paid in the taxable year to which they relate, or in the following taxable year if declared before we timely file our tax return for that year and if paid on or before the first regular dividend payment after the declaration. To the extent that we do not distribute all of our net capital gain or distribute at least 90%, but less than 100%, of our REIT taxable income, as adjusted, we will be subject to tax on the undistributed amount at regular ordinary and capital gains corporate tax rates, as applicable. We may designate all or a portion of our undistributed net capital gains as being includable in the income of our stockholders as gain from the sale or exchange of a capital asset. If so, the stockholders receive an increase in the basis of their stock in the amount of the income recognized. Stockholders are also to be treated as having paid their proportionate share of the capital gains tax imposed on us on the undistributed amounts and receive a corresponding decrease in the basis of their stock. Furthermore, if we should fail to distribute during each calendar year at least the sum of (1) 85% of our REIT ordinary income for that year, (2) 95% of our REIT capital gain net income for that year and (3) any undistributed taxable income from prior periods, we would be subject to a 4% excise tax on the excess of the Required Distribution over the sum of (a) the amounts actually distributed and (b) the undistributed amounts on which certain taxes are imposed on us. We intend to make timely distributions sufficient to satisfy all annual distribution requirements.</w:t>
      </w:r>
    </w:p>
    <w:p>
      <w:pPr>
        <w:spacing w:after="0" w:line="172"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From time to time, we may experience timing differences between (1) the actual receipt of income and actual payment of deductible expenses and (2) the inclusion of that income and deduction of those expenses in arriving at our taxable income. Further, from time to time, we may be allocated a share of net capital gain attributable to the sale of depreciated property that exceeds our allocable share of cash attributable to that sale. Additionally, we may incur cash expenditures that are not currently deductible for tax purposes. As such, we may have less cash available for distribution than is necessary to meet our annual 90% distribution requirement or to avoid tax with respect to capital gain or the excise tax imposed on specified undistributed income. To meet the 90% distribution requirement necessary to qualify as a REIT or to avoid tax with respect to capital gain or the excise tax imposed on specified undistributed income, we may find it appropriate to arrange for short-term (or possibly long-term) borrowings or to pay distributions in the form of taxable stock dividends (discussed immediately below) or engage in other potentially adverse transactions.</w:t>
      </w:r>
    </w:p>
    <w:p>
      <w:pPr>
        <w:spacing w:after="0" w:line="162"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Under some circumstances, we may be able to rectify a failure to meet the distribution requirement for a year by paying “deficiency dividends” to stockholders in a later year, which may be included in our deduction for dividends paid for the earlier year. Thus, we may be able to avoid being disqualified as a REIT or taxed on amounts distributed as deficiency dividends. However, we will be required to pay interest based upon the amount of any deduction taken for deficiency dividends.</w:t>
      </w:r>
    </w:p>
    <w:p>
      <w:pPr>
        <w:spacing w:after="0" w:line="15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Record Keeping Requirements. </w:t>
      </w:r>
      <w:r>
        <w:rPr>
          <w:rFonts w:ascii="Times New Roman" w:cs="Times New Roman" w:eastAsia="Times New Roman" w:hAnsi="Times New Roman"/>
          <w:sz w:val="20"/>
          <w:szCs w:val="20"/>
          <w:color w:val="auto"/>
        </w:rPr>
        <w:t>To elect taxation as a REIT under applicable Treasury regulations, we must maintain records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request information from our stockholders designed to disclose the actual ownership of our stock. We intend to comply with these requirements.</w:t>
      </w:r>
    </w:p>
    <w:p>
      <w:pPr>
        <w:spacing w:after="0" w:line="147"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Affiliated REITs. </w:t>
      </w:r>
      <w:r>
        <w:rPr>
          <w:rFonts w:ascii="Times New Roman" w:cs="Times New Roman" w:eastAsia="Times New Roman" w:hAnsi="Times New Roman"/>
          <w:sz w:val="20"/>
          <w:szCs w:val="20"/>
          <w:color w:val="auto"/>
        </w:rPr>
        <w:t>If any REIT in which we acquire an interest fails to qualify for taxation as a REIT in any taxable year,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failure could, depending on the circumstances, adversely affect our ability to satisfy the various asset and income requirements applicable to REITs, including the requirement that REITs generally may not own, directly or indirectly, more than 10% of the securities of another corporation that is not a REIT or a TRS, as further described above.</w:t>
      </w:r>
    </w:p>
    <w:p>
      <w:pPr>
        <w:spacing w:after="0" w:line="153" w:lineRule="exact"/>
        <w:rPr>
          <w:sz w:val="20"/>
          <w:szCs w:val="20"/>
          <w:color w:val="auto"/>
        </w:rPr>
      </w:pPr>
    </w:p>
    <w:p>
      <w:pPr>
        <w:jc w:val="both"/>
        <w:ind w:firstLine="355"/>
        <w:spacing w:after="0" w:line="274" w:lineRule="auto"/>
        <w:rPr>
          <w:sz w:val="20"/>
          <w:szCs w:val="20"/>
          <w:color w:val="auto"/>
        </w:rPr>
      </w:pPr>
      <w:r>
        <w:rPr>
          <w:rFonts w:ascii="Times New Roman" w:cs="Times New Roman" w:eastAsia="Times New Roman" w:hAnsi="Times New Roman"/>
          <w:sz w:val="19"/>
          <w:szCs w:val="19"/>
          <w:b w:val="1"/>
          <w:bCs w:val="1"/>
          <w:i w:val="1"/>
          <w:iCs w:val="1"/>
          <w:color w:val="auto"/>
        </w:rPr>
        <w:t xml:space="preserve">Failure to Qualify as a REIT. </w:t>
      </w:r>
      <w:r>
        <w:rPr>
          <w:rFonts w:ascii="Times New Roman" w:cs="Times New Roman" w:eastAsia="Times New Roman" w:hAnsi="Times New Roman"/>
          <w:sz w:val="19"/>
          <w:szCs w:val="19"/>
          <w:color w:val="auto"/>
        </w:rPr>
        <w:t>If we fail to qualify for taxation as a REIT for U.S. federal income tax purposes in any taxable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year and the relief provisions do not apply, we will be subject to tax on our taxable income at regular corporate rates. Distributions to stockholders in any year in which we fail to qualify will not be deductible by us, nor will we be required to make</w:t>
      </w:r>
    </w:p>
    <w:p>
      <w:pPr>
        <w:sectPr>
          <w:pgSz w:w="12240" w:h="15840" w:orient="portrait"/>
          <w:cols w:equalWidth="0" w:num="1">
            <w:col w:w="10280"/>
          </w:cols>
          <w:pgMar w:left="1160" w:top="1009" w:right="800" w:bottom="254"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80"/>
          </w:cols>
          <w:pgMar w:left="1160" w:top="1009" w:right="800" w:bottom="254" w:gutter="0" w:footer="0" w:header="0"/>
          <w:type w:val="continuous"/>
        </w:sectPr>
      </w:pPr>
    </w:p>
    <w:bookmarkStart w:id="26" w:name="page27"/>
    <w:bookmarkEnd w:id="26"/>
    <w:p>
      <w:pPr>
        <w:jc w:val="both"/>
        <w:spacing w:after="0" w:line="244" w:lineRule="auto"/>
        <w:rPr>
          <w:sz w:val="20"/>
          <w:szCs w:val="20"/>
          <w:color w:val="auto"/>
        </w:rPr>
      </w:pPr>
      <w:r>
        <w:rPr>
          <w:rFonts w:ascii="Times New Roman" w:cs="Times New Roman" w:eastAsia="Times New Roman" w:hAnsi="Times New Roman"/>
          <w:sz w:val="20"/>
          <w:szCs w:val="20"/>
          <w:color w:val="auto"/>
        </w:rPr>
        <w:t>those distributions. If we fail to so qualify and the relief provisions do not apply, to the extent of current and accumulated earnings and profits, all distributions to stockholders generally will be taxable at capital gain rates if certain minimum holding period requirements are met, and, subject to specified limitations of the Code, corporate distributees may be eligible for the dividends received deduction. Unless entitled to relief under specific statutory provisions, we will also be disqualified from taxation as a REIT for the four taxable years following the year during which we ceased to qualify as a REIT. It is not possible to state whether in all circumstances we would be entitled to statutory relief.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Environment</w:t>
      </w:r>
    </w:p>
    <w:p>
      <w:pPr>
        <w:spacing w:after="0" w:line="199"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Our operations are subject to regulation, supervision, and licensing under various Canadian provincial, and United States, state and local statutes, ordinances and regulations. In general, lending is a highly regulated industry in the United States and we are required to comply with, among other statutes and regulations, certain provisions of the Equal Credit Opportunity Act, the USA Patriot Act, regulations promulgated by the Office of Foreign Assets Control, and U.S. federal and state securities laws and regulations. In addition, certain states have adopted laws or regulations that may, among other requirements, require licensing of lenders and financiers, prescribe disclosures of certain contractual terms, impose limitations on interest rates and other charges, and limit or prohibit certain collection practices and creditor remedies. We are required to comply with the applicable laws and regulations in the states in which we do business. We actively monitor proposed changes to relevant legal and regulatory requirements in order to maintain our compliance.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Dodd-Frank Act</w:t>
      </w:r>
    </w:p>
    <w:p>
      <w:pPr>
        <w:spacing w:after="0" w:line="193" w:lineRule="exact"/>
        <w:rPr>
          <w:sz w:val="20"/>
          <w:szCs w:val="20"/>
          <w:color w:val="auto"/>
        </w:rPr>
      </w:pPr>
    </w:p>
    <w:p>
      <w:pPr>
        <w:jc w:val="both"/>
        <w:ind w:firstLine="355"/>
        <w:spacing w:after="0" w:line="259" w:lineRule="auto"/>
        <w:rPr>
          <w:sz w:val="20"/>
          <w:szCs w:val="20"/>
          <w:color w:val="auto"/>
        </w:rPr>
      </w:pPr>
      <w:r>
        <w:rPr>
          <w:rFonts w:ascii="Times New Roman" w:cs="Times New Roman" w:eastAsia="Times New Roman" w:hAnsi="Times New Roman"/>
          <w:sz w:val="19"/>
          <w:szCs w:val="19"/>
          <w:color w:val="auto"/>
        </w:rPr>
        <w:t>The Dodd-Frank Wall Street Reform and Consumer Protection Act (the "Dodd-Frank Act") made significant structural reforms to the financial services industry. For example, pursuant to the Dodd-Frank Act, various federal agencies have promulgated, or are in the process of promulgating, regulations with respect to various issues that may affect our Company. Certain regulations have already been adopted and others remain under consideration by various governmental agencies, in some cases past the deadlines set in the Dodd-Frank Act for adoption. It is possible that regulations that will be adopted in the future will apply to us or that existing regulations that are currently not applicable to us will begin to apply to us as our business evolves.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Company Act</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have not been and are not currently required to be registered under the Investment Company Act pursuant to Section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3(c)(5) of the Investment Company Act.</w:t>
      </w:r>
    </w:p>
    <w:p>
      <w:pPr>
        <w:spacing w:after="0" w:line="167"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Section 3(a)(1)(A) of the Investment Company Act defines an investment company as any issuer that is or holds itself out as being engaged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which we refer to as the 40% test. Real estate mortgages are excluded from the term “investment securities.”</w:t>
      </w:r>
    </w:p>
    <w:p>
      <w:pPr>
        <w:spacing w:after="0" w:line="159"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We rely on the exception set forth in Section 3(c)(5) of the Investment Company Act, which excludes from the definition of investment company “[a]ny person who is not engaged in the business of issuing redeemable securities, face-amount certificates of the installment type or periodic payment plan certificates, and who is primarily engaged in one or more of the following business . . . (C) purchasing or otherwise acquiring mortgages and other liens on and interests in real estate.” The SEC generally requires that, for the exception provided by Section 3(c)(5) to be available, at least 55% of an entity’s assets be comprised of mortgages and other liens on and interests in real estate, also known as “qualifying interests,” and at least another 25% of the entity’s assets must be comprised of additional qualifying interests or real estate-type interests (with no more than 20% of the entity’s assets comprised of miscellaneous assets). We believe we qualify for the exemption under this section and our current intention is to continue to focus on originating and investing in loans collateralized by real estate so that at least 55% of our assets are “qualifying interests” and no more than 20% of our assets are miscellaneous assets. However, if, in the future, we do acquire assets that do not meet this test, we may qualify as an “investment company” and be required to register as such under the Investment Company Act, which could have a material adverse effect on us.</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80"/>
          </w:cols>
          <w:pgMar w:left="1160" w:top="1009" w:right="800" w:bottom="254" w:gutter="0" w:footer="0" w:header="0"/>
          <w:type w:val="continuous"/>
        </w:sectPr>
      </w:pPr>
    </w:p>
    <w:bookmarkStart w:id="27" w:name="page28"/>
    <w:bookmarkEnd w:id="27"/>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The Investment Company Act provides certain protections and imposes certain restrictions on registered investment companies, none of which are currently applicable to us. Our governing documents do not permit any transfer of shares of our common stock that would result in us becoming subject to regulation as an investment company. If we were required to register as an investment company under the Investment Company Act, we would become subject to substantial regulation with respect to our capital structure (including our ability to use leverage), management, operations, transactions with affiliated persons (as defined in the Investment Company Act), portfolio composition, including restrictions with respect to diversification and industry concentration, and other matters.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Laws Applicable to the Cannabis Industry</w:t>
      </w:r>
    </w:p>
    <w:p>
      <w:pPr>
        <w:spacing w:after="0" w:line="193"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9"/>
          <w:szCs w:val="19"/>
          <w:color w:val="auto"/>
        </w:rPr>
        <w:t>Cannabis (with the exception of hemp containing no more than 0.3% THC by dry weight) is illegal under U.S. federal law. In those states in which the use of cannabis has been legalized, its use remains a violation of federal law pursuant to the Controlled Substances Act of 1970 (the “CSA”)</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The CSA classifies marijuana (cannabis) as a Schedule I controlled substance, and as such, both medical and adult use cannabis are illegal under U.S. federal law. Moreover, on two separate occasions the U.S. Supreme Court ruled that the CSA trumps state law. That means that the federal government may enforce U.S. drug laws against companies operating in accordance with state cannabis laws, creating a climate of legal uncertainty regarding the production and sale of cannabis. Unless and until Congress amends the CSA with respect to cannabis (and the President approves such amendment), there is a risk that the federal law enforcement authorities responsible for enforcing the CSA, including the U.S. Department of Justice (“DOJ”) and the Drug Enforcement Agency (“DEA”), may enforce current federal law. Because federal enforcement is currently left to the discretion of the DOJ, the federal government’s cannabis policy is dictated by the Attorney General and their directives. Federal marijuana enforcement policy, therefore, can change any time a new Attorney General is appointed. This has resulted in several changes in DOJ policy over the last decade, as discussed further below.</w:t>
      </w:r>
    </w:p>
    <w:p>
      <w:pPr>
        <w:spacing w:after="0" w:line="152"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Under the Obama administration, the DOJ previously issued memoranda, including the so-called “Cole Memo” on August 29, 2013, providing internal guidance to federal prosecutors concerning enforcement of federal cannabis prohibitions under the CSA. This guidance essentially characterized use of federal law enforcement resources to prosecute those complying with state laws allowing the use, manufacture and distribution of cannabis as an inefficient use of such federal resources where states have enacted laws legalizing cannabis in some form and have also implemented strong and effective regulatory and enforcement systems to control the cultivation, processing, distribution, sale and possession of cannabis. Conduct in compliance with those laws and regulations was not a priority for the DOJ. Instead, the Cole Memo identified a list of federal enforcement priorities, including preventing interstate diversion or distribution of cannabis to minors, to focus enforcement efforts against operations that implicated these priorities.</w:t>
      </w:r>
    </w:p>
    <w:p>
      <w:pPr>
        <w:spacing w:after="0" w:line="166"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On January 4, 2018, then-U.S. Attorney General Jeff Sessions issued a written memorandum rescinding the Cole Memo and related internal guidance issued by the DOJ regarding federal law enforcement priorities involving cannabis (the “Sessions Memo”). The Sessions Memo instructs federal prosecutors to enforce the laws enacted by Congress and to follow well-established principles that govern all federal prosecutors when deciding whether to pursue prosecutions related to cannabis activities. As a result, federal prosecutors could, and still can, use their prosecutorial discretion to decide to prosecute actors compliant with their state laws. The Sessions Memo states that “these principles require federal prosecutors deciding which cases to prosecute to weigh all relevant considerations, including federal law enforcement priorities set by the Attorney General, the seriousness of the crime, the deterrent effect of criminal prosecution, and the cumulative impact of particular crimes on the community.” The Sessions Memo went on to state that given the DOJ’s well-established general principles, “previous nationwide guidance specific to marijuana is unnecessary and is rescinded, effective immediately.” Although there have not been any identified prosecutions of state law compliant cannabis entities, there can be no assurance that the federal government will not enforce federal laws relating to cannabis in the future and it remains unclear what impact the Sessions Memo will have on the regulated cannabis industry,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-875030</wp:posOffset>
            </wp:positionV>
            <wp:extent cx="6553835" cy="721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6553835" cy="721995"/>
                    </a:xfrm>
                    <a:prstGeom prst="rect">
                      <a:avLst/>
                    </a:prstGeom>
                    <a:noFill/>
                  </pic:spPr>
                </pic:pic>
              </a:graphicData>
            </a:graphic>
          </wp:anchor>
        </w:drawing>
      </w:r>
    </w:p>
    <w:p>
      <w:pPr>
        <w:spacing w:after="0" w:line="144"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Jeff Sessions resigned as U.S. Attorney General on November 7, 2018. On February 14, 2019, William Barr was confirmed as U.S. Attorney General. However, in a written response to questions from U.S. Senator Cory Booker made as a nominee, Attorney General Barr stated “I do not intend to go after parties who have complied with state law in reliance on the Cole Memo.” The DOJ under Mr. Barr did not take a formal position on federal enforcement of laws relating to cannabis. Mr. Barr has stated publicly that his preference would be to have a uniform federal rule against cannabis, but, absent such a uniform rule, his preference would be to permit the existing federal approach of leaving it up to the states to make their own decisions. Attorney General Garland indicated that he did not intend to prosecute state-legal marijuana programs, and testified to Congress in March of 2023 that the DOJ intended to release a new policy memorandum that would be similar in content to the Cole Memorandum. The new DOJ Memorandum, however, has not yet been released, and there can be no assurances that DOJ or other law enforcement authorities will not seek to vigorously enforce existing laws.</w:t>
      </w:r>
    </w:p>
    <w:p>
      <w:pPr>
        <w:spacing w:after="0" w:line="162"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In August 2023, the U.S. Department of Health and Human Services (“HHS”) recommended to the DEA that cannabis be reclassified from a Schedule I drug to a Schedule III drug under the CSA. HHS based this recommendation on a Food and Drug</w:t>
      </w:r>
    </w:p>
    <w:p>
      <w:pPr>
        <w:sectPr>
          <w:pgSz w:w="12240" w:h="15840" w:orient="portrait"/>
          <w:cols w:equalWidth="0" w:num="1">
            <w:col w:w="10280"/>
          </w:cols>
          <w:pgMar w:left="1160" w:top="1009" w:right="800" w:bottom="254"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80"/>
          </w:cols>
          <w:pgMar w:left="1160" w:top="1009" w:right="800" w:bottom="254" w:gutter="0" w:footer="0" w:header="0"/>
          <w:type w:val="continuous"/>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20"/>
          <w:szCs w:val="20"/>
          <w:color w:val="auto"/>
        </w:rPr>
        <w:t>Administration (“FDA”) review of cannabis’ classification pursuant to President Biden’s executive order in October 2022. The process for reclassification will require DEA approval and likely complex administrative rulemaking proceedings, and it remains unclear how long this process will take and the scope of any final decisions or rules.</w:t>
      </w:r>
    </w:p>
    <w:p>
      <w:pPr>
        <w:spacing w:after="0" w:line="147" w:lineRule="exact"/>
        <w:rPr>
          <w:sz w:val="20"/>
          <w:szCs w:val="20"/>
          <w:color w:val="auto"/>
        </w:rPr>
      </w:pPr>
    </w:p>
    <w:p>
      <w:pPr>
        <w:jc w:val="both"/>
        <w:ind w:firstLine="355"/>
        <w:spacing w:after="0" w:line="239" w:lineRule="auto"/>
        <w:rPr>
          <w:sz w:val="20"/>
          <w:szCs w:val="20"/>
          <w:color w:val="auto"/>
        </w:rPr>
      </w:pPr>
      <w:r>
        <w:rPr>
          <w:rFonts w:ascii="Times New Roman" w:cs="Times New Roman" w:eastAsia="Times New Roman" w:hAnsi="Times New Roman"/>
          <w:sz w:val="20"/>
          <w:szCs w:val="20"/>
          <w:color w:val="auto"/>
        </w:rPr>
        <w:t xml:space="preserve">One legislative safeguard for the medical cannabis industry, appended to federal appropriations legislation, remains in place. Commonly referred to as the “Rohrabacher-Blumenauer” or “Rohrabacher-Farr” Amendment, this so-called “rider” provision has been appended to the Consolidated Appropriations Acts since 2015. Under the terms of the Rohrabacher-Blumenauer rider, the federal government is prohibited from using congressionally appropriated funds to enforce federal cannabis laws against regulated medical cannabis actors operating in compliance with state and local law. On December 27, 2020, Congress passed an omnibus spending bill that again included the Rohrabacher-Blumenauer Amendment, extending its application until September 30, 2021. The amendment was renewed through September 2023 as a rider to the 2022 Consolidated Appropriations Act, and has been extended through a series of short-term spending bills. There is no assurance that Congress will approve inclusion of a similar prohibition on DOJ spending in the appropriations bills for future years. In </w:t>
      </w:r>
      <w:r>
        <w:rPr>
          <w:rFonts w:ascii="Times New Roman" w:cs="Times New Roman" w:eastAsia="Times New Roman" w:hAnsi="Times New Roman"/>
          <w:sz w:val="20"/>
          <w:szCs w:val="20"/>
          <w:i w:val="1"/>
          <w:iCs w:val="1"/>
          <w:color w:val="auto"/>
        </w:rPr>
        <w:t>United States v. McIntosh</w:t>
      </w:r>
      <w:r>
        <w:rPr>
          <w:rFonts w:ascii="Times New Roman" w:cs="Times New Roman" w:eastAsia="Times New Roman" w:hAnsi="Times New Roman"/>
          <w:sz w:val="20"/>
          <w:szCs w:val="20"/>
          <w:color w:val="auto"/>
        </w:rPr>
        <w:t xml:space="preserve">, the United States Circuit Court of Appeals for the Ninth Circuit held that this provision prohibits the DOJ from spending funds from relevant appropriations acts to prosecute individuals who engage in conduct permitted by state medical-use cannabis laws and who “strictly” comply with such laws. However, the Ninth Circuit’s opinion, which only applies in the states of Alaska, Arizona, California, Hawaii and Idaho, also held that persons who do not strictly comply with all state laws and regulations regarding the distribution, possession and cultivation of medical-use cannabis have engaged in conduct that is unauthorized, and in such instances the DOJ may prosecute those individuals. Similarly, the United States Circuit Court for the First Circuit also considered the Rohrabacher-Blumenauer amendment in </w:t>
      </w:r>
      <w:r>
        <w:rPr>
          <w:rFonts w:ascii="Times New Roman" w:cs="Times New Roman" w:eastAsia="Times New Roman" w:hAnsi="Times New Roman"/>
          <w:sz w:val="20"/>
          <w:szCs w:val="20"/>
          <w:i w:val="1"/>
          <w:iCs w:val="1"/>
          <w:color w:val="auto"/>
        </w:rPr>
        <w:t>United States v. Bilodeau</w:t>
      </w:r>
      <w:r>
        <w:rPr>
          <w:rFonts w:ascii="Times New Roman" w:cs="Times New Roman" w:eastAsia="Times New Roman" w:hAnsi="Times New Roman"/>
          <w:sz w:val="20"/>
          <w:szCs w:val="20"/>
          <w:color w:val="auto"/>
        </w:rPr>
        <w:t xml:space="preserve"> and likewise concluded that the Amendment does not prohibit federal prosecution of persons and entities engaged in medical cannabis operations that violate state law. In that same opinion, however, the Court concluded that “strict” compliance with the law is not necessary, such that technical noncompliance could not lead to prosecution. The key question, per the First Circuit, is whether a federal prosecution would limit the state’s ability to implement its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-2750820</wp:posOffset>
            </wp:positionV>
            <wp:extent cx="6554470" cy="721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6554470" cy="721995"/>
                    </a:xfrm>
                    <a:prstGeom prst="rect">
                      <a:avLst/>
                    </a:prstGeom>
                    <a:noFill/>
                  </pic:spPr>
                </pic:pic>
              </a:graphicData>
            </a:graphic>
          </wp:anchor>
        </w:drawing>
      </w:r>
    </w:p>
    <w:p>
      <w:pPr>
        <w:spacing w:after="0" w:line="145"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Federal prosecutors have significant discretion and no assurance can be given that the federal prosecutor in each judicial district where our borrowers operate will not choose to strictly enforce the federal laws governing cannabis production, processing or distribution. Any change in the federal government’s enforcement posture with respect to state-licensed cannabis operators, including the enforcement postures of individual federal prosecutors in judicial districts where our borrowers operate, would result in our inability to execute our business plan, and we would likely suffer significant losses with respect to our investments, which would adversely affect the trading price of our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State Laws Applicable to the Cannabis Industry</w:t>
      </w:r>
    </w:p>
    <w:p>
      <w:pPr>
        <w:spacing w:after="0" w:line="193"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In most states that have legalized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Local governments in some cases also impose rules and regulations on the manner of operating cannabis businesses. As a result, applicable state and local laws and regulations vary widely, including, but not limited to, product testing, the level of enforcement by state and local authorities on non-licensed cannabis operators, state and local taxation of regulated cannabis products, local municipality bans on operations and operator licensing processes and renewals. As of December 31, 2025, forty-two states, the District of Columbia, Puerto Rico, the Virgin Islands, the Northern Mariana Islands, and Guam have legalized the sale of cannabis for certain medical purposes. Twenty-four of those states, the District of Columbia, Guam, and Northern Mariana Islands have legalized the sale of cannabis for adults for adult or recreational use.</w:t>
      </w:r>
    </w:p>
    <w:p>
      <w:pPr>
        <w:spacing w:after="0" w:line="390"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There is no guarantee that state laws legalizing and regulating the sale and use of cannabis will not be repealed, amended or overturned, or that local governmental authorities will not limit the applicability of state laws within their respective jurisdictions. Unless and until the United States Congress amends or repeals the CSA with respect to medical and/or adult-use cannabis (and as to the timing or scope of any such potential amendment or repeal there can be no assurance), there is a risk that federal authorities may enforce current federal law. If the federal government begins to enforce federal laws relating to cannabis in states where the sale and use of cannabis is currently legal, or if existing applicable state laws are repealed or curtailed, our business, results of operations, financial condition and prospects would be materially adversely affected.</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80"/>
          </w:cols>
          <w:pgMar w:left="1160" w:top="1009" w:right="800" w:bottom="254"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i w:val="1"/>
          <w:iCs w:val="1"/>
          <w:color w:val="auto"/>
        </w:rPr>
        <w:t>Laws Applicable to Financial Services for Cannabis Industry</w:t>
      </w:r>
    </w:p>
    <w:p>
      <w:pPr>
        <w:spacing w:after="0" w:line="193"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All banks are subject to federal law, whether the bank is a national bank or state-chartered bank. At a minimum, all banks maintain federal deposit insurance which requires adherence to federal law. Violation of federal law could subject a bank to loss of its charter. Financial transactions involving proceeds generated by cannabis-related conduct can form the basis for prosecution under the federal money laundering statutes, unlicensed money transmitter statutes and the Bank Secrecy Act. For example, under the Bank Secrecy Act, banks must report to the federal government any suspected illegal activity, which would include any transaction associated with a cannabis-related business. These reports must be filed even though the business is operating in compliance with applicable state and local laws. Therefore, financial institutions that conduct transactions with money generated by cannabis-related conduct could face criminal liability under the Bank Secrecy Act for, among other things, failing to identify or report financial transactions that involve the proceeds of cannabis-related violations of the CSA.</w:t>
      </w:r>
    </w:p>
    <w:p>
      <w:pPr>
        <w:spacing w:after="0" w:line="166" w:lineRule="exact"/>
        <w:rPr>
          <w:sz w:val="20"/>
          <w:szCs w:val="20"/>
          <w:color w:val="auto"/>
        </w:rPr>
      </w:pPr>
    </w:p>
    <w:p>
      <w:pPr>
        <w:jc w:val="both"/>
        <w:ind w:firstLine="355"/>
        <w:spacing w:after="0" w:line="239" w:lineRule="auto"/>
        <w:rPr>
          <w:sz w:val="20"/>
          <w:szCs w:val="20"/>
          <w:color w:val="auto"/>
        </w:rPr>
      </w:pPr>
      <w:r>
        <w:rPr>
          <w:rFonts w:ascii="Times New Roman" w:cs="Times New Roman" w:eastAsia="Times New Roman" w:hAnsi="Times New Roman"/>
          <w:sz w:val="20"/>
          <w:szCs w:val="20"/>
          <w:color w:val="auto"/>
        </w:rPr>
        <w:t>Despite these laws, the U.S. Department of the Treasury’s Financial Crimes Enforcement Network (“FinCEN”) issued a guidance document on February 14, 2014 (the “FinCEN Guidance”) outlining the expectations for financial institutions who choose to provide banking services to state-sanctioned cannabis businesses in compliance with federal enforcement priorities. It should be noted that the FinCEN Guidance is a guidance document only, does not have the force of law, and does not provide immunity from, or a safe harbor against, potential federal enforcement. Concurrently with the FinCEN Guidance, the DOJ issued supplemental guidance directing federal prosecutors to consider the federal enforcement priorities enumerated in the Cole Memo with respect to federal money laundering, unlicensed money transmitter and Bank Secrecy Act offenses based on cannabis-related violations of the CSA. The FinCEN Guidance sets forth extensive requirements for financial institutions to meet if they choose to offer banking services to cannabis-related businesses and echoed the enforcement priorities of the Cole Memo. Under these guidelines, financial institutions must submit a Suspicious Activity Report (“SAR”) in connection with all cannabis-related banking activities by any client of such financial institution, in accordance with federal money laundering laws. These cannabis-related SARs are divided into three categories – cannabis limited, cannabis priority, and cannabis terminated – based on the financial institution’s belief that the business in question follows state law, is operating outside of compliance with state law, or where the banking relationship has been terminated, respectively. This is a level of scrutiny that is far beyond what is expected of any normal banking relationship.</w:t>
      </w:r>
    </w:p>
    <w:p>
      <w:pPr>
        <w:spacing w:after="0" w:line="17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As a result, many banks are hesitant to offer any banking services to cannabis-related businesses, including opening bank accounts. While we currently maintain banking relationships, our inability to maintain those accounts or the lack of access to bank accounts or other banking services in the future, would make it difficult for us to operate our business, increase our operating costs, and pose additional operational, logistical and security challenges. Similarly, if our borrowers are unable to access banking services, they will not be able to enter into loan agreements with us, as our agreements require interest payments to be made by check or wire transfer.</w:t>
      </w:r>
    </w:p>
    <w:p>
      <w:pPr>
        <w:spacing w:after="0" w:line="159" w:lineRule="exact"/>
        <w:rPr>
          <w:sz w:val="20"/>
          <w:szCs w:val="20"/>
          <w:color w:val="auto"/>
        </w:rPr>
      </w:pPr>
    </w:p>
    <w:p>
      <w:pPr>
        <w:jc w:val="both"/>
        <w:ind w:firstLine="355"/>
        <w:spacing w:after="0" w:line="258" w:lineRule="auto"/>
        <w:rPr>
          <w:sz w:val="20"/>
          <w:szCs w:val="20"/>
          <w:color w:val="auto"/>
        </w:rPr>
      </w:pPr>
      <w:r>
        <w:rPr>
          <w:rFonts w:ascii="Times New Roman" w:cs="Times New Roman" w:eastAsia="Times New Roman" w:hAnsi="Times New Roman"/>
          <w:sz w:val="19"/>
          <w:szCs w:val="19"/>
          <w:color w:val="auto"/>
        </w:rPr>
        <w:t>The rescission of the Cole Memo has not affected the status of the FinCEN Guidance, nor has the Department of the Treasury given any indication that it intends to rescind the FinCEN Guidance itself. Although the FinCEN Guidance remains intact, it is unclear whether the current administration will continue to follow the guidelines of the FinCEN Guidance.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DOJ’s prosecuting banks and financial institutions for crimes that were not previously prosecuted.</w:t>
      </w:r>
    </w:p>
    <w:p>
      <w:pPr>
        <w:spacing w:after="0" w:line="145"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The increased uncertainty surrounding financial transactions related to cannabis activities may also result in financial institutions discontinuing services to the cannabis industry.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business has not been, and we do not expect it to become subject to, material seasonal fluctuations.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99"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We are externally-managed by our Manager and do not have any employees. Our officers also serve as officers or employees of our Manager and/or its affiliates. Our Manager’s employees have extensive financing capabilities and experience in originating, underwriting and managing real estate and cash flow financings. We believe our relationship with our Manager provides us with a robust relationship network of cannabis industry operators as well as significant back-office personnel to assist in origination and management of our loan portfolio. Our Manager’s employees are a valuable asset to our operations, and we believe each person is an integral member of the team and is meaningful to our continued success.</w:t>
      </w:r>
    </w:p>
    <w:p>
      <w:pPr>
        <w:sectPr>
          <w:pgSz w:w="12240" w:h="15840" w:orient="portrait"/>
          <w:cols w:equalWidth="0" w:num="1">
            <w:col w:w="10280"/>
          </w:cols>
          <w:pgMar w:left="1160" w:top="1011"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80"/>
          </w:cols>
          <w:pgMar w:left="1160" w:top="1011" w:right="800" w:bottom="254" w:gutter="0" w:footer="0" w:header="0"/>
          <w:type w:val="continuous"/>
        </w:sectPr>
      </w:pPr>
    </w:p>
    <w:bookmarkStart w:id="30" w:name="page31"/>
    <w:bookmarkEnd w:id="30"/>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Our Manager’s team meets regularly as a full team where each member is encouraged to actively participate in a wide range of topics relating to our operations. We believe that our Manager’s ability to attract, develop, engage and retain key personnel is essential to our operations. While we are a young company, having commenced operations in March 2021 and completed our IPO in December 2021, we believe our Manager provides a committed team of employees with substantial experience in each aspect of our operations, including cash flow and real estate lending, construction and real estate development, portfolio management, corporate finance and capital markets.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99"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 xml:space="preserve">We file with or submit to the SEC annual, quarterly, and current periodic reports, proxy statements and other information meeting the informational requirements of the Securities Exchange Act of 1934 (the “Exchange Act”). This information is available on our website at </w:t>
      </w:r>
      <w:r>
        <w:rPr>
          <w:rFonts w:ascii="Times New Roman" w:cs="Times New Roman" w:eastAsia="Times New Roman" w:hAnsi="Times New Roman"/>
          <w:sz w:val="20"/>
          <w:szCs w:val="20"/>
          <w:i w:val="1"/>
          <w:iCs w:val="1"/>
          <w:color w:val="auto"/>
        </w:rPr>
        <w:t>www.refi.reit.</w:t>
      </w:r>
      <w:r>
        <w:rPr>
          <w:rFonts w:ascii="Times New Roman" w:cs="Times New Roman" w:eastAsia="Times New Roman" w:hAnsi="Times New Roman"/>
          <w:sz w:val="20"/>
          <w:szCs w:val="20"/>
          <w:color w:val="auto"/>
        </w:rPr>
        <w:t xml:space="preserve"> The information on our website is not deemed incorporated by reference in this Annual Report. These documents also may be accessed through the SEC’s electronic data gathering, analysis and retrieval system via electronic means, including on the SEC’s homepage, which can be found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i w:val="1"/>
          <w:iCs w:val="1"/>
          <w:color w:val="auto"/>
        </w:rPr>
        <w:t>An investment in our common stock involves a high degree of risk and should be considered highly speculative. Before making an investment decision, you should carefully consider the following risk factors, which address the material risks concerning our business and an investment in our common stock. If any of the risks discussed below occur, our business, prospects, liquidity, internal rate of return, financial condition and results of operations, and our ability to make distributions to our stockholders could be materially and adversely affected, in which case the value of our common stock could decline significantly and you could lose all or part of your investment. Some statements in the following risk factors constitute forward-looking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following is a summary of the principal risks and uncertainties that could adversely affect our business, cash flows, financial condition and/or results of operations, and these adverse impacts may be material. This summary is qualified in its entirety by reference to the more detailed descriptions of the risks and uncertainties included in this Item 1A below and you should read this summary together with those more detailed descriptions. These principal risk and uncertainties relate to, among other things: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Growth Strategy</w:t>
      </w:r>
    </w:p>
    <w:p>
      <w:pPr>
        <w:spacing w:after="0" w:line="243" w:lineRule="exact"/>
        <w:rPr>
          <w:sz w:val="20"/>
          <w:szCs w:val="20"/>
          <w:color w:val="auto"/>
        </w:rPr>
      </w:pPr>
    </w:p>
    <w:p>
      <w:pPr>
        <w:ind w:left="980" w:hanging="362"/>
        <w:spacing w:after="0" w:line="272"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We have limited operating history and may not be able to successfully operate our business, integrate new assets and/or manage our growth or to generate sufficient revenue to make or sustain distributions to our stockholders.</w:t>
      </w:r>
    </w:p>
    <w:p>
      <w:pPr>
        <w:spacing w:after="0" w:line="174"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for the capital that we provide may reduce the return of our loans, which could adversely affect our operating results and financial condition.</w:t>
      </w:r>
    </w:p>
    <w:p>
      <w:pPr>
        <w:spacing w:after="0" w:line="174" w:lineRule="exact"/>
        <w:rPr>
          <w:rFonts w:ascii="Arial" w:cs="Arial" w:eastAsia="Arial" w:hAnsi="Arial"/>
          <w:sz w:val="20"/>
          <w:szCs w:val="20"/>
          <w:color w:val="auto"/>
        </w:rPr>
      </w:pPr>
    </w:p>
    <w:p>
      <w:pPr>
        <w:jc w:val="both"/>
        <w:ind w:left="980" w:hanging="362"/>
        <w:spacing w:after="0" w:line="245"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We are externally managed by our Manager and our growth and success depends on our Manager, its key personnel and investment professionals, and our Manager’s ability to make loans on favorable terms that satisfy our investment strategy and otherwise generate attractive risk-adjusted returns. If our Manager overestimates the yields or incorrectly prices the risks of our loans or if there are any adverse changes in our relationship with our Manager, we may experience losses.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Cannabis Industry and Related Regulations</w:t>
      </w:r>
    </w:p>
    <w:p>
      <w:pPr>
        <w:spacing w:after="0" w:line="243" w:lineRule="exact"/>
        <w:rPr>
          <w:sz w:val="20"/>
          <w:szCs w:val="20"/>
          <w:color w:val="auto"/>
        </w:rPr>
      </w:pPr>
    </w:p>
    <w:p>
      <w:pPr>
        <w:jc w:val="both"/>
        <w:ind w:left="980" w:hanging="362"/>
        <w:spacing w:after="0" w:line="254"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We provide loans to established companies operating in the cannabis industry, which involves significant risks, including the risk to our business of strict enforcement against our borrowers of the federal illegality of cannabis, and the lack of liquidity of such loans. As a result, we could lose all or part of any of our loans.</w:t>
      </w:r>
    </w:p>
    <w:p>
      <w:pPr>
        <w:spacing w:after="0" w:line="192" w:lineRule="exact"/>
        <w:rPr>
          <w:rFonts w:ascii="Arial" w:cs="Arial" w:eastAsia="Arial" w:hAnsi="Arial"/>
          <w:sz w:val="20"/>
          <w:szCs w:val="20"/>
          <w:color w:val="auto"/>
        </w:rPr>
      </w:pPr>
    </w:p>
    <w:p>
      <w:pPr>
        <w:jc w:val="both"/>
        <w:ind w:left="980" w:hanging="362"/>
        <w:spacing w:after="0" w:line="266" w:lineRule="auto"/>
        <w:tabs>
          <w:tab w:leader="none" w:pos="980" w:val="left"/>
        </w:tabs>
        <w:numPr>
          <w:ilvl w:val="0"/>
          <w:numId w:val="25"/>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grow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our business under our current business plan and could materially adversely affect our business.</w:t>
      </w:r>
    </w:p>
    <w:p>
      <w:pPr>
        <w:spacing w:after="0" w:line="181" w:lineRule="exact"/>
        <w:rPr>
          <w:rFonts w:ascii="Arial" w:cs="Arial" w:eastAsia="Arial" w:hAnsi="Arial"/>
          <w:sz w:val="19"/>
          <w:szCs w:val="19"/>
          <w:color w:val="auto"/>
        </w:rPr>
      </w:pPr>
    </w:p>
    <w:p>
      <w:pPr>
        <w:jc w:val="both"/>
        <w:ind w:left="980" w:hanging="362"/>
        <w:spacing w:after="0" w:line="254"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We will not own real estate as long as it is used in cannabis-related operations due to current statutory prohibitions and exchange listing standards, which may delay or limit our remedies in the event that any of our borrowers default under the terms of their mortgage loans with us.</w:t>
      </w:r>
    </w:p>
    <w:p>
      <w:pPr>
        <w:sectPr>
          <w:pgSz w:w="12240" w:h="15840" w:orient="portrait"/>
          <w:cols w:equalWidth="0" w:num="1">
            <w:col w:w="10280"/>
          </w:cols>
          <w:pgMar w:left="1160" w:top="1009" w:right="800" w:bottom="254"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80"/>
          </w:cols>
          <w:pgMar w:left="1160" w:top="1009" w:right="800" w:bottom="254" w:gutter="0" w:footer="0" w:header="0"/>
          <w:type w:val="continuous"/>
        </w:sectPr>
      </w:pPr>
    </w:p>
    <w:bookmarkStart w:id="31" w:name="page32"/>
    <w:bookmarkEnd w:id="31"/>
    <w:p>
      <w:pPr>
        <w:jc w:val="both"/>
        <w:ind w:left="980" w:hanging="362"/>
        <w:spacing w:after="0" w:line="254"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If we foreclose on properties securing our loans, we may have difficulty selling the properties due to the nature of specialized industrial cultivation/processing cannabis properties and the potentially limited number of high-quality operators for such properties, as well as for retail/dispensary cannabis properties.</w:t>
      </w:r>
    </w:p>
    <w:p>
      <w:pPr>
        <w:spacing w:after="0" w:line="192"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Certain assets of our borrowers may not be used as collateral or transferred to us due to applicable state laws and regulations governing the cannabis industry, and such restrictions could negatively impact our profitability.</w:t>
      </w:r>
    </w:p>
    <w:p>
      <w:pPr>
        <w:spacing w:after="0" w:line="174"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As a debt investor, we are often not in a position to exert influence on borrowers, and the stockholders and management of such companies may make decisions with which we disagree that could decrease the value of loans to such borrower.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Sources of Financing Our Business</w:t>
      </w:r>
    </w:p>
    <w:p>
      <w:pPr>
        <w:spacing w:after="0" w:line="243" w:lineRule="exact"/>
        <w:rPr>
          <w:sz w:val="20"/>
          <w:szCs w:val="20"/>
          <w:color w:val="auto"/>
        </w:rPr>
      </w:pPr>
    </w:p>
    <w:p>
      <w:pPr>
        <w:ind w:left="980" w:hanging="362"/>
        <w:spacing w:after="0"/>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Our growth depends on external sources of capital, which may not be available on favorable terms or at all.</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Interest rate fluctuations could increase our financing costs, which could lead to a significant decrease in our results of operations, cash flows and the market value of our loans.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 and Structure</w:t>
      </w:r>
    </w:p>
    <w:p>
      <w:pPr>
        <w:spacing w:after="0" w:line="243" w:lineRule="exact"/>
        <w:rPr>
          <w:sz w:val="20"/>
          <w:szCs w:val="20"/>
          <w:color w:val="auto"/>
        </w:rPr>
      </w:pPr>
    </w:p>
    <w:p>
      <w:pPr>
        <w:jc w:val="both"/>
        <w:ind w:left="980" w:hanging="362"/>
        <w:spacing w:after="0" w:line="254"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various conflicts of interest in our relationship with our Manager, including conflicts created by our Manager’s compensation arrangements with us, which could result in decisions that are not in the best interests of our stockholders.</w:t>
      </w:r>
    </w:p>
    <w:p>
      <w:pPr>
        <w:spacing w:after="0" w:line="192"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Maintenance of our exemption from registration under the Investment Company Act may impose significant limits on our operations. Your investment return may be reduced if we are required to register as an investment company under the Investment Company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Taxation as a REIT</w:t>
      </w:r>
    </w:p>
    <w:p>
      <w:pPr>
        <w:spacing w:after="0" w:line="243" w:lineRule="exact"/>
        <w:rPr>
          <w:sz w:val="20"/>
          <w:szCs w:val="20"/>
          <w:color w:val="auto"/>
        </w:rPr>
      </w:pPr>
    </w:p>
    <w:p>
      <w:pPr>
        <w:ind w:left="980" w:hanging="362"/>
        <w:spacing w:after="0" w:line="272"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maintain our qualification as a REIT for U.S. federal income tax purposes would cause us to be taxed as a regular corporation, which would substantially reduce funds available for distributions to our stockholders.</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We may incur significant debt, and our governing documents contain no limit on the amount of debt we may incur.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243" w:lineRule="exact"/>
        <w:rPr>
          <w:sz w:val="20"/>
          <w:szCs w:val="20"/>
          <w:color w:val="auto"/>
        </w:rPr>
      </w:pPr>
    </w:p>
    <w:p>
      <w:pPr>
        <w:jc w:val="both"/>
        <w:ind w:left="980" w:hanging="362"/>
        <w:spacing w:after="0" w:line="254"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We may in the future pay distributions from sources other than our cash flow from operations, including borrowings, offering proceeds or the sale of assets, which means we would have less funds available for investments or less income-producing assets, which may reduce a shareholder's total return.</w:t>
      </w:r>
    </w:p>
    <w:p>
      <w:pPr>
        <w:spacing w:after="0" w:line="192" w:lineRule="exact"/>
        <w:rPr>
          <w:rFonts w:ascii="Arial" w:cs="Arial" w:eastAsia="Arial" w:hAnsi="Arial"/>
          <w:sz w:val="20"/>
          <w:szCs w:val="20"/>
          <w:color w:val="auto"/>
        </w:rPr>
      </w:pPr>
    </w:p>
    <w:p>
      <w:pPr>
        <w:ind w:left="980" w:hanging="362"/>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value of our common stock may be volatile and could decline substantially.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Growth Strategy</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We have limited operating history and may not be able to operate our business successfully or to generate sufficient revenue to make or sustain distributions to our stockholders.</w:t>
      </w:r>
    </w:p>
    <w:p>
      <w:pPr>
        <w:spacing w:after="0" w:line="163"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We were formed on March 30, 2021, and are subject to all of the business risks and uncertainties associated with businesses with limited operating history, including the risk that we will not achieve our investment objective and that the value of your investment could decline substantially. We cannot assure you that we will be able to operate our business profitably or successfully implement our operating policies. Our ability to provide attractive returns to our stockholders is dependent on our ability both to generate sufficient cash flow to pay our investors attractive distributions and to achieve capital appreciation, and we cannot assure you that we will be able to do either. There can be no assurance that we will be able to generate sufficient revenue from operations to pay our operating expenses and make or sustain distributions to stockholders. Our limited resources may also materially and adversely impact our ability to successfully implement our business plan. The results of our operations and the implementation of our business plan depend on several factors, including the availability of opportunities to make loans,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80"/>
          </w:cols>
          <w:pgMar w:left="1160" w:top="1251" w:right="800" w:bottom="254"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the availability of adequate equity and debt financing, the federal and state regulatory environment relating to the cannabis industry (which are described below under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Risks Related to the Cannabis Industry and Related Regulations</w:t>
      </w:r>
      <w:r>
        <w:rPr>
          <w:rFonts w:ascii="Times New Roman" w:cs="Times New Roman" w:eastAsia="Times New Roman" w:hAnsi="Times New Roman"/>
          <w:sz w:val="20"/>
          <w:szCs w:val="20"/>
          <w:color w:val="auto"/>
        </w:rPr>
        <w:t>”), conditions in the financial markets and economic conditions.</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Competition for the capital that we provide may reduce the return of our loans, which could adversely affect our operating results and financial condition.</w:t>
      </w:r>
    </w:p>
    <w:p>
      <w:pPr>
        <w:spacing w:after="0" w:line="163"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We compete as an alternative financing provider of debt financing to companies in the cannabis industry. Several competitors have entered the marketplace, and these competitors may prevent us from making attractive loans on favorable terms. Our competitors may have greater resources than we do and may be able to compete more effectively as a capital provider. In particular, larger companies may enjoy significant competitive advantages that result from, among other things, a lower cost of capital and enhanced operating efficiencies.</w:t>
      </w:r>
    </w:p>
    <w:p>
      <w:pPr>
        <w:spacing w:after="0" w:line="186"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Additionally, some of our competitors may have higher risk tolerances or different risk assessments, which could allow them to consider a wider variety of loans, deploy more aggressive pricing and establish more relationships than us. Our competitors may also adopt loan structures similar to ours, which would decrease our competitive advantage in offering flexible loan terms. In addition, due to a number of factors (including, but not limited to, potentially greater clarity and/or unification of the laws and regulations governing cannabis by states and the federal government, including through federal legislation or descheduling of cannabis, which may, in turn, encourage additional federally-chartered banks to provide their services to cannabis-related businesses), the number of entities and the amount of funds competing to provide suitable capital may increase, resulting in loans with terms less favorable to investors. Moreover, we strategically benefit from the cannabis industry’s currently constrained access to U.S. capital markets and if such access is broadened, including if the New York Stock Exchange (the “NYSE”) and/or the Nasdaq Stock Market were to permit the listing of plant-touching cannabis companies in the U.S., the demand among U.S. cannabis companies for private equity investments and debt financings, including our target loans, may materially decrease and could result in our competing with financial institutions that we otherwise would not. Any of the foregoing may lead to a decrease in our profitability, and you may experience a lower return on your investment. Increased competition in providing capital may also preclude us from making loans that would generate attractive returns to 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loans’ lack of liquidity may adversely affect our business.</w:t>
      </w:r>
    </w:p>
    <w:p>
      <w:pPr>
        <w:spacing w:after="0" w:line="223" w:lineRule="exact"/>
        <w:rPr>
          <w:sz w:val="20"/>
          <w:szCs w:val="20"/>
          <w:color w:val="auto"/>
        </w:rPr>
      </w:pPr>
    </w:p>
    <w:p>
      <w:pPr>
        <w:jc w:val="both"/>
        <w:ind w:firstLine="709"/>
        <w:spacing w:after="0" w:line="252" w:lineRule="auto"/>
        <w:rPr>
          <w:sz w:val="20"/>
          <w:szCs w:val="20"/>
          <w:color w:val="auto"/>
        </w:rPr>
      </w:pPr>
      <w:r>
        <w:rPr>
          <w:rFonts w:ascii="Times New Roman" w:cs="Times New Roman" w:eastAsia="Times New Roman" w:hAnsi="Times New Roman"/>
          <w:sz w:val="19"/>
          <w:szCs w:val="19"/>
          <w:color w:val="auto"/>
        </w:rPr>
        <w:t>Our existing portfolio includes, and our future loans will likely include, loans for which no public market exists, which are less liquid than publicly traded debt securities and other securities. Certain of our target investments such as secured loans, mezzanine and other loans (including participations) and preferred equity, in particular, are also particularly illiquid due to a variety of factors, which may include a short life, potential unsuitability for securitization and greater difficulty of recovery in the event of a default or insolvency by the company to which we have provided a loan. The illiquidity of our loans may make it difficult for us to sell such loans if the need or desire arises. Further, applicable laws and regulations restricting the ownership and transferability of loans to regulated cannabis companies in conjunction with many parties not wishing to invest in cannabis businesses as a result of cannabis being federally illegal may make it difficult for us to sell or transfer such loans to third parties. In addition, many of the loans we make, to the extent they constitute securities, will not be registered under the relevant securities laws, resulting in a prohibition against their transfer, sale, pledge or disposition except in a transaction that is exempt from the registration requirements of, or otherwise in accordance with, those laws. As a result, we may be unable to dispose of such loans in a timely manner or at all. If we are required and able to liquidate all or a portion of our portfolio quickly, we could realize significantly less value than that which we had previously recorded for our loans and we cannot assure you that we will be able to sell our assets at a profit in the future. Further, we may face other restrictions on our ability to liquidate a loan in a company to the extent that we or our Manager have or could be attributed as having material, non-public information regarding such company. Our ability to vary our portfolio in response to changes in economic, regulatory and other conditions or changes in our strategic plan may therefore be relatively limited, which could adversely affect our results of operations and financial condition.</w:t>
      </w:r>
    </w:p>
    <w:p>
      <w:pPr>
        <w:spacing w:after="0" w:line="1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Our investments are subject to risks particular to real property. These risks may result in a reduction or elimination of or return from an investment secured by a particular property.</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Real estate investments are subject to various risks, including:</w:t>
      </w:r>
    </w:p>
    <w:p>
      <w:pPr>
        <w:spacing w:after="0" w:line="239" w:lineRule="exact"/>
        <w:rPr>
          <w:sz w:val="20"/>
          <w:szCs w:val="20"/>
          <w:color w:val="auto"/>
        </w:rPr>
      </w:pPr>
    </w:p>
    <w:p>
      <w:pPr>
        <w:ind w:left="980" w:hanging="362"/>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acts of nature, including earthquakes, floods and other natural disasters, which may result in uninsured losses;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acts of war or terrorism, including the consequences of such acts;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adverse changes in national and local economic and market conditions;</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80"/>
          </w:cols>
          <w:pgMar w:left="1160" w:top="1009" w:right="800" w:bottom="254" w:gutter="0" w:footer="0" w:header="0"/>
          <w:type w:val="continuous"/>
        </w:sectPr>
      </w:pPr>
    </w:p>
    <w:bookmarkStart w:id="33" w:name="page34"/>
    <w:bookmarkEnd w:id="33"/>
    <w:p>
      <w:pPr>
        <w:ind w:left="980" w:hanging="362"/>
        <w:spacing w:after="0" w:line="272"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governmental laws and regulations, fiscal policies and zoning ordinances and the related costs of compliance with laws and regulations and ordinances;</w:t>
      </w:r>
    </w:p>
    <w:p>
      <w:pPr>
        <w:spacing w:after="0" w:line="174"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costs of remediation and liabilities associated with environmental conditions including, but not limited to, indoor mold; and</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uninsured or under-insured property losses.</w:t>
      </w: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If any of these or similar events occur, it may cause borrowers to default on their obligations to us and, thereby, reduce our return from an affected property or investment and reduce or eliminate our ability to pay dividends to stockholders.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 of our assets may be subject to recourse.</w:t>
      </w:r>
    </w:p>
    <w:p>
      <w:pPr>
        <w:spacing w:after="0" w:line="223"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All of our assets may be available to satisfy all of our liabilities and other obligations. If we become subject to a liability, parties seeking to have the liability satisfied may have recourse to our assets generally and not be limited to any particular asset, such as the asset representing the investment giving rise to the liability.</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Our existing portfolio is, and our future portfolio may be, concentrated in a limited number of loans, which subjects us to an increased risk of significant loss if any asset declines in value or if a particular borrower fails to perform as expected.</w:t>
      </w:r>
    </w:p>
    <w:p>
      <w:pPr>
        <w:spacing w:after="0" w:line="163" w:lineRule="exact"/>
        <w:rPr>
          <w:sz w:val="20"/>
          <w:szCs w:val="20"/>
          <w:color w:val="auto"/>
        </w:rPr>
      </w:pPr>
    </w:p>
    <w:p>
      <w:pPr>
        <w:jc w:val="both"/>
        <w:ind w:firstLine="709"/>
        <w:spacing w:after="0" w:line="256" w:lineRule="auto"/>
        <w:rPr>
          <w:sz w:val="20"/>
          <w:szCs w:val="20"/>
          <w:color w:val="auto"/>
        </w:rPr>
      </w:pPr>
      <w:r>
        <w:rPr>
          <w:rFonts w:ascii="Times New Roman" w:cs="Times New Roman" w:eastAsia="Times New Roman" w:hAnsi="Times New Roman"/>
          <w:sz w:val="19"/>
          <w:szCs w:val="19"/>
          <w:color w:val="auto"/>
        </w:rPr>
        <w:t>Our existing portfolio is, and our future loans may be, concentrated in a limited number of loans. If a significant loan to one or more companies fails to perform as expected, such failure could have a material adverse effect on our business, financial condition and operating results, and the magnitude of such effect could be more significant than if we had further diversified our portfolio. A consequence of this limited number of loans is that the aggregate returns we realize may be significantly adversely affected if a small number of loans perform poorly, if we need to write down the value of any one loan, if a loan is repaid prior to maturity and we are not able to promptly redeploy the proceeds and/or if an issuer is unable to obtain and maintain commercial success. While we intend to diversify our portfolio of loans as we deem prudent, we do not have fixed guidelines for diversification. As a result, our portfolio could be concentrated in relatively few loans and in a limited number of borrowers.</w:t>
      </w:r>
    </w:p>
    <w:p>
      <w:pPr>
        <w:spacing w:after="0" w:line="182"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Our portfolio of loans is concentrated in certain property types or in particular industries, such as cannabis, that may be subject to higher risk of default, or secured by properties concentrated in a limited number of geographic locations, economic and business downturns relating generally to such region or type of asset which may result in defaults on a number of our loans within a short time period, which may reduce our net income and the value of our common stock and accordingly reduce our ability to pay dividends to our stockholders. Further, since we focus on limited-license states, there may be fewer, if any, buyers for a distressed property. Accordingly, we may not be able to receive the full value of the collateral if we exercise our remedies under our loan in connection with a default.</w:t>
      </w:r>
    </w:p>
    <w:p>
      <w:pPr>
        <w:spacing w:after="0" w:line="189"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We may lend to multiple borrowers that share a common sponsor. We do not have a limit on the amount of total principal that can be held by multiple borrowers that share the same sponsor. We may face greater credit risk to the extent a large portion of our portfolio is concentrated in loans to multiple borrowers that share the same sponsor.</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Our existing portfolio contains loans to companies with operations that are geographically concentrated in a number of states with particular concentration Florida, Illinois, Ohio and Pennsylvania, and we will be subject to social, political and economic risks of doing business in those states and any other state in which we in the future have lending exposure.</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existing portfolio contains loans to companies with operations that are geographically concentrated in a number of states with particular concentration in Florida, Illinois, Ohio and Pennsylvania. While our investment strategy includes a focus on providing loans to companies with operations in states that limit the number of cannabis license issuances in order to protect the value of our collateral, circumstances and developments related to operations in these markets that could negatively affect our business, financial condition, liquidity and results of operations include, but are not limited to, the following factors:</w:t>
      </w:r>
    </w:p>
    <w:p>
      <w:pPr>
        <w:spacing w:after="0" w:line="200" w:lineRule="exact"/>
        <w:rPr>
          <w:sz w:val="20"/>
          <w:szCs w:val="20"/>
          <w:color w:val="auto"/>
        </w:rPr>
      </w:pPr>
    </w:p>
    <w:p>
      <w:pPr>
        <w:ind w:left="980" w:hanging="362"/>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development and growth of applicable state cannabis markets;</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responsibility of complying with multiple and likely conflicting state and federal laws, including with respect to retail sale, distribution, cultivation and manufacturing of cannabis, licensing, banking, and insurance;</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unexpected changes in regulatory requirements and other laws;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and costs of managing operations in certain locations;</w:t>
      </w:r>
    </w:p>
    <w:p>
      <w:pPr>
        <w:sectPr>
          <w:pgSz w:w="12240" w:h="15840" w:orient="portrait"/>
          <w:cols w:equalWidth="0" w:num="1">
            <w:col w:w="10280"/>
          </w:cols>
          <w:pgMar w:left="1160" w:top="1023" w:right="800" w:bottom="254"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80"/>
          </w:cols>
          <w:pgMar w:left="1160" w:top="1023" w:right="800" w:bottom="254" w:gutter="0" w:footer="0" w:header="0"/>
          <w:type w:val="continuous"/>
        </w:sectPr>
      </w:pPr>
    </w:p>
    <w:bookmarkStart w:id="34" w:name="page35"/>
    <w:bookmarkEnd w:id="34"/>
    <w:p>
      <w:pPr>
        <w:ind w:left="980" w:hanging="362"/>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potentially adverse tax consequences;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national, regional or state specific business cycles and economic instability; and</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access to capital may be more restricted, or unavailable on favorable terms or at all in certain locations.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We will not own real estate as long as it is used in cannabis-related operations due to current statutory prohibitions and exchange listing standards, which may delay or limit our remedies in the event that any of our borrowers default under the terms of their mortgage loans with us.</w:t>
      </w:r>
    </w:p>
    <w:p>
      <w:pPr>
        <w:spacing w:after="0" w:line="177" w:lineRule="exact"/>
        <w:rPr>
          <w:sz w:val="20"/>
          <w:szCs w:val="20"/>
          <w:color w:val="auto"/>
        </w:rPr>
      </w:pPr>
    </w:p>
    <w:p>
      <w:pPr>
        <w:jc w:val="both"/>
        <w:ind w:firstLine="709"/>
        <w:spacing w:after="0" w:line="239" w:lineRule="auto"/>
        <w:rPr>
          <w:sz w:val="20"/>
          <w:szCs w:val="20"/>
          <w:color w:val="auto"/>
        </w:rPr>
      </w:pPr>
      <w:r>
        <w:rPr>
          <w:rFonts w:ascii="Times New Roman" w:cs="Times New Roman" w:eastAsia="Times New Roman" w:hAnsi="Times New Roman"/>
          <w:sz w:val="20"/>
          <w:szCs w:val="20"/>
          <w:color w:val="auto"/>
        </w:rPr>
        <w:t>Although we will have the contractual ability to foreclose on, and take title to, the properties securing our mortgage loans upon a default by the borrower, we will not take title to and own such real estate as long as it is used in cannabis-related operations due to current statutory prohibitions, including Section 856 of the U.S. Controlled Substances Act of 1970, as amended (the “CSA”), which relates to, among other things, the management or control of properties that are used for the manufacturing, distributing or using of any controlled substances. Taking title to real estate used in cannabis-related activities or owning equity in cannabis-related businesses would also violate NASDAQ listing requirements, which require that an issuer’s business be conducted in compliance with all applicable laws and regulations. As a result, in the event of a borrower default, to the extent we determine that taking title to the underlying real estate is the optimal method of maximizing recovery on the defaulted loan, we will be forced to evict the borrower from the real estate and engage a third party to ensure all cannabis is removed from the subject property prior to taking possession. The regulatory requirements related to real property used in cannabis-related operations may cause significant delays or difficulties in transferring a property to another cannabis operator. In addition, any alternative uses of cannabis-related properties may be limited due to the specialized nature of the facilities or may be less profitable than the cannabis-related operations, which would adversely affect the value of the collateral securing our loans and could result in us selling the property at a loss. Any of the foregoing could have a material adverse effect on our business, financial condition, results of operations and ability to make distributions to our stockholders.</w:t>
      </w:r>
    </w:p>
    <w:p>
      <w:pPr>
        <w:spacing w:after="0" w:line="203"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While we may instead pursue other remedies upon any defaults by our borrowers, including forcing a sale of the property to another cannabis operator, pursuing a judicial foreclosure and execution thereof through a sheriff’s sale without taking title to the property or using the property for non-cannabis related operations, there can be no assurances that such remedies will be as effective as us taking direct ownership of a property used in cannabis-related operations.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Loans to relatively new and/or small companies and companies operating in the cannabis industry generally involve significant risks.</w:t>
      </w:r>
    </w:p>
    <w:p>
      <w:pPr>
        <w:spacing w:after="0" w:line="163"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We primarily seek to provide loans to established companies operating in the cannabis industry, but because the cannabis industry is relatively new and rapidly evolving, some of these companies may be relatively new and/or small companies. Loans to relatively new and/or small companies operating in the cannabis industry generally involve a number of significant risks, including, but not limited to, the following:</w:t>
      </w:r>
    </w:p>
    <w:p>
      <w:pPr>
        <w:spacing w:after="0" w:line="197" w:lineRule="exact"/>
        <w:rPr>
          <w:sz w:val="20"/>
          <w:szCs w:val="20"/>
          <w:color w:val="auto"/>
        </w:rPr>
      </w:pPr>
    </w:p>
    <w:p>
      <w:pPr>
        <w:jc w:val="both"/>
        <w:ind w:left="980" w:hanging="362"/>
        <w:spacing w:after="0" w:line="254"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these companies may have limited financial resources and may be unable to meet their obligations, which may be accompanied by a deterioration in the value of any collateral securing our loan and a reduction in the likelihood of us realizing a return on our loan;</w:t>
      </w:r>
    </w:p>
    <w:p>
      <w:pPr>
        <w:spacing w:after="0" w:line="192"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they typically have shorter operating histories, narrower product lines and smaller market shares than larger and more established businesses, which tend to render them more vulnerable to competitors’ actions and market conditions (including conditions in the cannabis industry), as well as general economic downturns;</w:t>
      </w:r>
    </w:p>
    <w:p>
      <w:pPr>
        <w:spacing w:after="0" w:line="192"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they typically depend on the management talents and efforts of a small group of persons; therefore, the death, disability, resignation or termination of one or more of these persons could have a material adverse effect on such borrower and, in turn, on us;</w:t>
      </w:r>
    </w:p>
    <w:p>
      <w:pPr>
        <w:spacing w:after="0" w:line="192" w:lineRule="exact"/>
        <w:rPr>
          <w:rFonts w:ascii="Arial" w:cs="Arial" w:eastAsia="Arial" w:hAnsi="Arial"/>
          <w:sz w:val="20"/>
          <w:szCs w:val="20"/>
          <w:color w:val="auto"/>
        </w:rPr>
      </w:pPr>
    </w:p>
    <w:p>
      <w:pPr>
        <w:jc w:val="both"/>
        <w:ind w:left="980" w:hanging="362"/>
        <w:spacing w:after="0" w:line="248"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there is generally less public information about these companies. Unless publicly traded, these companies and their financial information are generally not subject to the regulations that govern public companies, and we may be unable to uncover all material information about these companies, which may prevent us from making a fully informed lending decision and cause us to lose money on our loans;</w:t>
      </w:r>
    </w:p>
    <w:p>
      <w:pPr>
        <w:spacing w:after="0" w:line="199"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they generally have less predictable operating results and may require substantial additional capital to support their operations, finance expansion or maintain their competitive position;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80"/>
          </w:cols>
          <w:pgMar w:left="1160" w:top="1251" w:right="800" w:bottom="254" w:gutter="0" w:footer="0" w:header="0"/>
        </w:sectPr>
      </w:pPr>
    </w:p>
    <w:bookmarkStart w:id="35" w:name="page36"/>
    <w:bookmarkEnd w:id="35"/>
    <w:p>
      <w:pPr>
        <w:jc w:val="both"/>
        <w:ind w:left="980" w:hanging="362"/>
        <w:spacing w:after="0" w:line="254"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we, our executive officers and directors and our Manager may, in the ordinary course of business, be named as defendants in litigation arising from our loans to such borrowers and may, as a result, incur significant costs and expenses in connection with such litigation;</w:t>
      </w:r>
    </w:p>
    <w:p>
      <w:pPr>
        <w:spacing w:after="0" w:line="192"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and regulations, as well as their interpretations, may have a disproportionate adverse effect on their business, financial structure or prospects compared to those of larger and more established companies; and</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they may have difficulty accessing capital from other providers on favorable terms or at all.</w:t>
      </w:r>
    </w:p>
    <w:p>
      <w:pPr>
        <w:spacing w:after="0" w:line="224" w:lineRule="exact"/>
        <w:rPr>
          <w:sz w:val="20"/>
          <w:szCs w:val="20"/>
          <w:color w:val="auto"/>
        </w:rPr>
      </w:pPr>
    </w:p>
    <w:p>
      <w:pPr>
        <w:jc w:val="both"/>
        <w:ind w:firstLine="709"/>
        <w:spacing w:after="0" w:line="272" w:lineRule="auto"/>
        <w:rPr>
          <w:sz w:val="20"/>
          <w:szCs w:val="20"/>
          <w:color w:val="auto"/>
        </w:rPr>
      </w:pPr>
      <w:r>
        <w:rPr>
          <w:rFonts w:ascii="Times New Roman" w:cs="Times New Roman" w:eastAsia="Times New Roman" w:hAnsi="Times New Roman"/>
          <w:sz w:val="20"/>
          <w:szCs w:val="20"/>
          <w:color w:val="auto"/>
        </w:rPr>
        <w:t>While we have historically experienced a limited number of payment defaults, there can be no assurance that we will not experience other defaults in the future.</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successfully integrate new assets and manage our growth, our results of operations and financial condition may suffer.</w:t>
      </w:r>
    </w:p>
    <w:p>
      <w:pPr>
        <w:spacing w:after="0" w:line="163"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We may in the future significantly increase the size and/or change the mix of our portfolio of assets. We may be unable to successfully and efficiently integrate new assets into our existing portfolio or otherwise effectively manage our assets or our growth effectively. In addition, increases in our portfolio of assets and/or changes in the mix of our assets may place significant demands on our Manager’s administrative, operational, asset management, financial and other resources. Any failure to manage increases in size effectively could adversely affect our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need to foreclose on loans that are in default, which could result in losses.</w:t>
      </w:r>
    </w:p>
    <w:p>
      <w:pPr>
        <w:spacing w:after="0" w:line="223"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We may find it necessary to foreclose on loans that are in default. Foreclosure processes are often lengthy and expensive. Results of foreclosure processes may be uncertain, as claims may be asserted by the relevant borrower or by other creditors or investors in such borrower that interfere with enforcement of our rights, such as claims that challenge the validity or enforceability of our loan or the priority or perfection of our security interests. Our borrowers may resist foreclosure actions by asserting numerous claims, counterclaims and defenses against us, including, without limitation, lender liability claims and defenses, even when the assertions may have no merit, in an effort to prolong the foreclosure action and seek to force us into a modification or buy-out of our loan for less than we are owed. Additionally, the transfer of certain collateral to us may be limited or prohibited by applicable laws and regulations. See “</w:t>
      </w:r>
      <w:r>
        <w:rPr>
          <w:rFonts w:ascii="Times New Roman" w:cs="Times New Roman" w:eastAsia="Times New Roman" w:hAnsi="Times New Roman"/>
          <w:sz w:val="20"/>
          <w:szCs w:val="20"/>
          <w:i w:val="1"/>
          <w:iCs w:val="1"/>
          <w:color w:val="auto"/>
        </w:rPr>
        <w:t>We may make loans that are secured by properties that are, and will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subject to extensive regulations, such that if such collateral was foreclosed upon those regulations may result in significant costs and materially and adversely affect our business, financial condition, liquidity and results of operations.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09"/>
        <w:spacing w:after="0" w:line="256" w:lineRule="auto"/>
        <w:rPr>
          <w:sz w:val="20"/>
          <w:szCs w:val="20"/>
          <w:color w:val="auto"/>
        </w:rPr>
      </w:pPr>
      <w:r>
        <w:rPr>
          <w:rFonts w:ascii="Times New Roman" w:cs="Times New Roman" w:eastAsia="Times New Roman" w:hAnsi="Times New Roman"/>
          <w:sz w:val="19"/>
          <w:szCs w:val="19"/>
          <w:color w:val="auto"/>
        </w:rPr>
        <w:t>For transferable collateral, foreclosure or other remedies available may be subject to certain laws and regulations, including the need for regulatory disclosure and/or approval of such transfer. If federal law were to change to permit companies in the cannabis industry to seek federal bankruptcy protection, the applicable borrower could file for bankruptcy, which would have the effect of staying the foreclosure actions and delaying the foreclosure processes and potentially result in reductions or discharges of debt owed to us. Foreclosure may create a negative public perception of the collateral property, resulting in a diminution of its value. Even if we are successful in foreclosing on collateral property securing our loan, the liquidation proceeds upon sale of the underlying real estate may not be sufficient to recover our loan. Any costs or delays involved in the foreclosure or a liquidation of the underlying property will reduce the net proceeds realized and, thus, increase the potential for loss.</w:t>
      </w:r>
    </w:p>
    <w:p>
      <w:pPr>
        <w:spacing w:after="0" w:line="182" w:lineRule="exact"/>
        <w:rPr>
          <w:sz w:val="20"/>
          <w:szCs w:val="20"/>
          <w:color w:val="auto"/>
        </w:rPr>
      </w:pPr>
    </w:p>
    <w:p>
      <w:pPr>
        <w:jc w:val="both"/>
        <w:ind w:firstLine="709"/>
        <w:spacing w:after="0" w:line="272" w:lineRule="auto"/>
        <w:rPr>
          <w:sz w:val="20"/>
          <w:szCs w:val="20"/>
          <w:color w:val="auto"/>
        </w:rPr>
      </w:pPr>
      <w:r>
        <w:rPr>
          <w:rFonts w:ascii="Times New Roman" w:cs="Times New Roman" w:eastAsia="Times New Roman" w:hAnsi="Times New Roman"/>
          <w:sz w:val="20"/>
          <w:szCs w:val="20"/>
          <w:color w:val="auto"/>
        </w:rPr>
        <w:t>In the event a borrower defaults on any of its obligations to us and such debt obligations are equitized, we do not intend to directly hold such equity interests, which may result in additional losses on our loans made to such entity.</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 properties securing our loans may be subject to contingent or unknown liabilities that could adversely affect the value of these properties, and as a result, our loans.</w:t>
      </w:r>
    </w:p>
    <w:p>
      <w:pPr>
        <w:spacing w:after="0" w:line="163"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Properties securing our loans may be subject to contingent, unknown or unquantifiable liabilities that may adversely affect the value of our loans. Such defects or deficiencies may include title defects, title disputes, liens or other encumbrances on properties securing our loans to borrowers. The discovery of such unknown defects, deficiencies and liabilities could affect the ability of our borrowers to make payments to us or could affect our ability to foreclose and sell the properties securing such loans, which could adversely affect our results of operations and financial condition. Further, we, our executive officers, directors and our Manager may, in the ordinary course of business, be named as defendants in litigation arising from our loans.</w:t>
      </w:r>
    </w:p>
    <w:p>
      <w:pPr>
        <w:spacing w:after="0" w:line="189" w:lineRule="exact"/>
        <w:rPr>
          <w:sz w:val="20"/>
          <w:szCs w:val="20"/>
          <w:color w:val="auto"/>
        </w:rPr>
      </w:pPr>
    </w:p>
    <w:p>
      <w:pPr>
        <w:jc w:val="both"/>
        <w:ind w:firstLine="709"/>
        <w:spacing w:after="0" w:line="273" w:lineRule="auto"/>
        <w:rPr>
          <w:sz w:val="20"/>
          <w:szCs w:val="20"/>
          <w:color w:val="auto"/>
        </w:rPr>
      </w:pPr>
      <w:r>
        <w:rPr>
          <w:rFonts w:ascii="Times New Roman" w:cs="Times New Roman" w:eastAsia="Times New Roman" w:hAnsi="Times New Roman"/>
          <w:sz w:val="20"/>
          <w:szCs w:val="20"/>
          <w:color w:val="auto"/>
        </w:rPr>
        <w:t>We may in the future foreclose and acquire properties without any recourse, or with only limited recourse, against the prior property owner with respect to contingent or unknown liabilities. As a result, if a claim were asserted against us based 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80"/>
          </w:cols>
          <w:pgMar w:left="1160" w:top="1251" w:right="800" w:bottom="254"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20"/>
          <w:szCs w:val="20"/>
          <w:color w:val="auto"/>
        </w:rPr>
        <w:t>ownership of any of these properties, we may have to pay substantial amounts to defend or settle the claim. If the magnitude of such unknown liabilities is high, individually or in the aggregate, our business, financial condition, liquidity and results of operations would be materially and adversely affected.</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Commercial real estate-related investments that are secured, directly or indirectly, by real property are subject to delinquency, foreclosure and loss, which could result in losses to us.</w:t>
      </w:r>
    </w:p>
    <w:p>
      <w:pPr>
        <w:spacing w:after="0" w:line="163"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Commercial real estate debt instruments that are secured by commercial property are subject to risks of delinquency and foreclosure and risks of loss that are greater than similar risks associated with loans made on the security of single-family residential property. The ability of a borrower to repay a loan secured by an income-producing property typically is dependent primarily upon the successful operation of the property rather than upon the existence of independent income or assets of the borrower. If the net operating income of the property is reduced, the borrower’s ability to repay the loan may be impaired. Net operating income of an income-producing property can be affected by, among other things:</w:t>
      </w:r>
    </w:p>
    <w:p>
      <w:pPr>
        <w:spacing w:after="0" w:line="203" w:lineRule="exact"/>
        <w:rPr>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tenant mix and tenant bankruptcies;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success of tenant businesses;</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property management decisions, including with respect to capital improvements, particularly in older building structures;</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property location and condition;</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other properties offering the same or similar services;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that increase operating expenses or limit rents that may be charged;</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any liabilities relating to environmental matters at the property;</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national, regional or local economic conditions and/or specific industry segments;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declines in national, regional or local real estate values;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declines in national, regional or local rental or occupancy rates;</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interest rates and in the state of the debt and equity capital markets, including diminished availability or lack of debt financing for commercial real estate;</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real estate tax rates and other operating expenses;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governmental rules, regulations and fiscal policies, including environmental legislation;</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acts of God, terrorism, social unrest and civil disturbances, which may decrease the availability of or increase the cost of insurance or result in uninsured losses; and</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adverse changes in zoning laws.</w:t>
      </w:r>
    </w:p>
    <w:p>
      <w:pPr>
        <w:spacing w:after="0" w:line="224"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In addition, we are exposed to the risk of judicial proceedings with our borrowers and entities in which we invest, including bankruptcy or other litigation, as a strategy to avoid foreclosure or enforcement of other rights by us as a lender or investor. In the event that any of the properties or entities underlying or collateralizing our loans or investments experiences any of the foregoing events or occurrences, the value of, and return on, such investments could decline and could adversely affect our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Manager overestimates the yields or incorrectly prices the risks of our loans, we may experience losses.</w:t>
      </w:r>
    </w:p>
    <w:p>
      <w:pPr>
        <w:spacing w:after="0" w:line="223"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Our Manager values our potential loans based on yields and risks, taking into account estimated future losses and the collateral securing a potential loan, if any, and the estimated impact of these losses on expected future cash flows, returns and appreciation. Our Manager’s loss estimates and expectations of future cash flows, returns and appreciation may not prove</w:t>
      </w:r>
    </w:p>
    <w:p>
      <w:pPr>
        <w:sectPr>
          <w:pgSz w:w="12240" w:h="15840" w:orient="portrait"/>
          <w:cols w:equalWidth="0" w:num="1">
            <w:col w:w="10280"/>
          </w:cols>
          <w:pgMar w:left="1160" w:top="1009" w:right="800" w:bottom="254"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80"/>
          </w:cols>
          <w:pgMar w:left="1160" w:top="1009" w:right="800" w:bottom="254" w:gutter="0" w:footer="0" w:header="0"/>
          <w:type w:val="continuous"/>
        </w:sectPr>
      </w:pPr>
    </w:p>
    <w:bookmarkStart w:id="37" w:name="page38"/>
    <w:bookmarkEnd w:id="37"/>
    <w:p>
      <w:pPr>
        <w:spacing w:after="0" w:line="272" w:lineRule="auto"/>
        <w:rPr>
          <w:sz w:val="20"/>
          <w:szCs w:val="20"/>
          <w:color w:val="auto"/>
        </w:rPr>
      </w:pPr>
      <w:r>
        <w:rPr>
          <w:rFonts w:ascii="Times New Roman" w:cs="Times New Roman" w:eastAsia="Times New Roman" w:hAnsi="Times New Roman"/>
          <w:sz w:val="20"/>
          <w:szCs w:val="20"/>
          <w:color w:val="auto"/>
        </w:rPr>
        <w:t>accurate, as actual results may vary from estimates and expectations. If our Manager underestimates the asset-level losses or overestimates loan yields relative to the price we pay for a particular loan, we may experience losses with respect to such loan.</w:t>
      </w:r>
    </w:p>
    <w:p>
      <w:pPr>
        <w:spacing w:after="0" w:line="163"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An increase in benchmark interest rates tied to Prime and SOFR will likely have the effect of increasing our Core Earnings, which would make it easier for our Manager to earn Incentive Compensation.</w:t>
      </w:r>
    </w:p>
    <w:p>
      <w:pPr>
        <w:spacing w:after="0" w:line="163" w:lineRule="exact"/>
        <w:rPr>
          <w:sz w:val="20"/>
          <w:szCs w:val="20"/>
          <w:color w:val="auto"/>
        </w:rPr>
      </w:pPr>
    </w:p>
    <w:p>
      <w:pPr>
        <w:ind w:right="20" w:firstLine="709"/>
        <w:spacing w:after="0" w:line="249" w:lineRule="auto"/>
        <w:rPr>
          <w:sz w:val="20"/>
          <w:szCs w:val="20"/>
          <w:color w:val="auto"/>
        </w:rPr>
      </w:pPr>
      <w:r>
        <w:rPr>
          <w:rFonts w:ascii="Times New Roman" w:cs="Times New Roman" w:eastAsia="Times New Roman" w:hAnsi="Times New Roman"/>
          <w:sz w:val="20"/>
          <w:szCs w:val="20"/>
          <w:color w:val="auto"/>
        </w:rPr>
        <w:t>In the absence of interest rate ceilings, any increase in interest rates would likely have the effect of increasing the interest rate that we receive on our floating-rate loan portfolio. Accordingly, an increase in interest rates may make it easier for our Manager to meet the quarterly hurdle rate for payment of Incentive Compensation under the Management Agreement and may result in a substantial increase in the amount of the Incentive Compensation payable to our Manager.</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The due diligence process that our Manager undertakes in regard to investment opportunities may not reveal all facts that may be relevant in connection with an investment and if our Manager incorrectly evaluates the risks of our investments, we may experience losses.</w:t>
      </w:r>
    </w:p>
    <w:p>
      <w:pPr>
        <w:spacing w:after="0" w:line="177"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Before making investments for us, our Manager conducts due diligence that it deems reasonable and appropriate based on the facts and circumstances relevant to each potential investment. When conducting diligence, our Manager may be required to evaluate important and complex business, financial, tax, accounting, environmental and legal issues. Outside consultants, legal advisors, accountants and investment banks may be involved in the due diligence process in varying degrees depending on the type of potential investment. Relying on the resources available to it, our Manager evaluates our potential investments based on criteria it deems appropriate for the relevant investment. Our Manager’s loss estimates may not prove accurate, as actual results may vary from estimates. If our Manager underestimates the asset-level losses relative to the price we pay for a particular investment, we may experience losses with respect to such investment.</w:t>
      </w:r>
    </w:p>
    <w:p>
      <w:pPr>
        <w:spacing w:after="0" w:line="191"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In addition, it is difficult for real estate debt investors in certain circumstances to receive full transparency with respect to underlying investments because transactions are often effectuated on an indirect basis through pools or conduit vehicles rather than directly with the borrower. Loan structures or the terms of investments may make it difficult for us to monitor and evaluate investments. Therefore, we cannot assure you that our Manager will have knowledge of all information that may adversely affect such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additional risks associated with investments in the form of loan participation interests.</w:t>
      </w:r>
    </w:p>
    <w:p>
      <w:pPr>
        <w:spacing w:after="0" w:line="223"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 xml:space="preserve">We may invest in loan participation interests in which another lender or lenders share with us the rights, obligations and benefits of a commercial mortgage loan made by an originating lender to a borrower. Accordingly, we will not be in privity of contract with a borrower because the other lender or participant is the record holder of the loan and, therefore, we will not have any direct right to any underlying collateral for the loan. These loan participations may be senior,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to the interests of the other lender or lenders in respect of distributions from the commercial mortgage loan. Furthermore, we may not be able to control the pursuit of any rights or remedies under the commercial mortgage loan, including enforcement proceedings in the event of default thereunder. In certain cases, the original lender or another participant may be able to take actions in respect of the commercial mortgage loan that are not in our best interests. In addition, in the event that (1) the owner of the loan participation interest does not have the benefit of a perfected security interest in the lender’s rights to payments from the borrower under the commercial mortgage loan or (2) there are substantial differences between the terms of the commercial mortgage loan and those of the applicable loan participation interest, such loan participation interest could be recharacterized as an unsecured loan to a lender that is the record holder of the loan in such lender’s bankruptcy, and the assets of such lender may not be sufficient to satisfy the terms of such loan participation interest. Accordingly, we may face greater risks from loan participation interests than if we had made first mortgage loans directly to the owners of real estate collateral.</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Declines in market prices and liquidity in the capital markets can result in significant net unrealized depreciation of our portfolio, which in turn would reduce the net carrying value of our portfolio.</w:t>
      </w:r>
    </w:p>
    <w:p>
      <w:pPr>
        <w:spacing w:after="0" w:line="163"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Volatility in the capital markets can adversely affect our loan valuations. Decreases in the market values or fair values of our loans are recorded as unrealized depreciation. The effect of all of these factors on our portfolio can reduce the net carrying value of our portfolio by increasing net unrealized depreciation in our portfolio. Depending on market conditions, we could incur substantial realized and/or unrealized losses, which could have a material adverse effect on our business, financial condition or results of operations.</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 loans and other assets we obtain may be subject to impairment charges, and we may experience a decline in the net carrying value of our assets.</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80"/>
          </w:cols>
          <w:pgMar w:left="1160" w:top="1009" w:right="800" w:bottom="254" w:gutter="0" w:footer="0" w:header="0"/>
          <w:type w:val="continuous"/>
        </w:sectPr>
      </w:pPr>
    </w:p>
    <w:bookmarkStart w:id="38" w:name="page39"/>
    <w:bookmarkEnd w:id="38"/>
    <w:p>
      <w:pPr>
        <w:jc w:val="both"/>
        <w:ind w:firstLine="709"/>
        <w:spacing w:after="0" w:line="266" w:lineRule="auto"/>
        <w:rPr>
          <w:sz w:val="20"/>
          <w:szCs w:val="20"/>
          <w:color w:val="auto"/>
        </w:rPr>
      </w:pPr>
      <w:r>
        <w:rPr>
          <w:rFonts w:ascii="Times New Roman" w:cs="Times New Roman" w:eastAsia="Times New Roman" w:hAnsi="Times New Roman"/>
          <w:sz w:val="19"/>
          <w:szCs w:val="19"/>
          <w:color w:val="auto"/>
        </w:rPr>
        <w:t>We will periodically evaluate the loans we obtain and other assets for impairment indicators. The judgment regarding the existence of impairment indicators is based upon factors such as market conditions, borrower performance and legal structure. If we determine that an impairment has occurred, we would be required to make an adjustment to the net carrying value of the asset which could have an adverse effect on our results of operations in the period in which the impairment charge is recorded.</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Substantially all of the debt that we invest in is unrated. To the extent that credit ratings are assigned to our loans will be subject to ongoing evaluations and revisions, and we cannot assure you that those ratings will not be downgraded.</w:t>
      </w:r>
    </w:p>
    <w:p>
      <w:pPr>
        <w:spacing w:after="0" w:line="163"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The debt that we invest in is typically not initially rated by any rating agency, but we believe that if such loans were rated, they would generally be below investment grade (rated lower than “Baa3” by Moody’s Investors Service, lower than “BBB-” by Fitch Ratings or lower than “BBB-” by Standard &amp; Poor’s Ratings Services), which under the guidelines established by these entities is an indication of having predominantly speculative characteristics with respect to the borrower’s capacity to pay interest and repay principal. To the extent that some of our loans may be rated by rating agencies such as Moody’s Investors Service, Fitch Ratings, Standard &amp; Poor’s, DBRS, Inc. or Realpoint LLC. Any credit ratings on our loans are subject to ongoing evaluation by credit rating agencies, and we cannot assure you that any such ratings will not be changed or withdrawn by a rating agency in the future if, in its judgment, circumstances warrant. If rating agencies assign a lower-than-expected rating or reduce or withdraw, or indicate that they may reduce or withdraw, their ratings of our loans in the future, the value of our loans could significantly decline, which would adversely affect the value of our loan portfolio and could result in losses upon disposition or, in the case of our loans, the failure of borrowers to satisfy their debt service obligations to us. As of December 31, 2025, none of our loans were rated by ratings agencies.</w:t>
      </w:r>
    </w:p>
    <w:p>
      <w:pPr>
        <w:spacing w:after="0" w:line="196"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As a result, a substantial portion of our portfolio may result in an above average amount of risk and volatility or loss of principal. While the loans we invest in are often secured, such security does not guarantee that we will receive principal and interest payments according to the terms of the loan, or that the value of any collateral will be sufficient to allow us to recover all or a portion of the outstanding amount of such loan should we be forced to enforce our remedies.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Mezzanine loans, B-Notes and other investments that are subordinated or otherwise junior in an issuer’s capital structure, such as preferred equity, and that involve privately negotiated structures will expose us to greater risk of loss.</w:t>
      </w:r>
    </w:p>
    <w:p>
      <w:pPr>
        <w:spacing w:after="0" w:line="163"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We have in the past originated, and may in the future originate or acquire, mezzanine loans, B- Notes and other investments that are subordinated or otherwise junior in an issuer’s capital structure, such as preferred equity, and that involve privately negotiated structures. To the extent we invest in subordinated debt or mezzanine tranches of an entity’s capital structure or preferred equity, such investments and our remedies with respect thereto, including the ability to foreclose on any collateral securing such investments, will be subject to the rights of holders of more senior tranches in the issuer’s capital structure and, to the extent applicable, contractual intercreditor and/or participation agreement provisions, which will expose us to greater risk of loss.</w:t>
      </w:r>
    </w:p>
    <w:p>
      <w:pPr>
        <w:spacing w:after="0" w:line="189"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As the terms of such loans and investments are subject to contractual relationships among lenders, co-lending agents and others, they can vary significantly in their structural characteristics and other risks. For example, the rights of holders of B-Notes to control the process following a borrower default may vary from transaction to transaction. Further, B-Notes typically are secured by a single property and accordingly reflect the risks associated with significant concentration. Like B-Notes, mezzanine loans are by their nature structurally subordinated to more senior property-level financings. If a borrower defaults on our mezzanine loan or on debt senior to our loan, or if the borrower is in bankruptcy, our mezzanine loan will be satisfied only after the property-level debt and other senior debt is paid in full. As a result, a partial loss in the value of the underlying collateral can result in a total loss of the value of the mezzanine loan. In addition, even if we are able to foreclose on the underlying collateral following a default on a mezzanine loan, we would be substituted for the defaulting borrower and, to the extent income generated on the underlying property is insufficient to meet outstanding debt obligations on the property, we may need to commit substantial additional capital and/or deliver a replacement guarantee by a creditworthy entity, which could include us, to stabilize the property and prevent additional defaults to lenders with existing liens on the property.</w:t>
      </w:r>
    </w:p>
    <w:p>
      <w:pPr>
        <w:spacing w:after="0" w:line="196" w:lineRule="exact"/>
        <w:rPr>
          <w:sz w:val="20"/>
          <w:szCs w:val="20"/>
          <w:color w:val="auto"/>
        </w:rPr>
      </w:pPr>
    </w:p>
    <w:p>
      <w:pPr>
        <w:jc w:val="both"/>
        <w:ind w:firstLine="709"/>
        <w:spacing w:after="0" w:line="273" w:lineRule="auto"/>
        <w:rPr>
          <w:sz w:val="20"/>
          <w:szCs w:val="20"/>
          <w:color w:val="auto"/>
        </w:rPr>
      </w:pPr>
      <w:r>
        <w:rPr>
          <w:rFonts w:ascii="Times New Roman" w:cs="Times New Roman" w:eastAsia="Times New Roman" w:hAnsi="Times New Roman"/>
          <w:sz w:val="20"/>
          <w:szCs w:val="20"/>
          <w:color w:val="auto"/>
        </w:rPr>
        <w:t>As of December 31, 2025, we had no investments in mezzanine loans, B-Notes or other investments that are subordinated or otherwise junior to other material indebtedness in an issuer’s capital structure.</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Loans or investments involving international real estate-related assets are subject to special risks that we may not manage effectively, which would have a material adverse effect on our results of operations and our ability to make distributions to our stockholders.</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80"/>
          </w:cols>
          <w:pgMar w:left="1160" w:top="1009" w:right="800" w:bottom="254" w:gutter="0" w:footer="0" w:header="0"/>
          <w:type w:val="continuous"/>
        </w:sectPr>
      </w:pPr>
    </w:p>
    <w:bookmarkStart w:id="39" w:name="page40"/>
    <w:bookmarkEnd w:id="39"/>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Our investment guidelines permit investments in non-U.S. assets, subject to the same guidelines as investments in U.S. assets. To the extent that we invest in non-U.S. real estate-related assets, we may be subject to certain risks associated with international investment generally, including, among others:</w:t>
      </w:r>
    </w:p>
    <w:p>
      <w:pPr>
        <w:spacing w:after="0" w:line="191" w:lineRule="exact"/>
        <w:rPr>
          <w:sz w:val="20"/>
          <w:szCs w:val="20"/>
          <w:color w:val="auto"/>
        </w:rPr>
      </w:pPr>
    </w:p>
    <w:p>
      <w:pPr>
        <w:ind w:left="980" w:hanging="362"/>
        <w:spacing w:after="0" w:line="272"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currency exchange matters, including fluctuations in currency exchange rates and costs associated with conversion of investment principal and income from one currency to another;</w:t>
      </w:r>
    </w:p>
    <w:p>
      <w:pPr>
        <w:spacing w:after="0" w:line="174"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less developed or efficient financial markets than in the United States, which may lead to potential price volatility and relative illiquidity;</w:t>
      </w:r>
    </w:p>
    <w:p>
      <w:pPr>
        <w:spacing w:after="0" w:line="174"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burdens of complying with international regulatory requirements and prohibitions that differ between jurisdictions;</w:t>
      </w:r>
    </w:p>
    <w:p>
      <w:pPr>
        <w:spacing w:after="0" w:line="174"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or clarifications to existing laws that could impact our tax treaty positions, which could adversely impact the returns on our investments;</w:t>
      </w:r>
    </w:p>
    <w:p>
      <w:pPr>
        <w:spacing w:after="0" w:line="174"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 less developed legal or regulatory environment, differences in the legal and regulatory environment or enhanced legal and regulatory compliance;</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hostility to investments by foreign investors;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higher inflation rates;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higher transaction costs;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enforcing contractual obligations;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fewer investor protections;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potentially adverse tax consequences; or</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other economic and political risks.</w:t>
      </w:r>
    </w:p>
    <w:p>
      <w:pPr>
        <w:spacing w:after="0" w:line="224"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If any of the foregoing risks were to materialize, they could adversely affect our results of operations and financial condition. While our investment guidelines permit investments in non-U.S. real estate assets, as of December 31, 2025, none of our loans were made to non-U.S. borrowers nor collateralized by non-U.S. real estate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have control over certain of our loans and investments.</w:t>
      </w:r>
    </w:p>
    <w:p>
      <w:pPr>
        <w:spacing w:after="0" w:line="223" w:lineRule="exact"/>
        <w:rPr>
          <w:sz w:val="20"/>
          <w:szCs w:val="20"/>
          <w:color w:val="auto"/>
        </w:rPr>
      </w:pPr>
    </w:p>
    <w:p>
      <w:pPr>
        <w:jc w:val="both"/>
        <w:ind w:firstLine="709"/>
        <w:spacing w:after="0" w:line="273" w:lineRule="auto"/>
        <w:rPr>
          <w:sz w:val="20"/>
          <w:szCs w:val="20"/>
          <w:color w:val="auto"/>
        </w:rPr>
      </w:pPr>
      <w:r>
        <w:rPr>
          <w:rFonts w:ascii="Times New Roman" w:cs="Times New Roman" w:eastAsia="Times New Roman" w:hAnsi="Times New Roman"/>
          <w:sz w:val="20"/>
          <w:szCs w:val="20"/>
          <w:color w:val="auto"/>
        </w:rPr>
        <w:t>Our ability to manage our portfolio of loans and investments may be limited by the form in which they are made. In certain situations, we may:</w:t>
      </w:r>
    </w:p>
    <w:p>
      <w:pPr>
        <w:spacing w:after="0" w:line="173" w:lineRule="exact"/>
        <w:rPr>
          <w:sz w:val="20"/>
          <w:szCs w:val="20"/>
          <w:color w:val="auto"/>
        </w:rPr>
      </w:pPr>
    </w:p>
    <w:p>
      <w:pPr>
        <w:ind w:left="980" w:hanging="362"/>
        <w:spacing w:after="0" w:line="272"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acquire investments subject to rights of senior classes, special servicers or collateral managers under intercreditor, servicing agreements or securitization documents;</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pledge our investments as collateral for financing arrangements;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acquire only a minority and/or a non-controlling participation in an underlying investment;</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co-invest with others through partnerships, joint ventures or other entities, thereby acquiring non-controlling interests; or</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rely on independent third-party management or servicing with respect to the management of an asset.</w:t>
      </w:r>
    </w:p>
    <w:p>
      <w:pPr>
        <w:spacing w:after="0" w:line="224" w:lineRule="exact"/>
        <w:rPr>
          <w:sz w:val="20"/>
          <w:szCs w:val="20"/>
          <w:color w:val="auto"/>
        </w:rPr>
      </w:pPr>
    </w:p>
    <w:p>
      <w:pPr>
        <w:jc w:val="both"/>
        <w:ind w:firstLine="709"/>
        <w:spacing w:after="0" w:line="266" w:lineRule="auto"/>
        <w:rPr>
          <w:sz w:val="20"/>
          <w:szCs w:val="20"/>
          <w:color w:val="auto"/>
        </w:rPr>
      </w:pPr>
      <w:r>
        <w:rPr>
          <w:rFonts w:ascii="Times New Roman" w:cs="Times New Roman" w:eastAsia="Times New Roman" w:hAnsi="Times New Roman"/>
          <w:sz w:val="19"/>
          <w:szCs w:val="19"/>
          <w:color w:val="auto"/>
        </w:rPr>
        <w:t>Therefore, we may not be able to exercise control over all aspects of our loans or investments. Such financial assets may involve risks not present in investments where senior creditors, junior creditors, servicers or third parties controlling investors are not involved. Our rights to control the process following a borrower default may be subject to the rights of senior or junior creditors or servicers whose interests may not be aligned with ours. A partner or co-venturer may have financial difficulties</w:t>
      </w:r>
    </w:p>
    <w:p>
      <w:pPr>
        <w:sectPr>
          <w:pgSz w:w="12240" w:h="15840" w:orient="portrait"/>
          <w:cols w:equalWidth="0" w:num="1">
            <w:col w:w="10280"/>
          </w:cols>
          <w:pgMar w:left="1160" w:top="1009" w:right="800" w:bottom="254"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80"/>
          </w:cols>
          <w:pgMar w:left="1160" w:top="1009" w:right="800" w:bottom="254" w:gutter="0" w:footer="0" w:header="0"/>
          <w:type w:val="continuous"/>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20"/>
          <w:szCs w:val="20"/>
          <w:color w:val="auto"/>
        </w:rPr>
        <w:t>resulting in a negative impact on such asset, may have economic or business interests or goals that are inconsistent with ours, or may be in a position to take action contrary to our investment objective. In addition, we may, in certain circumstances, be liable for the actions of our partners or co-venturers.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loans and investments expose us to risks associated with debt-oriented real estate investments generally.</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We seek to invest primarily in debt investments in or relating to real estate-related businesses, assets or interests. Any deterioration of real estate fundamentals generally, and in the United States in particular, could negatively impact our performance, increase the default risk applicable to borrowers, and/or make it relatively more difficult for us to generate attractive risk-adjusted returns. Changes in general economic conditions will affect the creditworthiness of borrowers and/or the value of underlying real estate collateral relating to our investments and may include economic and/or market fluctuations, changes in environmental, zoning and other laws, casualty or condemnation losses, regulatory limitations on rents, decreases in property values, changes in the appeal of properties to tenants, changes in supply and demand of real estate products, fluctuations in real estate fundamentals, energy and supply shortages, various uninsured or uninsurable risks, natural disasters, changes in government regulations (such as rent control, zoning restrictions, building code mandates, etc.), changes in real property tax rates and operating expenses, changes in interest rates, changes in the availability of debt financing and/or mortgage funds which may render the sale or refinancing of properties difficult or impracticable, increased mortgage defaults, increases in borrowing rates, negative developments in the economy and/or real estate values generally and other factors that are beyond our control.</w:t>
      </w:r>
    </w:p>
    <w:p>
      <w:pPr>
        <w:spacing w:after="0" w:line="181"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We cannot predict the degree to which economic conditions generally, and the conditions for real estate debt investing in particular, will improve or decline. Any declines in the performance of the U.S. and global economies or in the real estate debt markets could have a material adverse effect on our business, financial condition, and results of operations. Market conditions relating to real estate debt investments have evolved since the global financial crisis that began in 2008, which has resulted in a modification to certain loan structures and/or market terms. Any such changes in loan structures and/or market terms may make it relatively more difficult for us to monitor and evaluate our loans and investments.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We may finance first mortgage loans, which may present greater risks than if we had made first mortgages directly to owners of real estate collateral.</w:t>
      </w:r>
    </w:p>
    <w:p>
      <w:pPr>
        <w:spacing w:after="0" w:line="163"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Our portfolio may include first mortgage loan-on-loan financings, which are loans made to holders of mortgage loans that are secured by commercial real estate. While we will have certain rights with respect to the real estate collateral underlying a first mortgage loan, the holder of the commercial real estate first mortgage loans may fail to exercise its rights with respect to a default or other adverse action relating to the underlying real estate collateral or fail to promptly notify us of such an event, which would adversely affect our ability to enforce our rights. In addition, in the event of the bankruptcy of the borrower under the first mortgage loan, we may not have full recourse to the assets of the holder of the commercial real estate loan, or the assets of the holder of the commercial real estate loan may not be sufficient to satisfy our first mortgage loan financing. Accordingly, we may face greater risks from our first mortgage loan financings than if we had made first mortgage loans directly to owners of real estate collateral.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on properties in transition will involve a greater risk of loss than conventional mortgage loans.</w:t>
      </w:r>
    </w:p>
    <w:p>
      <w:pPr>
        <w:spacing w:after="0" w:line="223"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We may invest in transitional loans to borrowers who are typically seeking short-term capital to be used in an acquisition or rehabilitation of a property. The typical borrower under a transitional loan has usually identified an undervalued asset that has been under-managed and/or is located in a recovering market. If the market in which the asset is located fails to improve according to the borrower’s projections, or if the borrower fails to improve the quality of the asset’s management and/or the value of the asset, the borrower may not receive a sufficient return on the asset to satisfy the transitional loan, and we bear the risk that we may not recover some or all of our investment.</w:t>
      </w:r>
    </w:p>
    <w:p>
      <w:pPr>
        <w:spacing w:after="0" w:line="189"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In addition, borrowers usually use the proceeds of a conventional mortgage to repay a transitional loan. Transitional loans therefore are subject to risks of a borrower’s inability to obtain permanent financing to repay the transitional loan. In the event of any default under transitional loans that may be held by us, we bear the risk of loss of principal and non-payment of interest and fees to the extent of any deficiency between the value of the mortgage collateral and the principal amount and unpaid interest of the transitional loan. To the extent we suffer such losses with respect to these transitional loans, it could adversely affect our results of operations and financial condition.</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December 31, 2025, we had no investments in transitional loans.</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Any distressed loans or investments we make, or loans and investments that later become distressed, may subject us to losses and other risks relating to bankruptcy proceedings.</w:t>
      </w:r>
    </w:p>
    <w:p>
      <w:pPr>
        <w:sectPr>
          <w:pgSz w:w="12240" w:h="15840" w:orient="portrait"/>
          <w:cols w:equalWidth="0" w:num="1">
            <w:col w:w="10280"/>
          </w:cols>
          <w:pgMar w:left="1160" w:top="1009" w:right="800" w:bottom="254"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280"/>
          </w:cols>
          <w:pgMar w:left="1160" w:top="1009" w:right="800" w:bottom="254" w:gutter="0" w:footer="0" w:header="0"/>
          <w:type w:val="continuous"/>
        </w:sectPr>
      </w:pPr>
    </w:p>
    <w:bookmarkStart w:id="41" w:name="page42"/>
    <w:bookmarkEnd w:id="41"/>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Our loans and investments may include making distressed investments from time to time (e.g., investments in defaulted, out-of-favor or distressed bank loans and debt securities) or may involve investments that become “non-performing” following our acquisition thereof. Certain of our investments may include properties that typically are highly leveraged, with significant burdens on cash flow and, therefore, involve a high degree of financial risk. During an economic downturn or recession, loans or securities of financially or operationally troubled borrowers or issuers are more likely to go into default than loans or securities of other borrowers or issuers. Loans or securities of financially or operationally troubled issuers are less liquid and more volatile than loans or securities of borrowers or issuers not experiencing such difficulties. The market prices of such securities are subject to erratic and abrupt market movements and the spread between bid and asked prices may be greater than normally expected. Investment in the loans or securities of financially or operationally troubled borrowers or issuers involves a high degree of credit and market risk.</w:t>
      </w:r>
    </w:p>
    <w:p>
      <w:pPr>
        <w:spacing w:after="0" w:line="192"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In certain limited cases (e.g., in connection with a workout, restructuring and/or foreclosing proceedings involving one or more of our investments), the success of our investment strategy with respect thereto will depend, in part, on our ability to effectuate loan modifications and/or restructure and improve the operations of the borrower entities. The activity of identifying and implementing successful restructuring programs and operating improvements entails a high degree of uncertainty. There can be no assurance that we will be able to identify and implement successful restructuring programs and improvements with respect to any distressed loans or investments we may have from time to time.</w:t>
      </w:r>
    </w:p>
    <w:p>
      <w:pPr>
        <w:spacing w:after="0" w:line="189"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These financial difficulties may not be overcome and may cause borrower entities to become subject to bankruptcy or other similar administrative proceedings. There is a possibility that we may incur substantial or total losses on our loans and investments and, in certain circumstances, become subject to certain additional potential liabilities that may exceed the value of our original investment therein. For example, under certain circumstances, a lender that has inappropriately exercised control over the management and policies of a debtor may have its claims subordinated or disallowed or may be found liable for damages suffered by parties as a result of such actions. In any reorganization or liquidation proceeding relating to our investments, we may lose our entire investment, may be required to accept cash or securities with a value less than our original investment and/or may be required to accept different terms, including payment over an extended period of time. In addition, under certain circumstances, payments to us may be reclaimed if any such payment or distribution is later determined to have been a fraudulent conveyance, preferential payment, or similar transaction under applicable bankruptcy and insolvency laws. Furthermore, bankruptcy laws and similar laws applicable to administrative proceedings may delay our ability to realize on collateral for loan positions held by us, may adversely affect the economic terms and priority of such loans through doctrines such as equitable subordination or may result in a restructuring of the debt through principles such as the “cramdown” provisions of the bankruptcy laws.</w:t>
      </w:r>
    </w:p>
    <w:p>
      <w:pPr>
        <w:spacing w:after="0" w:line="191"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In addition, our investments in the cannabis industry may further impair our ability to access bankruptcy proceedings, as entities engaged in cannabis-related activities have limitations in obtaining federal bankruptcy protection. Should a borrower involved in the cannabis industry be forced into bankruptcy, the inherent restrictions and uncertain judicial treatment of cannabis-related assets could delay or reduce the value recovered on collateral, if at all, adversely affecting the economic outcomes of such loans.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Construction loans involve an increased risk of loss.</w:t>
      </w:r>
    </w:p>
    <w:p>
      <w:pPr>
        <w:spacing w:after="0" w:line="223" w:lineRule="exact"/>
        <w:rPr>
          <w:sz w:val="20"/>
          <w:szCs w:val="20"/>
          <w:color w:val="auto"/>
        </w:rPr>
      </w:pPr>
    </w:p>
    <w:p>
      <w:pPr>
        <w:jc w:val="both"/>
        <w:ind w:firstLine="355"/>
        <w:spacing w:after="0" w:line="258" w:lineRule="auto"/>
        <w:rPr>
          <w:sz w:val="20"/>
          <w:szCs w:val="20"/>
          <w:color w:val="auto"/>
        </w:rPr>
      </w:pPr>
      <w:r>
        <w:rPr>
          <w:rFonts w:ascii="Times New Roman" w:cs="Times New Roman" w:eastAsia="Times New Roman" w:hAnsi="Times New Roman"/>
          <w:sz w:val="19"/>
          <w:szCs w:val="19"/>
          <w:color w:val="auto"/>
        </w:rPr>
        <w:t>We may invest in loans for which the proceeds are used for construction, primarily in the form of cultivation and dispensary build-outs of pre-existing buildings that collateralize our loans.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it from other sources; a borrower’s claim against us for failure to perform under the loan documents; increased costs to the borrower that the borrower is unable to pay; a bankruptcy filing by the borrower; and abandonment by the borrower of the collateral for the loan. As of December 31, 2025, we had no investments in construction loans.</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Investments in construction loans require us to make estimates about the fair value of land improvements that may be challenged by the IRS.</w:t>
      </w:r>
    </w:p>
    <w:p>
      <w:pPr>
        <w:spacing w:after="0" w:line="163"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We may invest in construction loans, the interest from which would be qualifying income for purposes of the gross income tests applicable to REITs, provided that the loan value of the real property securing the construction loan was equal to or greater than the highest outstanding principal amount of the construction loan during any taxable year. For purposes of construction loans, the loan value of the real property is generally the fair value of the land plus the reasonably estimated cost of the improvements or developments (other than personal property) that secure the loan and that are to be constructed from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80"/>
          </w:cols>
          <w:pgMar w:left="1160" w:top="1236" w:right="800" w:bottom="254" w:gutter="0" w:footer="0" w:header="0"/>
        </w:sectPr>
      </w:pPr>
    </w:p>
    <w:bookmarkStart w:id="42" w:name="page43"/>
    <w:bookmarkEnd w:id="42"/>
    <w:p>
      <w:pPr>
        <w:jc w:val="both"/>
        <w:spacing w:after="0" w:line="272" w:lineRule="auto"/>
        <w:rPr>
          <w:sz w:val="20"/>
          <w:szCs w:val="20"/>
          <w:color w:val="auto"/>
        </w:rPr>
      </w:pPr>
      <w:r>
        <w:rPr>
          <w:rFonts w:ascii="Times New Roman" w:cs="Times New Roman" w:eastAsia="Times New Roman" w:hAnsi="Times New Roman"/>
          <w:sz w:val="20"/>
          <w:szCs w:val="20"/>
          <w:color w:val="auto"/>
        </w:rPr>
        <w:t>proceeds of the loan. There can be no assurance that the IRS would not challenge our estimates of the loan values of the real property.</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enter into credit agreements with borrowers that may permit them to incur debt that ranks equally with, or senior to, the loans we extend to such companies under such credit agreements.</w:t>
      </w:r>
    </w:p>
    <w:p>
      <w:pPr>
        <w:spacing w:after="0" w:line="163" w:lineRule="exact"/>
        <w:rPr>
          <w:sz w:val="20"/>
          <w:szCs w:val="20"/>
          <w:color w:val="auto"/>
        </w:rPr>
      </w:pPr>
    </w:p>
    <w:p>
      <w:pPr>
        <w:jc w:val="both"/>
        <w:ind w:firstLine="709"/>
        <w:spacing w:after="0" w:line="239" w:lineRule="auto"/>
        <w:rPr>
          <w:sz w:val="20"/>
          <w:szCs w:val="20"/>
          <w:color w:val="auto"/>
        </w:rPr>
      </w:pPr>
      <w:r>
        <w:rPr>
          <w:rFonts w:ascii="Times New Roman" w:cs="Times New Roman" w:eastAsia="Times New Roman" w:hAnsi="Times New Roman"/>
          <w:sz w:val="20"/>
          <w:szCs w:val="20"/>
          <w:color w:val="auto"/>
        </w:rPr>
        <w:t>Our credit agreements generally limit our borrowers from incurring any debt that ranks equally with, or senior to, our loans. In cases where our borrowers may have existing senior debt, such indebtedness generally represents traditional bank financing entered into prior to our relationship with the portfolio company. Although our intended investment strategy is to construct a portfolio of loans secured with first priority liens on certain assets of our borrowers, we may in the future enter into additional credit agreements that rank equally with, or are subordinated to, other debt of our borrowers or that otherwise permit our borrowers to incur other debt that ranks equally with, or senior to, our loans under such credit agreements. In such case, such instruments may, by their terms, provide that the holders of such other debt are entitled to receive payment of interest or principal on or before the dates on which we are entitled to receive payments in respect of our loans. These instruments may prohibit borrowers from paying interest on or repaying our loans in the event and during the continuance of a default under such instrument or upon the occurrence of other specified events. In certain cases, we may, and may continue to, obtain unsecured guarantees from the parent entities or subsidiaries of our borrowers in addition to the collateral provided by such borrowers and such guarantees may be effectively subordinated to any secured debt of any such entities and/or structurally subordinated to any debt of such subsidiaries. Also, in the event of insolvency, liquidation, dissolution, reorganization or bankruptcy of a borrower, holders of securities ranking senior to our loan to that borrower, if any, typically are entitled to receive payment in full before we can receive any distribution in respect of our loan. After repaying such holders, the borrower may not have any remaining assets to use for repaying its obligation to us. In the case of securities or other debt ranking equally with our loans, we would have to share on an equal basis any distributions with other security holders in the event of an insolvency, liquidation, dissolution, reorganization or bankruptcy of the relevant borrower.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Some of our borrowers may be highly leveraged.</w:t>
      </w:r>
    </w:p>
    <w:p>
      <w:pPr>
        <w:spacing w:after="0" w:line="223" w:lineRule="exact"/>
        <w:rPr>
          <w:sz w:val="20"/>
          <w:szCs w:val="20"/>
          <w:color w:val="auto"/>
        </w:rPr>
      </w:pPr>
    </w:p>
    <w:p>
      <w:pPr>
        <w:jc w:val="both"/>
        <w:ind w:firstLine="709"/>
        <w:spacing w:after="0" w:line="262" w:lineRule="auto"/>
        <w:rPr>
          <w:sz w:val="20"/>
          <w:szCs w:val="20"/>
          <w:color w:val="auto"/>
        </w:rPr>
      </w:pPr>
      <w:r>
        <w:rPr>
          <w:rFonts w:ascii="Times New Roman" w:cs="Times New Roman" w:eastAsia="Times New Roman" w:hAnsi="Times New Roman"/>
          <w:sz w:val="19"/>
          <w:szCs w:val="19"/>
          <w:color w:val="auto"/>
        </w:rPr>
        <w:t>Some of our borrowers may be highly leveraged, which may have adverse consequences to these companies and to us as a creditor.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There may be circumstances in which our loans could be subordinated to claims of other creditors, or we could be subject to lender liability claims.</w:t>
      </w:r>
    </w:p>
    <w:p>
      <w:pPr>
        <w:spacing w:after="0" w:line="163"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If one of our borrowers were to go bankrupt, depending on the facts and circumstances, a bankruptcy court might re-characterize our loan and subordinate all or a portion of our claim to that of other creditors. In addition, we could be subject to lender liability claims if we are deemed to be too involved in a borrower’s business or exercise control over such borrower. For example, we could become subject to a lender’s liability claim if, among other things, we actually render significant managerial assistance to a borrower to which we have provided a loan.</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As a debt investor, we are often not in a position to exert influence on borrowers, and the stockholders and management of such companies may make decisions with which we disagree and/or that could decrease the value of loans to such borrower.</w:t>
      </w:r>
    </w:p>
    <w:p>
      <w:pPr>
        <w:spacing w:after="0" w:line="163"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As a debt investor, we are subject to the risk that a borrower may make business decisions with which we disagree, and the stockholders and management of such company may take risks or otherwise act in ways that do not serve our interests. As a result, or due to other factors, a borrower may make decisions that could decrease the value of our loan to such borrower.</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Due to our borrowers’ involvement in the regulated cannabis industry, we currently do not have any insurance coverage. We and our borrowers have, and may continue to have, a difficult time obtaining or maintaining the various insurance policies that are desired to operate our business, which may expose us to additional risk and financial liabilities.</w:t>
      </w:r>
    </w:p>
    <w:p>
      <w:pPr>
        <w:spacing w:after="0" w:line="177"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Insurance that is otherwise readily available, such as workers’ compensation, general liability, title insurance and directors’ and officers’ insurance, is more difficult for us and our borrowers to find and more expensive, because of our borrowers’ involvement in the regulated cannabis industry. We currently do not have any insurance coverage. There are no guarantees that we or our borrowers will be able to find insurance now or in the future, or that such insurance will be available on economically viable terms. Until such time as federal rescheduling efforts—such as the proposed move from Schedule I to Schedule III—materially improve the risk profile of investments in the cannabis industry, our inability to secure insurance</w:t>
      </w:r>
    </w:p>
    <w:p>
      <w:pPr>
        <w:sectPr>
          <w:pgSz w:w="12240" w:h="15840" w:orient="portrait"/>
          <w:cols w:equalWidth="0" w:num="1">
            <w:col w:w="10280"/>
          </w:cols>
          <w:pgMar w:left="1160" w:top="1009" w:right="800" w:bottom="254"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80"/>
          </w:cols>
          <w:pgMar w:left="1160" w:top="1009" w:right="800" w:bottom="254" w:gutter="0" w:footer="0" w:header="0"/>
          <w:type w:val="continuous"/>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20"/>
          <w:szCs w:val="20"/>
          <w:color w:val="auto"/>
        </w:rPr>
        <w:t>remains a material risk factor. As a result, this may prevent us from entering into certain business sectors, may inhibit our growth, may expose us to additional risk and financial liabilities and, in the case of an uninsured loss, may result in the loss of anticipated cash flow or the value of our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currently have catastrophic insurance policies.</w:t>
      </w:r>
    </w:p>
    <w:p>
      <w:pPr>
        <w:spacing w:after="0" w:line="223"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There are certain types of losses, generally of a catastrophic nature, such as earthquakes, floods, hurricanes, terrorism or acts of war, which may be uninsurable or not economically insurable. Inflation, changes in building codes and ordinances, environmental considerations and other factors, including terrorism or acts of war, also might result in insurance proceeds insufficient to repair or replace an asset if it is damaged or destroyed. We do not currently have insurance policies to protect us from the type of losses described above or restore our economic position with respect to any of our loans, although we generally require that our borrowers do carry such insurance policies for collateralized real estate properties. Any uninsured loss could result in the loss of anticipated cash flow from, and the asset value of, the affected asset and the value of our loan related to such asset. In addition, we do not currently carry directors’ and officers’ insurance.</w:t>
      </w:r>
    </w:p>
    <w:p>
      <w:pPr>
        <w:spacing w:after="0" w:line="1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Subject to the approval of our Manager, our Board (which must include a majority of our independent directors) may change our investment strategies or guidelines, financing strategies or leverage policies without the consent of our stockholders.</w:t>
      </w:r>
    </w:p>
    <w:p>
      <w:pPr>
        <w:spacing w:after="0" w:line="139"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Subject to the approval of our Manager, our Board (which must include a majority of our independent directors) may change our investment strategies or guidelines, financing strategies or leverage policies with respect to loans, originations, acquisitions, growth, operations, indebtedness, capitalization and distributions at any time without the consent of our stockholders, which could result in a loan portfolio with a different risk profile than that of our existing portfolio or of a portfolio comprised of our target loans. A change in our investment strategy may increase our exposure to interest rate risk, default risk and real estate market and cannabis industry fluctuations. Furthermore, a change in our asset allocation could result in our making loans in asset categories different from those described in this annual report on Form 10-K.</w:t>
      </w:r>
    </w:p>
    <w:p>
      <w:pPr>
        <w:spacing w:after="0" w:line="189" w:lineRule="exact"/>
        <w:rPr>
          <w:sz w:val="20"/>
          <w:szCs w:val="20"/>
          <w:color w:val="auto"/>
        </w:rPr>
      </w:pPr>
    </w:p>
    <w:p>
      <w:pPr>
        <w:jc w:val="both"/>
        <w:ind w:firstLine="709"/>
        <w:spacing w:after="0" w:line="272" w:lineRule="auto"/>
        <w:rPr>
          <w:sz w:val="20"/>
          <w:szCs w:val="20"/>
          <w:color w:val="auto"/>
        </w:rPr>
      </w:pPr>
      <w:r>
        <w:rPr>
          <w:rFonts w:ascii="Times New Roman" w:cs="Times New Roman" w:eastAsia="Times New Roman" w:hAnsi="Times New Roman"/>
          <w:sz w:val="20"/>
          <w:szCs w:val="20"/>
          <w:color w:val="auto"/>
        </w:rPr>
        <w:t>These changes could adversely affect our financial condition, results of operations, the market price of our equity and our ability to make distributions to our stockholders.</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To the extent OID and PIK-interest constitute a portion of our income, we are exposed to typical risks associated with such income being required to be included in taxable and accounting income prior to receipt of cash representing such income.</w:t>
      </w:r>
    </w:p>
    <w:p>
      <w:pPr>
        <w:spacing w:after="0" w:line="163"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Certain of our investments include original-issue-discount instruments and contractual PIK-interest arrangements. To the extent OID or PIK-interest constitutes a portion of our income, we are exposed to typical risks associated with such income being required to be included in taxable and accounting income prior to receipt of cash, including the following:</w:t>
      </w:r>
    </w:p>
    <w:p>
      <w:pPr>
        <w:spacing w:after="0" w:line="191" w:lineRule="exact"/>
        <w:rPr>
          <w:sz w:val="20"/>
          <w:szCs w:val="20"/>
          <w:color w:val="auto"/>
        </w:rPr>
      </w:pPr>
    </w:p>
    <w:p>
      <w:pPr>
        <w:jc w:val="both"/>
        <w:ind w:left="980" w:hanging="362"/>
        <w:spacing w:after="0" w:line="248" w:lineRule="auto"/>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higher interest rates of OID and PIK instruments reflect the payment deferral, which may result in a higher principal amount at the maturity of the instrument as compared to the original principal amount of the instrument, and increased credit risk associated with these instruments, and OID and PIK instruments generally represent a higher credit risk than traditional coupon-only loans.</w:t>
      </w:r>
    </w:p>
    <w:p>
      <w:pPr>
        <w:spacing w:after="0" w:line="199"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Even if the accounting conditions for income accrual are met, the borrower could still default when our actual collection is supposed to occur at the maturity of the obligation.</w:t>
      </w:r>
    </w:p>
    <w:p>
      <w:pPr>
        <w:spacing w:after="0" w:line="174"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OID and PIK instruments may have unreliable valuations because their continuing accruals require continuing judgments about the collectability of the deferred payments and the value of any associated collateral. OID and PIK-income may also create uncertainty about the source of our cash distributions.</w:t>
      </w:r>
    </w:p>
    <w:p>
      <w:pPr>
        <w:spacing w:after="0" w:line="192" w:lineRule="exact"/>
        <w:rPr>
          <w:rFonts w:ascii="Arial" w:cs="Arial" w:eastAsia="Arial" w:hAnsi="Arial"/>
          <w:sz w:val="20"/>
          <w:szCs w:val="20"/>
          <w:color w:val="auto"/>
        </w:rPr>
      </w:pPr>
    </w:p>
    <w:p>
      <w:pPr>
        <w:jc w:val="both"/>
        <w:ind w:left="980" w:hanging="362"/>
        <w:spacing w:after="0" w:line="248" w:lineRule="auto"/>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199"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For accounting purposes, any cash distributions to stockholders representing OID and PIK-income are not treated as coming from paid-in capital, but rather retained earnings derived from REIT taxable income.</w:t>
      </w:r>
    </w:p>
    <w:p>
      <w:pPr>
        <w:spacing w:after="0" w:line="174"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In certain cases, our taxable income may exceed our net cash provided by operating activities, as a result, we may have difficulty meeting the annual distribution requirement necessary to maintain our tax treatment as a REIT.</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80"/>
          </w:cols>
          <w:pgMar w:left="1160" w:top="1009" w:right="800" w:bottom="254"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i w:val="1"/>
          <w:iCs w:val="1"/>
          <w:color w:val="auto"/>
        </w:rPr>
        <w:t>We may pay our Manager an incentive fee on certain investments that include a deferred interest feature.</w:t>
      </w:r>
    </w:p>
    <w:p>
      <w:pPr>
        <w:spacing w:after="0" w:line="223"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We underwrite our loans to generally include an end-of-term payment, a PIK interest payment and/or OID. Our end -of-term payments are contractual and fixed interest payments due at the maturity date of the loan, including upon prepayment, and are generally a fixed percentage of the original principal balance of the loan. The portion of our end-of-term payments which equal the difference between our yield-to-maturity and the stated interest rate on the loan are recognized as non-cash income or OID until they are paid.</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We may have difficulty paying our required distributions under applicable tax rules if we recognize income before or without receiving cash representing such income.</w:t>
      </w:r>
    </w:p>
    <w:p>
      <w:pPr>
        <w:spacing w:after="0" w:line="163"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For U.S. federal income tax purposes, we may be required to include in income certain amounts before our receipt of the cash attributable to such amounts, such as OID or PIK interest, which represents contractual interest added to the loan balance and due at the end of the loan term. For example, such OID or increases in loan balances as a result of PIK interest will be included in income before we receive any corresponding cash payments. Also, we may be required to include in income other amounts that we will not receive in cash, including, for example, non-cash income from PIK securities, deferred payment securities and hedging and foreign currency transactions. In addition, we intend to seek debt investments in the secondary market that represent attractive risk-adjusted returns, taking into account both stated interest rates and current market discounts to par value. Such market discounts may be included in income before we receive any corresponding cash payments.</w:t>
      </w:r>
    </w:p>
    <w:p>
      <w:pPr>
        <w:spacing w:after="0" w:line="191"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Since we may recognize income before or without receiving cash representing such income, we may have difficulty meeting the U.S. federal income tax requirement to distribute generally an amount equal to at least 90% of our REIT taxable income to maintain our status as a REIT.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as a REIT and thus be subject to additional corporate-level taxes. However, in order to satisfy the Annual Distribution Requirement for a REIT, we may, but have no current intention to, declare a large portion of a dividend in shares of our common stock instead of in cash. As long as a portion of such dividend is paid in cash (which portion may be as low as 20% of such dividend) and certain requirements are met, the entire distribution will be treated as a dividend for U.S. federal income tax purposes.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expose ourselves to risks associated with the inclusion of non-cash income prior to receipt of cash.</w:t>
      </w:r>
    </w:p>
    <w:p>
      <w:pPr>
        <w:spacing w:after="0" w:line="223" w:lineRule="exact"/>
        <w:rPr>
          <w:sz w:val="20"/>
          <w:szCs w:val="20"/>
          <w:color w:val="auto"/>
        </w:rPr>
      </w:pPr>
    </w:p>
    <w:p>
      <w:pPr>
        <w:jc w:val="both"/>
        <w:ind w:firstLine="709"/>
        <w:spacing w:after="0" w:line="272" w:lineRule="auto"/>
        <w:rPr>
          <w:sz w:val="20"/>
          <w:szCs w:val="20"/>
          <w:color w:val="auto"/>
        </w:rPr>
      </w:pPr>
      <w:r>
        <w:rPr>
          <w:rFonts w:ascii="Times New Roman" w:cs="Times New Roman" w:eastAsia="Times New Roman" w:hAnsi="Times New Roman"/>
          <w:sz w:val="20"/>
          <w:szCs w:val="20"/>
          <w:color w:val="auto"/>
        </w:rPr>
        <w:t>To the extent we invest in OID instruments, including PIK loans and zero coupon bonds, investors will be exposed to the risks associated with the inclusion of such non-cash income in taxable and accounting income prior to receipt of cash.</w:t>
      </w:r>
    </w:p>
    <w:p>
      <w:pPr>
        <w:spacing w:after="0" w:line="161"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The deferred nature of payments on PIK loans creates specific risks. Interest payments deferred on a PIK loan are subject to the risk that the borrower may default when the deferred payments are due in cash at the maturity of the loan. Since the payment of PIK income does not result in cash payments to us, we may also have to sell some of our investments at times we would not consider advantageous, raise additional debt or equity capital or reduce new investment originations (and thus hold higher cash balances, which could reduce returns) to pay our expenses or make distributions to stockholders in the ordinary course of business, even if such loans do not default. An election to defer PIK interest payments by adding them to principal increases our gross assets and, thus, increases future base management fees to the Manager. The deferral of interest on a PIK loan increases its loan-to-value ratio, which is a measure of the riskiness of a loan.</w:t>
      </w:r>
    </w:p>
    <w:p>
      <w:pPr>
        <w:spacing w:after="0" w:line="191"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More generally, market prices of OID instruments are more volatile because they are impacted to a greater extent by interest rate changes than instruments that pay interest periodically in cash. Additionally, we will be required under the tax laws to make distributions of non-cash income to stockholders without receiving any cash. Such required cash distributions may have to be paid from the sale of our assets without investors being given any notice of this fact. The required recognition of non-cash income, including PIK and OID interest, for U.S. federal income tax purposes may have a negative impact on liquidity because it represents a non-cash component of our taxable income that must, nevertheless, be distributed to investors to avoid us being subject to corporate level taxation.</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Changes in laws or regulations governing our operations, including laws and regulations governing cannabis and REITs, changes in the interpretation thereof or newly enacted laws or regulations and any failure by us to comply with these laws or regulations, could require changes to certain of our business practices, negatively impact our operations, cash flow or financial condition, impose additional costs on us or otherwise adversely affect our business.</w:t>
      </w:r>
    </w:p>
    <w:p>
      <w:pPr>
        <w:spacing w:after="0" w:line="184" w:lineRule="exact"/>
        <w:rPr>
          <w:sz w:val="20"/>
          <w:szCs w:val="20"/>
          <w:color w:val="auto"/>
        </w:rPr>
      </w:pPr>
    </w:p>
    <w:p>
      <w:pPr>
        <w:jc w:val="both"/>
        <w:ind w:firstLine="709"/>
        <w:spacing w:after="0" w:line="272" w:lineRule="auto"/>
        <w:rPr>
          <w:sz w:val="20"/>
          <w:szCs w:val="20"/>
          <w:color w:val="auto"/>
        </w:rPr>
      </w:pPr>
      <w:r>
        <w:rPr>
          <w:rFonts w:ascii="Times New Roman" w:cs="Times New Roman" w:eastAsia="Times New Roman" w:hAnsi="Times New Roman"/>
          <w:sz w:val="20"/>
          <w:szCs w:val="20"/>
          <w:color w:val="auto"/>
        </w:rPr>
        <w:t>We and our portfolio companies are subject to laws and regulations at the local, state and federal levels, including laws and regulations governing cannabis and REITs by state and federal governments. These laws and regulations, as well as their</w:t>
      </w:r>
    </w:p>
    <w:p>
      <w:pPr>
        <w:sectPr>
          <w:pgSz w:w="12240" w:h="15840" w:orient="portrait"/>
          <w:cols w:equalWidth="0" w:num="1">
            <w:col w:w="10280"/>
          </w:cols>
          <w:pgMar w:left="1160" w:top="1011" w:right="800" w:bottom="254" w:gutter="0" w:footer="0" w:header="0"/>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80"/>
          </w:cols>
          <w:pgMar w:left="1160" w:top="1011" w:right="800" w:bottom="254" w:gutter="0" w:footer="0" w:header="0"/>
          <w:type w:val="continuous"/>
        </w:sectPr>
      </w:pPr>
    </w:p>
    <w:bookmarkStart w:id="45" w:name="page46"/>
    <w:bookmarkEnd w:id="45"/>
    <w:p>
      <w:pPr>
        <w:jc w:val="both"/>
        <w:spacing w:after="0" w:line="243" w:lineRule="auto"/>
        <w:rPr>
          <w:sz w:val="20"/>
          <w:szCs w:val="20"/>
          <w:color w:val="auto"/>
        </w:rPr>
      </w:pPr>
      <w:r>
        <w:rPr>
          <w:rFonts w:ascii="Times New Roman" w:cs="Times New Roman" w:eastAsia="Times New Roman" w:hAnsi="Times New Roman"/>
          <w:sz w:val="20"/>
          <w:szCs w:val="20"/>
          <w:color w:val="auto"/>
        </w:rPr>
        <w:t>interpretation, may change from time to time, and new laws and regulations may be enacted, and enforcement priorities may shift, such as the possibility of more rigorous regulatory enforcement and reinterpretation of existing cannabis regulations. We cannot predict the nature and timing of future laws, regulations, interpretations or applications, or their potential effect. However, any change in these laws or regulations, changes in their interpretation, or newly enacted laws or regulations and any failure by us to comply with current or new laws or regulations or such changes thereto, could require changes to certain of our business practices, negatively impact our operations, cash flow or financial condition, impose additional costs on us or otherwise adversely affect our business.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obtain or maintain required licenses and authorizations to conduct our business and may fail to comply with various state and federal laws and regulations applicable to our business.</w:t>
      </w:r>
    </w:p>
    <w:p>
      <w:pPr>
        <w:spacing w:after="0" w:line="163"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In general, lending is a highly regulated industry in the United States and we are required to comply with, among other statutes and regulations, certain provisions of the Equal Credit Opportunity Act of 1974 (the “Equal Credit Opportunity Act”) that are applicable to commercial loans, the Uniting and Strengthening America by Providing Appropriate Tools Required to Intercept and Obstruct Terrorism Act of 2001 (the “USA Patriot Act”), regulations promulgated by the Office of Foreign Assets Control, various laws, rules and regulations related to the cannabis industry and U.S. federal and state securities laws and regulations. In addition, certain states have adopted laws or regulations that may, among other requirements, require licensing of lenders and financiers, prescribe disclosures of certain contractual terms, impose limitations on interest rates and other charges, and limit or prohibit certain collection practices and creditor remedies.</w:t>
      </w:r>
    </w:p>
    <w:p>
      <w:pPr>
        <w:spacing w:after="0" w:line="191"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There is no guarantee that we will be able to obtain, maintain or renew any required licenses or authorizations to conduct our business or that we would not experience significant delays in obtaining these licenses and authorizations. As a result, we could be delayed in conducting certain business if we were first required to obtain certain licenses or authorizations or if renewals thereof were delayed. Furthermore, once licenses are issued and authorizations are obtained, we are required to comply with various information reporting and other regulatory requirements to maintain those licenses and authorizations, and there is no assurance that we will be able to satisfy those requirements or other regulatory requirements applicable to our business on an ongoing basis, which may restrict our business and could expose us to penalties or other claims.</w:t>
      </w:r>
    </w:p>
    <w:p>
      <w:pPr>
        <w:spacing w:after="0" w:line="189"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Any failure to obtain, maintain or renew required licenses and authorizations or failure to comply with regulatory requirements that are applicable to our business could result in material fines and disruption to our business and could have a material adverse effect on our business, financial condition, operating results and our ability to make distributions to our stockholders.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Uncertainty and adverse changes in macroeconomic conditions of markets in which we participate and increased costs of energy, labor, construction materials and other factors could have an adverse impact on our financial performance and results of operations.</w:t>
      </w:r>
    </w:p>
    <w:p>
      <w:pPr>
        <w:spacing w:after="0" w:line="177"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Our business and the companies with which we do business are subject to risks and uncertainties caused by factors beyond our control. Such factors include economic pressures related to high inflation, interest rate uncertainty, economic weakness or recession, as well as geopolitical and public health events such as the Russia-Ukraine and Israel-Hamas wars, pandemics, workforce expectations, and labor shortages.</w:t>
      </w:r>
    </w:p>
    <w:p>
      <w:pPr>
        <w:spacing w:after="0" w:line="183"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These and other similar conditions and events have resulted in, and could lead to a tightening of credit and capital markets, lower levels of liquidity, lower consumer and business spending, unemployment, declines in real estate values, increases in employee-related costs, and other adverse economic conditions. These changes may negatively affect the performance of our borrowers, increase exposure to credit losses, increase the cost and decrease the availability of financing, or increase our recurring operational costs.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Cannabis Industry and Related Regulations</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Cannabis remains illegal under federal law, and therefore, strict enforcement of federal laws regarding cannabis would likely result in our inability to execute our business plan.</w:t>
      </w:r>
    </w:p>
    <w:p>
      <w:pPr>
        <w:spacing w:after="0" w:line="13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Cannabis, other than hemp, is a Schedule I controlled substance under the CSA. Even in states or territories that have legalized cannabis to some extent, the cultivation, possession and sale of cannabis all remain violations of federal law that are punishable by imprisonment, substantial fines and forfeiture. Moreover, individuals and entities may violate federal law if they aid and abet another in violating these federal controlled substance laws, or conspire with another to violate them, and violating the federal cannabis laws is a predicate for certain other crimes under the anti-money laundering laws and The Racketeer Influenced and Corrupt Organizations Act. Monitoring our compliance with these laws is a critical component of our business.</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80"/>
          </w:cols>
          <w:pgMar w:left="1160" w:top="1009" w:right="800" w:bottom="254" w:gutter="0" w:footer="0" w:header="0"/>
          <w:type w:val="continuous"/>
        </w:sectPr>
      </w:pPr>
    </w:p>
    <w:bookmarkStart w:id="46" w:name="page47"/>
    <w:bookmarkEnd w:id="46"/>
    <w:p>
      <w:pPr>
        <w:jc w:val="both"/>
        <w:spacing w:after="0" w:line="272" w:lineRule="auto"/>
        <w:rPr>
          <w:sz w:val="20"/>
          <w:szCs w:val="20"/>
          <w:color w:val="auto"/>
        </w:rPr>
      </w:pPr>
      <w:r>
        <w:rPr>
          <w:rFonts w:ascii="Times New Roman" w:cs="Times New Roman" w:eastAsia="Times New Roman" w:hAnsi="Times New Roman"/>
          <w:sz w:val="20"/>
          <w:szCs w:val="20"/>
          <w:color w:val="auto"/>
        </w:rPr>
        <w:t>The U.S. Supreme Court has ruled that the federal government has the authority to regulate and criminalize the sale, possession and use of cannabis, even for individual medical purposes, regardless of whether it is legal under state law.</w:t>
      </w:r>
    </w:p>
    <w:p>
      <w:pPr>
        <w:spacing w:after="0" w:line="131"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For several years, the U.S. government generally has not enforced those laws against cannabis companies complying with state law and their vendors. We would likely be unable to execute our business plan if the federal government were to reverse its long-standing hands-off approach to the state legal cannabis markets, described below, and start strictly enforcing federal law regarding cannabis.</w:t>
      </w:r>
    </w:p>
    <w:p>
      <w:pPr>
        <w:spacing w:after="0" w:line="153"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On January 4, 2018, then acting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President Obama’s administration. Describing the criminal enforcement of federal cannabis prohibitions against those complying with state cannabis regulatory systems as an inefficient use of federal investigative and prosecutorial resources, the Cole Memo identified a list of federal enforcement priorities, including preventing interstate diversion or distribution of cannabis to minors, to focus enforcement efforts against operations that implicated these priorities.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over six years ago, however, U.S. Attorneys have not prosecuted state law compliant entities.</w:t>
      </w:r>
    </w:p>
    <w:p>
      <w:pPr>
        <w:spacing w:after="0" w:line="169"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Former Attorney General William Barr testified in his confirmation hearing on January 15, 2019, that he would not upset “settled expectations,” “investments,” or other “reliance interest[s]” arising as a result of the Cole Memo, and that he did not intend to use federal resources to enforce federal cannabis laws in states that have legalized cannabis “to the extent people are complying with the state laws.” He stated: “My approach to this would be not to upset settled expectations and the reliance interest that have arisen as a result of the Cole Memorandum and investments have been made and so there has been reliance on it, so I don’t think it’s appropriate to upset those interests.” He also implied that the CSA’s prohibitions of cannabis may be null in states that have legalized cannabis: “T]he current situation … is almost like a back door nullification of federal law.” Industry observers generally did not interpret Attorney General Barr’s comments to suggest that the DOJ would proceed with cases against participants who entered the state-legal industry after the Cole Memo had been rescinded.</w:t>
      </w:r>
    </w:p>
    <w:p>
      <w:pPr>
        <w:spacing w:after="0" w:line="166"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9"/>
          <w:szCs w:val="19"/>
          <w:color w:val="auto"/>
        </w:rPr>
        <w:t>President Biden, at the time he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This did not occur during his term. Although the U.S. Attorney General could order federal prosecutors not to interfere with cannabis businesses operating in compliance with states’ laws, the President alone cannot legalize medical cannabis, and as states have demonstrated, legalizing medical cannabis can take many different forms. President Biden issued a directive in October 2022 asking the Secretary of Health and Human Services and the Attorney General to review “expeditiously .</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 . how marijuana is scheduled under federal law.” In August 2023, the U.S. Department of Health and Human Services (“HHS”) recommended to the DEA that cannabis be reclassified from a Schedule I drug to a Schedule III drug under the CSA. HHS based this recommendation on a Food and Drug Administration (“FDA”) review of cannabis’ classification pursuant to President Biden’s directive in October 2022. On May 16, 2024, the Justice Department announced that the Attorney General had submitted a notice of proposed rulemaking that proposed moving marijuana from Schedule I to Schedule III, in accordance with the HHS recommendation.</w:t>
      </w:r>
    </w:p>
    <w:p>
      <w:pPr>
        <w:spacing w:after="0" w:line="162" w:lineRule="exact"/>
        <w:rPr>
          <w:sz w:val="20"/>
          <w:szCs w:val="20"/>
          <w:color w:val="auto"/>
        </w:rPr>
      </w:pPr>
    </w:p>
    <w:p>
      <w:pPr>
        <w:jc w:val="both"/>
        <w:ind w:firstLine="355"/>
        <w:spacing w:after="0" w:line="245" w:lineRule="auto"/>
        <w:rPr>
          <w:sz w:val="20"/>
          <w:szCs w:val="20"/>
          <w:color w:val="auto"/>
        </w:rPr>
      </w:pPr>
      <w:r>
        <w:rPr>
          <w:rFonts w:ascii="Times New Roman" w:cs="Times New Roman" w:eastAsia="Times New Roman" w:hAnsi="Times New Roman"/>
          <w:sz w:val="20"/>
          <w:szCs w:val="20"/>
          <w:color w:val="auto"/>
        </w:rPr>
        <w:t>A hearing on the proposed rulemaking took place in December 2024 before an administrative law judge (</w:t>
      </w:r>
      <w:r>
        <w:rPr>
          <w:rFonts w:ascii="Times New Roman" w:cs="Times New Roman" w:eastAsia="Times New Roman" w:hAnsi="Times New Roman"/>
          <w:sz w:val="20"/>
          <w:szCs w:val="20"/>
          <w:b w:val="1"/>
          <w:bCs w:val="1"/>
          <w:color w:val="auto"/>
        </w:rPr>
        <w:t>ALJ</w:t>
      </w:r>
      <w:r>
        <w:rPr>
          <w:rFonts w:ascii="Times New Roman" w:cs="Times New Roman" w:eastAsia="Times New Roman" w:hAnsi="Times New Roman"/>
          <w:sz w:val="20"/>
          <w:szCs w:val="20"/>
          <w:color w:val="auto"/>
        </w:rPr>
        <w:t>). The ALJ originally scheduled testimony on the proposed rescheduling through March 2025, but on January 13, the scheduled testimony was cancelled to allow an interlocutory appeal by a pro-rescheduling group. While this was still pending, on December 18, 2025, President Trump announced that he was “signing an executive order to reschedule marijuana from a Schedule I to a Schedule III Controlled substance with legitimate medical uses.” While the Executive Order requires the Attorney General to expedite the rescheduling process, an exact timeline remains unclear</w:t>
      </w:r>
    </w:p>
    <w:p>
      <w:pPr>
        <w:spacing w:after="0" w:line="385"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current Trump administration has not taken a singular official stance on cannabis, and it is therefore unclear whether the process of rescheduling will continue and, if so, what the timeline would be. Even in an expedited format, the re- or descheduling process could take months, or even years. Rescheduling cannabis to CSA Schedule III would ease certain research restrictions, but it would not make the state medical or adult use programs federally legal unless they were compliant with the FDA regulation of cannabis as a Schedule III drug.</w:t>
      </w:r>
    </w:p>
    <w:p>
      <w:pPr>
        <w:spacing w:after="0" w:line="156"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Federal prosecutors have significant discretion, and no assurance can be given that the federal prosecutor in each judicial district where we make a loan will not choose to strictly enforce the federal laws governing cannabis manufacturing or</w:t>
      </w:r>
    </w:p>
    <w:p>
      <w:pPr>
        <w:sectPr>
          <w:pgSz w:w="12240" w:h="15840" w:orient="portrait"/>
          <w:cols w:equalWidth="0" w:num="1">
            <w:col w:w="10280"/>
          </w:cols>
          <w:pgMar w:left="1160" w:top="1009" w:right="800" w:bottom="254"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80"/>
          </w:cols>
          <w:pgMar w:left="1160" w:top="1009" w:right="800" w:bottom="254" w:gutter="0" w:footer="0" w:header="0"/>
          <w:type w:val="continuous"/>
        </w:sectPr>
      </w:pPr>
    </w:p>
    <w:bookmarkStart w:id="47" w:name="page48"/>
    <w:bookmarkEnd w:id="47"/>
    <w:p>
      <w:pPr>
        <w:jc w:val="both"/>
        <w:spacing w:after="0" w:line="246" w:lineRule="auto"/>
        <w:rPr>
          <w:sz w:val="20"/>
          <w:szCs w:val="20"/>
          <w:color w:val="auto"/>
        </w:rPr>
      </w:pPr>
      <w:r>
        <w:rPr>
          <w:rFonts w:ascii="Times New Roman" w:cs="Times New Roman" w:eastAsia="Times New Roman" w:hAnsi="Times New Roman"/>
          <w:sz w:val="20"/>
          <w:szCs w:val="20"/>
          <w:color w:val="auto"/>
        </w:rPr>
        <w:t>distribution. Any change in the federal government’s enforcement posture with respect to state- licensed cultivation, distribution, sale or use of cannabis, including the enforcement postures of individual federal prosecutors in judicial districts where we make our loans, would result in our inability to execute our business plan, and we would likely suffer significant losses with respect to our loans to cannabis industry participants in the United States, which would adversely affect our operations, cash flow and financial condition.</w:t>
      </w:r>
    </w:p>
    <w:p>
      <w:pPr>
        <w:spacing w:after="0" w:line="156"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Since fiscal year 2015, Congress has included in certain annual federal appropriations legislation a provision commonly referred to as the Rohrabacher–Farr amendment (also known as the Rohrabacher–Blumenauer amendment). This provision prohibits the U.S. Department of Justice (“DOJ”) from using appropriated funds to prevent states from implementing their laws authorizing the use, distribution, possession, or cultivation of medical cannabis.</w:t>
      </w:r>
    </w:p>
    <w:p>
      <w:pPr>
        <w:spacing w:after="0" w:line="15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Courts have interpreted this rider to restrict the DOJ from expending funds to prosecute individuals or entities that are strictly compliant with applicable state medical cannabis laws, so long as the rider remains in effect. However, the amendment does not legalize cannabis under federal law, does not amend the Controlled Substances Act (“CSA”), and does not apply to adult-use or recreational cannabis programs.</w:t>
      </w:r>
    </w:p>
    <w:p>
      <w:pPr>
        <w:spacing w:after="0" w:line="15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Rohrabacher–Farr amendment is not permanent legislation. Rather, it is a temporary appropriations rider that must be renewed in each applicable federal spending bill. If Congress were to omit or modify this provision in future appropriations legislation, the DOJ could resume expending funds to enforce federal cannabis laws against state-compliant medical cannabis operators. Accordingly, the continuation of this protection is subject to the annual federal appropriations process and political considerations beyond our control.</w:t>
      </w:r>
    </w:p>
    <w:p>
      <w:pPr>
        <w:spacing w:after="0" w:line="156"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As a result, there can be no assurance that federal enforcement priorities will not change, that this appropriations restriction will be extended in future fiscal years, or that federal authorities will not seek to enforce the CSA against cannabis-related activities, including those compliant with state medical cannabis laws.</w:t>
      </w:r>
    </w:p>
    <w:p>
      <w:pPr>
        <w:spacing w:after="0" w:line="147"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Our loans do not prohibit our borrowers from engaging in the cannabis business for adult-use that is permissible under state and local laws. Consequently, certain of our borrowers currently (and may in the future) cultivate adult-use cannabis with the proceeds of our loans, if permitted by such state and local laws now or in the future. This could subject our borrowers to greater and/or different federal legal and other risks as compared to businesses where cannabis is cultivated exclusively for medical use, which could materially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to state or federal laws regarding hemp might result in limitations or our inability to execute our business plan.</w:t>
      </w:r>
    </w:p>
    <w:p>
      <w:pPr>
        <w:spacing w:after="0" w:line="19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Although hemp and hemp-derived products containing no more than .3% delta-9 THC on a dry-weight basis were removed from the definition of marijuana in in the CSA under the 2018 Farm Bill, subsequent federal legislation has modified this framework as detailed below. In addition, a number of states have enacted statutes and regulations that restrict or prohibit manufacture, sale and distribution of certain hemp-derived cannabinoid products, even where such products may be federally lawful.</w:t>
      </w:r>
    </w:p>
    <w:p>
      <w:pPr>
        <w:spacing w:after="0" w:line="156"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On November 12, 2025, H.R. 5371, the Continuing Appropriations, Agriculture, Legislative Branch, Military Construction and Veterans Affairs, and Extensions Act, 2026 (the “2026 Extensions Act”), was signed into law. In addition to extending certain authorities under the 2018 Farm Bill, the 2026 Extensions Act amended the federal definition of “hemp” and imposed new restrictions applicable to hemp and hemp-derived cannabinoid products.</w:t>
      </w:r>
    </w:p>
    <w:p>
      <w:pPr>
        <w:spacing w:after="0" w:line="15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Under the 2018 Farm Bill, hemp was defined as cannabis and cannabis derivatives containing no more than 0.3% delta-9 tetrahydrocannabinol (“THC”) on a dry-weight basis. The 2026 Extensions Act modifies this framework by adopting a “total THC” standard. As amended, hemp must contain no more than 0.3% total tetrahydrocannabinols, including delta-9 THC, tetrahydrocannabinolic acid (“THCA”), and other cannabinoids with similar effects, as determined by applicable federal authorities.</w:t>
      </w:r>
    </w:p>
    <w:p>
      <w:pPr>
        <w:spacing w:after="0" w:line="156"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The 2026 Extensions Act also establishes new limitations applicable to finished hemp-derived cannabinoid products intended for human or animal use. Such products may not contain more than 0.4 milligrams of total THC per container. In addition, the amended statute excludes from the definition of hemp certain cannabinoids that are not naturally produced by the cannabis plant or that are produced through chemical synthesis or manufacturing processes outside the plant.</w:t>
      </w:r>
    </w:p>
    <w:p>
      <w:pPr>
        <w:spacing w:after="0" w:line="15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These revised hemp provisions are scheduled to take effect on November 12, 2026, following a one-year implementation period. Upon effectiveness, products that do not meet the revised definition of hemp or applicable THC limits may no longer qualify as federally lawful hemp under the Controlled Substances Act.</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80"/>
          </w:cols>
          <w:pgMar w:left="1160" w:top="1009" w:right="800" w:bottom="254" w:gutter="0" w:footer="0" w:header="0"/>
          <w:type w:val="continuous"/>
        </w:sectPr>
      </w:pPr>
    </w:p>
    <w:bookmarkStart w:id="48" w:name="page49"/>
    <w:bookmarkEnd w:id="48"/>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As a result of these statutory amendments, the regulatory framework governing hemp and hemp-derived cannabinoid products will become more restrictive beginning in late 2026. The ultimate impact of these changes on the hemp industry, including the availability and marketability of certain hemp-derived products, will depend on future regulatory implementation, enforcement practices, and any additional legislative action.</w:t>
      </w:r>
    </w:p>
    <w:p>
      <w:pPr>
        <w:spacing w:after="0" w:line="153"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Our loans do not prohibit our borrowers from engaging in the cannabis business that is permissible under state and local laws. The dynamics involved with hemp-derived cannabinoids are becoming complex, and in the face of ever-changing laws, policies will need to address whether our borrowers can engage in hemp business that is permissible under federal law, but not under state and local laws. It will also need to address the likelihood of ongoing changes on the state and local level as to what hemp products are legal. This could subject our borrowers to greater and/or different federal legal, state legal, and other risks as compared to businesses where hemp is not used to create ingestible products, which could materially adversely affect our business.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ability to grow our business depends on current state laws pertaining to the cannabis industry. New laws that are adverse to our borrowers may be enacted at the federal or state level, and current favorable state or national laws or enforcement guidelines relating to cultivation, production and distribution of cannabis may be modified or eliminated in the future, which would impede our ability to grow our business under our current business plan and could materially adversely affect our business.</w:t>
      </w:r>
    </w:p>
    <w:p>
      <w:pPr>
        <w:spacing w:after="0" w:line="159"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9"/>
          <w:szCs w:val="19"/>
          <w:color w:val="auto"/>
        </w:rPr>
        <w:t>Continued development of the cannabis industry depends upon continued legislative authorization of cannabis at the state level, along with no significant adverse regulatory efforts at the federal level. The status quo of, or progress in, the regulated cannabis industry, while encouraging, is not assured and any number of factors could slow or halt further progress in this area. While there may be ample public support for legislative action permitting the manufacture and use of cannabis, numerous factors impact and can delay the legislative and regulatory processes. For example, many states that legalized medical-use and/or adult-use cannabis have seen significant delays in the drafting and implementation of industry regulations and issuance of licenses. In addition, burdensome regulations at the state level could slow or stop further development of the medical-use and/or adult-use cannabis industry, such as limiting the medical conditions for which medical-use cannabis can be recommended, restricting the form in which medical-use or adult-use cannabis can be consumed, or imposing significant taxes on the growth, processing and/or retail sales of cannabis, each of which could have the impact of dampening growth of the cannabis industry and making it difficult for cannabis businesses, including our borrowers, to operate profitably in those states. Any one of these factors could slow or halt additional legislative authorization of cannabis, which could harm our business prospects.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FDA regulation of cannabis could negatively affect the cannabis industry, which would directly affect our financial condition.</w:t>
      </w:r>
    </w:p>
    <w:p>
      <w:pPr>
        <w:spacing w:after="0" w:line="205" w:lineRule="exact"/>
        <w:rPr>
          <w:sz w:val="20"/>
          <w:szCs w:val="20"/>
          <w:color w:val="auto"/>
        </w:rPr>
      </w:pPr>
    </w:p>
    <w:p>
      <w:pPr>
        <w:jc w:val="both"/>
        <w:ind w:firstLine="355"/>
        <w:spacing w:after="0" w:line="239" w:lineRule="auto"/>
        <w:rPr>
          <w:sz w:val="20"/>
          <w:szCs w:val="20"/>
          <w:color w:val="auto"/>
        </w:rPr>
      </w:pPr>
      <w:r>
        <w:rPr>
          <w:rFonts w:ascii="Times New Roman" w:cs="Times New Roman" w:eastAsia="Times New Roman" w:hAnsi="Times New Roman"/>
          <w:sz w:val="20"/>
          <w:szCs w:val="20"/>
          <w:color w:val="auto"/>
        </w:rPr>
        <w:t>Should the federal government legalize cannabis for adult-use and/or medical-use, or if cannabis is rescheduled to Schedule III, it is possible that the U.S. Food and Drug Administration (the “FDA”) may have some role in regulating certain cannabis product. Indeed, after the U.S. government removed hemp and its extracts from the CSA as part of the Agriculture Improvement Act of 2008, then FDA Commissioner Scott Gottlieb issued a statement reminding the public of the FDA’s continued authority “to regulate products containing cannabis or cannabis-derived compounds under the Federal Food, Drug and Cosmetic Act (the “FD&amp;C Act”) and section 351 of the Public Health Service Act.” He also reminded the public that “it’s unlawful under the FD&amp;C Act to introduce food containing added cannabidiol (“CBD”) or tetrahydrocannabinol (“THC”) into interstate commerce, or to market CBD or THC products, as, or in, dietary supplements, regardless of whether the substances are hemp-derived,” and regardless of whether health claims are made, because CBD and THC entered the FDA testing pipeline as the subject of public substantial clinical investigations for GW Pharmaceuticals’ Sativex (THC and CBD) and Epidiolex (CBD). The memo added that, prior to introduction into interstate commerce, any cannabis product, whether derived from hemp or otherwise, marketed with a disease claim (e.g., therapeutic benefit, disease prevention, etc.) must first be approved by the FDA for its intended use through one of the drug approval pathways. Notably, the FDA can look beyond the product’s express claims to find that a product is a “drug.” The definition of “drug” under the FDCA includes, in relevant part, “articles intended for use in the diagnosis, cure, mitigation, treatment, or prevention of disease in man or other animals” as well as “articles intended for use as a component of [a drug as defined in the other sections of the definition].” 21 U.S.C. § 321(g)(1). In determining “intended use,” the FDA has traditionally looked beyond a product’s label to statements made on websites, on social media, or orally by the company’s representatives.</w:t>
      </w:r>
    </w:p>
    <w:p>
      <w:pPr>
        <w:spacing w:after="0" w:line="168" w:lineRule="exact"/>
        <w:rPr>
          <w:sz w:val="20"/>
          <w:szCs w:val="20"/>
          <w:color w:val="auto"/>
        </w:rPr>
      </w:pPr>
    </w:p>
    <w:p>
      <w:pPr>
        <w:jc w:val="both"/>
        <w:ind w:firstLine="355"/>
        <w:spacing w:after="0" w:line="258" w:lineRule="auto"/>
        <w:rPr>
          <w:sz w:val="20"/>
          <w:szCs w:val="20"/>
          <w:color w:val="auto"/>
        </w:rPr>
      </w:pPr>
      <w:r>
        <w:rPr>
          <w:rFonts w:ascii="Times New Roman" w:cs="Times New Roman" w:eastAsia="Times New Roman" w:hAnsi="Times New Roman"/>
          <w:sz w:val="19"/>
          <w:szCs w:val="19"/>
          <w:color w:val="auto"/>
        </w:rPr>
        <w:t>The FDA has sent numerous warning letters to sellers of CBD, Delta-8, and intoxicating hemp products. The FDA could turn its attention to the cannabis industry in the future, and will do so if cannabis is rescheduled, effectively moving it from primary DEA oversight (as a Schedule I drug) to primary FDA oversight (as a Schedule III drug). In the event that it is rescheduled, it is expected that the FDA may have to develop new policies and procedures to address cannabis’s unique challenges as a botanical product. In addition to requiring FDA approval of cannabis products marketed as drugs, the FDA could issue rules and regulations including certified good manufacturing practices related to the growth, cultivation, harvesting and processing of cannabis. It is also possible that the FDA would require that facilities where cannabis is grown register with the FDA and comply</w:t>
      </w:r>
    </w:p>
    <w:p>
      <w:pPr>
        <w:sectPr>
          <w:pgSz w:w="12240" w:h="15840" w:orient="portrait"/>
          <w:cols w:equalWidth="0" w:num="1">
            <w:col w:w="10280"/>
          </w:cols>
          <w:pgMar w:left="1160" w:top="1009" w:right="800" w:bottom="254"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80"/>
          </w:cols>
          <w:pgMar w:left="1160" w:top="1009" w:right="800" w:bottom="254" w:gutter="0" w:footer="0" w:header="0"/>
          <w:type w:val="continuous"/>
        </w:sectPr>
      </w:pPr>
    </w:p>
    <w:bookmarkStart w:id="49" w:name="page50"/>
    <w:bookmarkEnd w:id="49"/>
    <w:p>
      <w:pPr>
        <w:jc w:val="both"/>
        <w:spacing w:after="0" w:line="246" w:lineRule="auto"/>
        <w:rPr>
          <w:sz w:val="20"/>
          <w:szCs w:val="20"/>
          <w:color w:val="auto"/>
        </w:rPr>
      </w:pPr>
      <w:r>
        <w:rPr>
          <w:rFonts w:ascii="Times New Roman" w:cs="Times New Roman" w:eastAsia="Times New Roman" w:hAnsi="Times New Roman"/>
          <w:sz w:val="20"/>
          <w:szCs w:val="20"/>
          <w:color w:val="auto"/>
        </w:rPr>
        <w:t>with certain federally prescribed regulations. Cannabis facilities are currently regulated by state and local governments. In the event that some or all of these federal enforcement and regulations are imposed, we do not know what the impact would be on the cannabis industry, including what costs, requirements and possible prohibitions may be enforced or how state legal markets may be impacted. If we or our borrowers are unable to comply with the regulations or registration as prescribed by the FDA, we and/or our borrowers may be unable to continue to operate our and their business in its current form or at all.</w:t>
      </w:r>
    </w:p>
    <w:p>
      <w:pPr>
        <w:spacing w:after="0" w:line="3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We and our borrowers may have difficulty accessing the service of banks and other financial institutions, and we may be limited in our ability to provide debt to participants in the cannabis industry, which could materially and adversely affect our business, financial condition, liquidity and results of operations.</w:t>
      </w:r>
    </w:p>
    <w:p>
      <w:pPr>
        <w:spacing w:after="0" w:line="148"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Certain financial transactions involving proceeds from the trafficking of cannabis can form a basis for prosecution under the federal money laundering statutes, unlicensed money transmitter statute and the Bank Secrecy Act. Previous guidance issued by the Financial Crimes Enforcement Network, a division of the U.S. Department of the Treasury, clarified how financial institutions can provide services to cannabis-related businesses consistent with their obligations under the Bank Secrecy Act. While the federal government has not initiated financial crimes prosecutions against state-law compliant cannabis companies or their vendors, the government theoretically could do so. The continued uncertainty surrounding financial transactions related to cannabis activities may result in financial institutions discontinuing services to the cannabis industry or limit our ability to provide loans to the cannabis industry.</w:t>
      </w:r>
    </w:p>
    <w:p>
      <w:pPr>
        <w:spacing w:after="0" w:line="162"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Consequently, those businesses involved in the regulated cannabis industry continue to encounter difficulty establishing banking relationships, which could increase over time. Our inability to maintain our current bank accounts or service our lending relationships would make it difficult for us to operate our business, increase our operating costs, and pose additional operational, logistical and security challenges and could result in our inability to implement our business plan.</w:t>
      </w:r>
    </w:p>
    <w:p>
      <w:pPr>
        <w:spacing w:after="0" w:line="15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terms of our loans require that our borrowers make payments on such loans via check, ACH, or wire transfer. Only a small percentage of financial institutions in the United States currently provide banking services to licensed companies operating in the cannabis industry. The inability of our current and potential borrowers to open accounts and continue using the services of banks will limit their ability to enter into debt arrangements with us or may result in their default under our debt agreements, either of which could materially harm our business, operations, cash flow and financial condition.</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affecting the regulated cannabis industry are continually changing, which could materially adversely affect our proposed operations, and we cannot predict the impact that future regulations may have on us.</w:t>
      </w:r>
    </w:p>
    <w:p>
      <w:pPr>
        <w:spacing w:after="0" w:line="133"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Local, state and federal cannabis laws and regulations have been evolving rapidly and are subject to varied interpretations, which could require us to incur substantial costs associated with compliance or alter our business plan and could negatively impact our borrowers or prospective borrowers, which in turn could negatively impact our business. It is also possible that regulations may be enacted in the future that will be directly applicable to our proposed business. We can know neither the nature of any future laws, regulations, interpretations or applications nor the effect additional governmental regulations or administrative policies and procedures, when and if promulgated, could have on our business. For example, if cannabis is no longer illegal under federal law, we may experience a significant increase in competition. Accordingly, any change in these laws or regulations, changes in their interpretation, or newly enacted laws or regulations and any failure by us to comply with these laws or regulations, could require changes to certain of our business practices, negatively impact our operations, cash flow or financial condition, impose additional costs on us or otherwise adversely affect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Applicable state laws may prevent us from maximizing our potential income.</w:t>
      </w:r>
    </w:p>
    <w:p>
      <w:pPr>
        <w:spacing w:after="0" w:line="19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Depending on the state, and the laws of that particular state, we may not be able to fully realize our potential to generate profit. For example, some states have residency requirements for those directly involved in the cannabis industry, which may impede our ability to contract with cannabis businesses in those states. Furthermore, cities and counties are being given broad discretion to ban certain cannabis activities. Even if these activities are legal under state law, specific cities and counties may ban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to cannabis businesses may be forfeited to the federal government.</w:t>
      </w:r>
    </w:p>
    <w:p>
      <w:pPr>
        <w:spacing w:after="0" w:line="193"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9"/>
          <w:szCs w:val="19"/>
          <w:color w:val="auto"/>
        </w:rPr>
        <w:t>Any assets used in conjunction with the violation of federal law are potentially subject to federal forfeiture, even in states that have legalized cannabis. In July 2017, the DOJ issued a new policy directive regarding asset forfeiture, referred to as the “equitable sharing program.” This policy directive represents a reversal of DOJ’s policy under President Obama’s administration, and allows for forfeitures to proceed that are not in accord with the limitations imposed by state-specific forfeiture laws. This policy directive could lead to increased use of asset forfeitures by local, state and federal enforcement agencies. If the federal</w:t>
      </w:r>
    </w:p>
    <w:p>
      <w:pPr>
        <w:sectPr>
          <w:pgSz w:w="12240" w:h="15840" w:orient="portrait"/>
          <w:cols w:equalWidth="0" w:num="1">
            <w:col w:w="10280"/>
          </w:cols>
          <w:pgMar w:left="1160" w:top="1009" w:right="800" w:bottom="254"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80"/>
          </w:cols>
          <w:pgMar w:left="1160" w:top="1009" w:right="800" w:bottom="254" w:gutter="0" w:footer="0" w:header="0"/>
          <w:type w:val="continuous"/>
        </w:sectPr>
      </w:pPr>
    </w:p>
    <w:bookmarkStart w:id="50" w:name="page51"/>
    <w:bookmarkEnd w:id="50"/>
    <w:p>
      <w:pPr>
        <w:jc w:val="both"/>
        <w:spacing w:after="0" w:line="272" w:lineRule="auto"/>
        <w:rPr>
          <w:sz w:val="20"/>
          <w:szCs w:val="20"/>
          <w:color w:val="auto"/>
        </w:rPr>
      </w:pPr>
      <w:r>
        <w:rPr>
          <w:rFonts w:ascii="Times New Roman" w:cs="Times New Roman" w:eastAsia="Times New Roman" w:hAnsi="Times New Roman"/>
          <w:sz w:val="20"/>
          <w:szCs w:val="20"/>
          <w:color w:val="auto"/>
        </w:rPr>
        <w:t>government decides to initiate forfeiture proceedings against cannabis businesses, such as the cannabis facilities that are owned or utilized by our borrowers, our loans to our borrowers would likely be materially and adversely affected.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have difficulty accessing bankruptcy courts.</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Because cannabis is illegal under federal law, federal bankruptcy protection is currently not available to parties who engage in the cannabis industry or cannabis-related businesses. Past bankruptcy rulings have denied bankruptcies for dispensaries upon the justification that businesses cannot violate federal law and then claim the benefits of federal bankruptcy for the same activity and upon the justification that courts cannot ask a bankruptcy trustee to take possession of, and distribute cannabis assets as such action would violate the CSA. Therefore, we may not be able to seek the protection of the bankruptcy courts, and this could materially affect our business or our ability to obtain credit.</w:t>
      </w:r>
    </w:p>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 loans we make may include Canadian entities within their corporate structure that have the ability to seek insolvency protections in Canada, which could materially and adversely affect our business.</w:t>
      </w:r>
    </w:p>
    <w:p>
      <w:pPr>
        <w:spacing w:after="0" w:line="13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The loans that we make may include U.S.-based companies operating in the cannabis industry with at least one Canadian entity within their corporate structure for the purpose of listing on the CSE. In May 2020, a U.S.-based cannabis company that is listed on the CSE filed for, and was granted, insolvency protection under the Companies’ Creditors Arrangement Act pursuant to Canadian law. If the applicable borrower obtains bankruptcy protections in Canada, it could restrict our ability, or create additional costs or delays involved in our efforts, to foreclose on the collateral, which will reduce the net proceeds realized and, thus, increase the potential for loss.</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We may make loans that are secured by properties that are, and will be, subject to extensive regulations, such that if such collateral was foreclosed upon those regulations may result in significant costs and materially and adversely affect our business, financial condition, liquidity and results of operations.</w:t>
      </w:r>
    </w:p>
    <w:p>
      <w:pPr>
        <w:spacing w:after="0" w:line="148"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We may make loans that are secured by properties that are, and will be, subject to various local laws and regulatory requirements, and we would be subject to such requirements if such collateral was foreclosed upon. Local property regulations may restrict the use of collateral or our ability to foreclose on the collateral. Among other things, these restrictions may relate to cultivation of cannabis, the use of water and the discharge of wastewater, fire and safety, seismic conditions, asbestos-cleanup or hazardous material abatement requirements. Due to current statutory prohibitions and exchange listing standards, we will not own any real estate used in cannabis-related operations. While our loan agreements and related mortgages provide for foreclosure remedies, receivership remedies and/or other remedies that would allow us to cause the sale or other realization of real property collateral, the regulatory requirements and statutory prohibitions related to real property used in cannabis-related operations may cause significant delays or difficulties in realizing upon the expected value of such real property collateral. We make no assurance that existing regulatory policies will not materially and adversely affect the value of such collateral, or that additional regulations will not be adopted that would increase such potential material adverse effect. The negative effect on such collateral could have a material adverse effect on our business, financial condition, liquidity and results of operations.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If we foreclose on properties securing our loans, we may have difficulty selling the properties due to the nature of specialized industrial cultivation/processing cannabis properties and the potentially limited number of high-quality operators for such properties, as well as for retail/dispensary cannabis properties.</w:t>
      </w:r>
    </w:p>
    <w:p>
      <w:pPr>
        <w:spacing w:after="0" w:line="148"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Specialized industrial cultivation/processing cannabis properties are highly specialized and require substantial investment to make them suitable for such uses. In addition, there may be a limited number of high- quality operators of specialized industrial cultivation/processing and retail/dispensary cannabis properties or a limited number of operators in a particular market that have completed the state- licensing process. As a result, if we foreclose on properties securing our loans, we may have difficulty selling such properties and may be forced to sell a property to a lower quality operator. To the extent there is a change in law or we are unable to find a suitable cannabis operator, we may be forced to sell a property at a loss to a party outside of the cannabis industry. Any of the foregoing could materially and adversely affect the value of our assets and our results of operations, financial condition and ability to pay dividends to our stockholders.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Certain assets of our borrowers may not be used as collateral or transferred to us due to applicable state laws and regulations governing the cannabis industry, and such restrictions could negatively impact our profitability.</w:t>
      </w:r>
    </w:p>
    <w:p>
      <w:pPr>
        <w:spacing w:after="0" w:line="133"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9"/>
          <w:szCs w:val="19"/>
          <w:color w:val="auto"/>
        </w:rPr>
        <w:t>Each state that has legalized cannabis in some form has adopted its own set of laws and regulations that differ from one another. In particular, laws and regulations differ among states regarding the collateralization or transferability of cannabis-related assets, such as cannabis licenses, cannabis inventory, and ownership interests in licensed cannabis companies. Some state laws and regulations where our borrowers operate may prohibit the collateralization or transferability of certain cannabis-related assets. Other states may allow the collateralization or transferability of cannabis-related assets, but with restrictions, such as meeting</w:t>
      </w:r>
    </w:p>
    <w:p>
      <w:pPr>
        <w:sectPr>
          <w:pgSz w:w="12240" w:h="15840" w:orient="portrait"/>
          <w:cols w:equalWidth="0" w:num="1">
            <w:col w:w="10280"/>
          </w:cols>
          <w:pgMar w:left="1160" w:top="1009" w:right="800" w:bottom="254"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80"/>
          </w:cols>
          <w:pgMar w:left="1160" w:top="1009" w:right="800" w:bottom="254" w:gutter="0" w:footer="0" w:header="0"/>
          <w:type w:val="continuous"/>
        </w:sectPr>
      </w:pPr>
    </w:p>
    <w:bookmarkStart w:id="51" w:name="page52"/>
    <w:bookmarkEnd w:id="51"/>
    <w:p>
      <w:pPr>
        <w:jc w:val="both"/>
        <w:spacing w:after="0" w:line="255" w:lineRule="auto"/>
        <w:rPr>
          <w:sz w:val="20"/>
          <w:szCs w:val="20"/>
          <w:color w:val="auto"/>
        </w:rPr>
      </w:pPr>
      <w:r>
        <w:rPr>
          <w:rFonts w:ascii="Times New Roman" w:cs="Times New Roman" w:eastAsia="Times New Roman" w:hAnsi="Times New Roman"/>
          <w:sz w:val="20"/>
          <w:szCs w:val="20"/>
          <w:color w:val="auto"/>
        </w:rPr>
        <w:t>certain eligibility requirements, utilization of state receiverships, and/or upon approval by the applicable regulatory authority. Prohibitions or restrictions on our ability to acquire certain cannabis-related assets securing the loans of our borrowers could have a material adverse effect on our business, financial condition, liquidity and results of operations.</w:t>
      </w:r>
    </w:p>
    <w:p>
      <w:pPr>
        <w:spacing w:after="0" w:line="138" w:lineRule="exact"/>
        <w:rPr>
          <w:sz w:val="20"/>
          <w:szCs w:val="20"/>
          <w:color w:val="auto"/>
        </w:rPr>
      </w:pPr>
    </w:p>
    <w:p>
      <w:pPr>
        <w:jc w:val="both"/>
        <w:ind w:firstLine="355"/>
        <w:spacing w:after="0" w:line="229" w:lineRule="auto"/>
        <w:rPr>
          <w:sz w:val="20"/>
          <w:szCs w:val="20"/>
          <w:color w:val="auto"/>
        </w:rPr>
      </w:pPr>
      <w:r>
        <w:rPr>
          <w:rFonts w:ascii="Times New Roman" w:cs="Times New Roman" w:eastAsia="Times New Roman" w:hAnsi="Times New Roman"/>
          <w:sz w:val="20"/>
          <w:szCs w:val="20"/>
          <w:color w:val="auto"/>
        </w:rPr>
        <w:t>Specifically, there is no limitation under state law on foreclosing on the real estate underlying the loans that we hold; however, to the extent the real estate is still being used in cannabis-related activities, we will not foreclose and take title to such real estate as doing so would violate NASDAQ listing standards. If we determine to foreclose on the real estate underlying a defaulted loan, we would have a third party collateral manager evict the tenant and have the cannabis equipment and inventory removed from such property. With respect to equipment, receivables and cash accounts, there are no limitations under state law regarding our ability to foreclose on such collateral. Foreclosing on pledged equity is subject to approval by the applicable state regulator as it would trigger a change of control, which has to be approved by the state regulator, in its discretion. Our loans are secured by liens on equity, including the equity in the entity that holds the state-issued license to cultivate, process, distribute, or retail cannabis, as the case may be, but we will not take title to such equity as doing so would violate NASDAQ listing standards. We also cannot foreclose on liens on state licenses as they are generally not transferable, nor do we have liens on cannabis inventory.</w:t>
      </w:r>
    </w:p>
    <w:p>
      <w:pPr>
        <w:spacing w:after="0" w:line="160" w:lineRule="exact"/>
        <w:rPr>
          <w:sz w:val="20"/>
          <w:szCs w:val="20"/>
          <w:color w:val="auto"/>
        </w:rPr>
      </w:pPr>
    </w:p>
    <w:p>
      <w:pPr>
        <w:jc w:val="both"/>
        <w:ind w:firstLine="355"/>
        <w:spacing w:after="0" w:line="235" w:lineRule="auto"/>
        <w:rPr>
          <w:sz w:val="20"/>
          <w:szCs w:val="20"/>
          <w:color w:val="auto"/>
        </w:rPr>
      </w:pPr>
      <w:r>
        <w:rPr>
          <w:rFonts w:ascii="Times New Roman" w:cs="Times New Roman" w:eastAsia="Times New Roman" w:hAnsi="Times New Roman"/>
          <w:sz w:val="20"/>
          <w:szCs w:val="20"/>
          <w:color w:val="auto"/>
        </w:rPr>
        <w:t>Our ability to force a sale of our real estate collateral in Arkansas, Arizona, California, Florida, Illinois, Michigan, Missouri, Nevada, New Jersey, Ohio and Pennsylvania is governed by judicial foreclosure. Under judicial foreclosure, we can enforce a judgment in foreclosure by a writ of execution. The writ directs the sheriff, clerk, special master, referee or other authorized person, as the case may be, to levy on and sell the real property, commonly at a properly noticed public auction. In Maryland, Massachusetts and West Virginia, a trustee or appointed auctioneer sells the property at a public sale.</w:t>
      </w:r>
    </w:p>
    <w:p>
      <w:pPr>
        <w:spacing w:after="0" w:line="152" w:lineRule="exact"/>
        <w:rPr>
          <w:sz w:val="20"/>
          <w:szCs w:val="20"/>
          <w:color w:val="auto"/>
        </w:rPr>
      </w:pPr>
    </w:p>
    <w:p>
      <w:pPr>
        <w:jc w:val="both"/>
        <w:ind w:firstLine="355"/>
        <w:spacing w:after="0" w:line="235" w:lineRule="auto"/>
        <w:rPr>
          <w:sz w:val="20"/>
          <w:szCs w:val="20"/>
          <w:color w:val="auto"/>
        </w:rPr>
      </w:pPr>
      <w:r>
        <w:rPr>
          <w:rFonts w:ascii="Times New Roman" w:cs="Times New Roman" w:eastAsia="Times New Roman" w:hAnsi="Times New Roman"/>
          <w:sz w:val="20"/>
          <w:szCs w:val="20"/>
          <w:color w:val="auto"/>
        </w:rPr>
        <w:t>We cannot take the position of mortgagee-in-possession as long as the property is used by a cannabis operator, but we can request that the court appoint a receiver to manage and operate the subject real property until the foreclosure proceedings are completed. The appointment of a receiver to manage the property does not render us a mortgagee-in-possession. A receiver serves as an officer of the court, appointed to preserve the value of the real property and the income from the real property during the pendency of foreclosure proceedings or trustee sales.</w:t>
      </w:r>
    </w:p>
    <w:p>
      <w:pPr>
        <w:spacing w:after="0" w:line="152"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Equipment, receivables, and cash in deposit accounts may be collected under state Uniform Commercial Code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UCC</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In all states, we are permitted for non-real estate collateral (e.g., equipment) to pursue a judicial action and execute on a judgment via sheriffs’ sale.</w:t>
      </w:r>
    </w:p>
    <w:p>
      <w:pPr>
        <w:spacing w:after="0" w:line="147"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While we cannot foreclose under UCC and take title or sell equity in a licensed cannabis business, a potential purchaser of a delinquent or defaulted loan could. However, the transfer of ownership of equity in a licensed cannabis business requires state regulator approval, which can take significant time.</w:t>
      </w:r>
    </w:p>
    <w:p>
      <w:pPr>
        <w:spacing w:after="0" w:line="147" w:lineRule="exact"/>
        <w:rPr>
          <w:sz w:val="20"/>
          <w:szCs w:val="20"/>
          <w:color w:val="auto"/>
        </w:rPr>
      </w:pPr>
    </w:p>
    <w:p>
      <w:pPr>
        <w:jc w:val="both"/>
        <w:ind w:firstLine="355"/>
        <w:spacing w:after="0" w:line="233" w:lineRule="auto"/>
        <w:rPr>
          <w:sz w:val="20"/>
          <w:szCs w:val="20"/>
          <w:color w:val="auto"/>
        </w:rPr>
      </w:pPr>
      <w:r>
        <w:rPr>
          <w:rFonts w:ascii="Times New Roman" w:cs="Times New Roman" w:eastAsia="Times New Roman" w:hAnsi="Times New Roman"/>
          <w:sz w:val="20"/>
          <w:szCs w:val="20"/>
          <w:color w:val="auto"/>
        </w:rPr>
        <w:t>In addition, if a borrower defaults on a loan from us and we seek to cause a sale of the collateral, the sales of such assets may be forced upon the borrower at such point when time may be of the essence. Therefore, the assets may be made available to a limited number of potential purchasers, and particularly in limited-license states in which we focus, the sales prices may be less than the prices obtained with more time in a larger market. As a result, the sale of such collateral may not result in sufficient proceeds to repay our loan and could have a material and adverse effect on our business, financial condition, liquidity and results of operations.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Liability relating to environmental matters may impact the value of properties that we may acquire upon foreclosure of the properties securing our loans.</w:t>
      </w:r>
    </w:p>
    <w:p>
      <w:pPr>
        <w:spacing w:after="0" w:line="131" w:lineRule="exact"/>
        <w:rPr>
          <w:sz w:val="20"/>
          <w:szCs w:val="20"/>
          <w:color w:val="auto"/>
        </w:rPr>
      </w:pPr>
    </w:p>
    <w:p>
      <w:pPr>
        <w:jc w:val="both"/>
        <w:ind w:firstLine="355"/>
        <w:spacing w:after="0" w:line="232" w:lineRule="auto"/>
        <w:rPr>
          <w:sz w:val="20"/>
          <w:szCs w:val="20"/>
          <w:color w:val="auto"/>
        </w:rPr>
      </w:pPr>
      <w:r>
        <w:rPr>
          <w:rFonts w:ascii="Times New Roman" w:cs="Times New Roman" w:eastAsia="Times New Roman" w:hAnsi="Times New Roman"/>
          <w:sz w:val="20"/>
          <w:szCs w:val="20"/>
          <w:color w:val="auto"/>
        </w:rPr>
        <w:t>To the extent we foreclose on properties securing our loans, we may be subject to environmental liabilities arising from such foreclosed properties. In particular, cannabis cultivation and manufacturing facilities may present environmental concerns of which we are not currently aware. Under various federal, state and local laws, an owner or operator of real property may become liable for the costs of removal of certain hazardous substances released on its property. These laws often impose liability without regard to whether the owner or operator knew of, or was responsible for, the release of such hazardous substances. Accordingly, if environmental contamination exists on properties we acquire or develop after acquisition, we could become subject to liability for the contamination.</w:t>
      </w:r>
    </w:p>
    <w:p>
      <w:pPr>
        <w:spacing w:after="0" w:line="154" w:lineRule="exact"/>
        <w:rPr>
          <w:sz w:val="20"/>
          <w:szCs w:val="20"/>
          <w:color w:val="auto"/>
        </w:rPr>
      </w:pPr>
    </w:p>
    <w:p>
      <w:pPr>
        <w:jc w:val="both"/>
        <w:ind w:firstLine="355"/>
        <w:spacing w:after="0" w:line="237" w:lineRule="auto"/>
        <w:rPr>
          <w:sz w:val="20"/>
          <w:szCs w:val="20"/>
          <w:color w:val="auto"/>
        </w:rPr>
      </w:pPr>
      <w:r>
        <w:rPr>
          <w:rFonts w:ascii="Times New Roman" w:cs="Times New Roman" w:eastAsia="Times New Roman" w:hAnsi="Times New Roman"/>
          <w:sz w:val="20"/>
          <w:szCs w:val="20"/>
          <w:color w:val="auto"/>
        </w:rPr>
        <w:t>The presence of hazardous substances may adversely affect an owner’s ability to sell real estate or borrow using real estate as collateral. To the extent that an owner of a property securing one of our loans becomes liable for removal costs, the ability of the owner to make payments to us may be reduced, which in turn may adversely affect the value of the relevant loan held by us and our ability to make distributions to our stockholders.</w:t>
      </w:r>
    </w:p>
    <w:p>
      <w:pPr>
        <w:spacing w:after="0" w:line="153" w:lineRule="exact"/>
        <w:rPr>
          <w:sz w:val="20"/>
          <w:szCs w:val="20"/>
          <w:color w:val="auto"/>
        </w:rPr>
      </w:pPr>
    </w:p>
    <w:p>
      <w:pPr>
        <w:jc w:val="both"/>
        <w:ind w:firstLine="355"/>
        <w:spacing w:after="0" w:line="237" w:lineRule="auto"/>
        <w:rPr>
          <w:sz w:val="20"/>
          <w:szCs w:val="20"/>
          <w:color w:val="auto"/>
        </w:rPr>
      </w:pPr>
      <w:r>
        <w:rPr>
          <w:rFonts w:ascii="Times New Roman" w:cs="Times New Roman" w:eastAsia="Times New Roman" w:hAnsi="Times New Roman"/>
          <w:sz w:val="20"/>
          <w:szCs w:val="20"/>
          <w:color w:val="auto"/>
        </w:rPr>
        <w:t>If we foreclose on any properties securing our loans, the presence of hazardous substances on a property may adversely affect our ability to sell the property and we may incur substantial remediation costs, thus harming our financial condition. The discovery of material environmental liabilities attached to any properties securing our loans could have a material adverse effect on our results of operations and financial condition and our ability to make distributions to our stockholders.</w:t>
      </w:r>
    </w:p>
    <w:p>
      <w:pPr>
        <w:sectPr>
          <w:pgSz w:w="12240" w:h="15840" w:orient="portrait"/>
          <w:cols w:equalWidth="0" w:num="1">
            <w:col w:w="10280"/>
          </w:cols>
          <w:pgMar w:left="1160" w:top="1009" w:right="800" w:bottom="254"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80"/>
          </w:cols>
          <w:pgMar w:left="1160" w:top="1009" w:right="800" w:bottom="254" w:gutter="0" w:footer="0" w:header="0"/>
          <w:type w:val="continuous"/>
        </w:sectPr>
      </w:pPr>
    </w:p>
    <w:bookmarkStart w:id="52" w:name="page53"/>
    <w:bookmarkEnd w:id="52"/>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 market value of properties securing our loans acquired by us upon foreclosure may decrease if they cannot be used for cannabis related operations.</w:t>
      </w:r>
    </w:p>
    <w:p>
      <w:pPr>
        <w:spacing w:after="0" w:line="13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Properties used for cannabis operations, particularly cultivation and manufacturing facilities, are generally more valuable than if used for other purposes. If we are unable to sell a property securing our loans to a licensed cannabis company for similar use and we, therefore, must foreclose on such property, we may recover significantly less than the expected value of the foreclosed property, thereby having a material adverse effect on our business, financial condition, liquidity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Sources of Financing Our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growth depends on external sources of capital, which may not be available on favorable terms or at all.</w:t>
      </w:r>
    </w:p>
    <w:p>
      <w:pPr>
        <w:spacing w:after="0" w:line="223"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We intend to grow by expanding our portfolio of loans, which we intend to finance primarily through newly issued equity or debt. We may not be in a position to take advantage of attractive lending opportunities for growth if we are unable, due to global or regional economic uncertainty, changes in the state or federal regulatory environment relating to our business, our own operating or financial performance or otherwise, to access capital markets on a timely basis and on favorable terms or at all. In addition, U.S. federal income tax law generally requires that a REIT distribute annually at least 90% of its REIT taxable income, without regard to the deduction for dividends paid and excluding net capital gain and certain non-cash income, and that it pay U.S. federal income tax at regular corporate rates to the extent that it annually distributes less than 100% of its taxable income. Because we intend to grow our business, this limitation may require us to raise additional equity or incur debt at a time when it may be disadvantageous to do so.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access to capital will depend upon a number of factors over which we have little or no control, including, but not limited to:</w:t>
      </w:r>
    </w:p>
    <w:p>
      <w:pPr>
        <w:spacing w:after="0" w:line="239" w:lineRule="exact"/>
        <w:rPr>
          <w:sz w:val="20"/>
          <w:szCs w:val="20"/>
          <w:color w:val="auto"/>
        </w:rPr>
      </w:pPr>
    </w:p>
    <w:p>
      <w:pPr>
        <w:ind w:left="980" w:hanging="362"/>
        <w:spacing w:after="0"/>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or market conditions;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market’s view of the quality of our assets;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market’s perception of our growth potential;</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current regulatory environment with respect to our business; and</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our current and potential future earnings and cash distributions.</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If general economic instability or downturn leads to an inability to borrow at attractive rates or at all, our ability to obtain capital to finance our loans to borrowers could be negatively impacted. In addition, while we do not consider our Company to be engaged in the cannabis industry, banks and other financial institutions may be reluctant to enter into lending transactions with us, particularly secured lending, because we invest in companies involved in the cultivation, manufacturing and sale of cannabis.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we are unable to obtain capital on terms and conditions that we find acceptable, we likely will have to reduce the loans we make. In addition, our ability to refinance all or any debt we may incur in the future, on acceptable terms or at all, is subject to all of the above factors, and will also be affected by our future financial position, results of operations and cash flows, which additional factors are also subject to significant uncertainties, and therefore we may be unable to refinance any debt we may incur in the future, as it matures, on acceptable terms or at all. All of these events would have a material adverse effect on our business, financial condition, liquidity and results of operations.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Global economic, political and market conditions could have a significant adverse effect on our business, financial condition, cash flows and results of operations.</w:t>
      </w:r>
    </w:p>
    <w:p>
      <w:pPr>
        <w:spacing w:after="0" w:line="163"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Downgrades by rating agencies to the U.S. government’s credit rating or concerns about its credit and deficit levels in general could cause interest rates and borrowing costs to rise, which may negatively impact both the perception of credit risk associated portfolio and our ability to access the debt markets on favorable terms. In addition, a decreased U.S. government credit rating could create broader financial turmoil and uncertainty, which may weigh heavily on our financial performance and the value of our equity. Additionally, concerns regarding a potential increase in inflation would likely cause interest rates and borrowing costs to rise.</w:t>
      </w:r>
    </w:p>
    <w:p>
      <w:pPr>
        <w:spacing w:after="0" w:line="189" w:lineRule="exact"/>
        <w:rPr>
          <w:sz w:val="20"/>
          <w:szCs w:val="20"/>
          <w:color w:val="auto"/>
        </w:rPr>
      </w:pPr>
    </w:p>
    <w:p>
      <w:pPr>
        <w:jc w:val="both"/>
        <w:ind w:firstLine="709"/>
        <w:spacing w:after="0" w:line="272" w:lineRule="auto"/>
        <w:rPr>
          <w:sz w:val="20"/>
          <w:szCs w:val="20"/>
          <w:color w:val="auto"/>
        </w:rPr>
      </w:pPr>
      <w:r>
        <w:rPr>
          <w:rFonts w:ascii="Times New Roman" w:cs="Times New Roman" w:eastAsia="Times New Roman" w:hAnsi="Times New Roman"/>
          <w:sz w:val="20"/>
          <w:szCs w:val="20"/>
          <w:color w:val="auto"/>
        </w:rPr>
        <w:t>Deterioration in the economic conditions in the Eurozone and globally, including instability in financial markets, may pose a risk to our business. In recent years, financial markets have been affected at times by a number of global macroeconomic</w:t>
      </w:r>
    </w:p>
    <w:p>
      <w:pPr>
        <w:sectPr>
          <w:pgSz w:w="12240" w:h="15840" w:orient="portrait"/>
          <w:cols w:equalWidth="0" w:num="1">
            <w:col w:w="10280"/>
          </w:cols>
          <w:pgMar w:left="1160" w:top="1011" w:right="800" w:bottom="254"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80"/>
          </w:cols>
          <w:pgMar w:left="1160" w:top="1011" w:right="800" w:bottom="254" w:gutter="0" w:footer="0" w:header="0"/>
          <w:type w:val="continuous"/>
        </w:sectPr>
      </w:pPr>
    </w:p>
    <w:bookmarkStart w:id="53" w:name="page54"/>
    <w:bookmarkEnd w:id="53"/>
    <w:p>
      <w:pPr>
        <w:jc w:val="both"/>
        <w:spacing w:after="0"/>
        <w:rPr>
          <w:sz w:val="20"/>
          <w:szCs w:val="20"/>
          <w:color w:val="auto"/>
        </w:rPr>
      </w:pPr>
      <w:r>
        <w:rPr>
          <w:rFonts w:ascii="Times New Roman" w:cs="Times New Roman" w:eastAsia="Times New Roman" w:hAnsi="Times New Roman"/>
          <w:sz w:val="20"/>
          <w:szCs w:val="20"/>
          <w:color w:val="auto"/>
        </w:rPr>
        <w:t>and political events, including the following: large sovereign debts and fiscal deficits of several countries in Europe and in emerging markets jurisdictions, levels of non-performing loans on the balance sheets of European banks, the potential effect of any European country leaving the Eurozone, the potential effect of the United Kingdom leaving the European Union, and market volatility and loss of investor confidence driven by political events. Market and economic disruptions have affected, and may in the future affect, consumer confidence levels and spending, personal bankruptcy rates, levels of incurrence and default on consumer debt and home prices, among other factors. We cannot assure you that market disruptions in Europe,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w:t>
      </w:r>
    </w:p>
    <w:p>
      <w:pPr>
        <w:spacing w:after="0" w:line="199"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Various social and political circumstances in the U.S. and around the world (including wars and other forms of conflict, terrorist acts, security operations and catastrophic events such as fires, floods, earthquakes, tornadoes, hurricanes and global health epidemics or outbreaks of infectious diseases), may also contribute to increased market volatility and economic uncertainties or deterioration in the U.S. and worldwide. Such events, including trade tensions and tariffs between the United States and other countries, such as Canada, Mexico, and China, other uncertainties regarding actual and potential shifts in U.S. and foreign trade, economic and other policies with other countries, the conflicts in Europe, Ukraine and the Middle East and health epidemics and pandemics, could adversely affect our business, financial condition, cash flows and results of operations. These market and economic disruptions could also negatively impact the operating results of our borrowers.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We may incur significant debt, which may subject us to restrictive covenants and increased risk of loss and may reduce cash available for distributions to our stockholders, and our governing documents contain no limit on the amount of debt we may incur.</w:t>
      </w:r>
    </w:p>
    <w:p>
      <w:pPr>
        <w:spacing w:after="0" w:line="177"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Subject to market conditions and availability, we may incur significant debt through bank credit facilities (including term loans and revolving facilities), public and private debt issuances and derivative instruments, in addition to transaction or asset specific funding arrangements. The percentage of leverage we employ will vary depending on our available capital, our ability to obtain and access financing arrangements with lenders, debt restrictions contained in those financing arrangements and the lenders’ and rating agencies’ estimate of the stability of our loan portfolio’s cash flow. Our governing documents contain no limit on the amount of debt we may incur, and we may significantly increase the amount of leverage we utilize at any time without approval of our stockholders. Leverage can enhance our potential returns but can also exacerbate our losses. Incurring substantial debt could subject us to many risks that, if realized, would materially and adversely affect us, including, but not limited to, the risks that:</w:t>
      </w:r>
    </w:p>
    <w:p>
      <w:pPr>
        <w:spacing w:after="0" w:line="210" w:lineRule="exact"/>
        <w:rPr>
          <w:sz w:val="20"/>
          <w:szCs w:val="20"/>
          <w:color w:val="auto"/>
        </w:rPr>
      </w:pPr>
    </w:p>
    <w:p>
      <w:pPr>
        <w:jc w:val="both"/>
        <w:ind w:left="980" w:hanging="362"/>
        <w:spacing w:after="0" w:line="264" w:lineRule="auto"/>
        <w:tabs>
          <w:tab w:leader="none" w:pos="980" w:val="left"/>
        </w:tabs>
        <w:numPr>
          <w:ilvl w:val="0"/>
          <w:numId w:val="42"/>
        </w:numPr>
        <w:rPr>
          <w:rFonts w:ascii="Arial" w:cs="Arial" w:eastAsia="Arial" w:hAnsi="Arial"/>
          <w:sz w:val="19"/>
          <w:szCs w:val="19"/>
          <w:color w:val="auto"/>
        </w:rPr>
      </w:pPr>
      <w:r>
        <w:rPr>
          <w:rFonts w:ascii="Times New Roman" w:cs="Times New Roman" w:eastAsia="Times New Roman" w:hAnsi="Times New Roman"/>
          <w:sz w:val="19"/>
          <w:szCs w:val="19"/>
          <w:color w:val="auto"/>
        </w:rPr>
        <w:t>our cash flow from operations may be insufficient to make required payments of principal of and interest on the debt we incur or we may fail to comply with all of the other covenants contained in such debt, which is likely to result in</w:t>
      </w:r>
    </w:p>
    <w:p>
      <w:pPr>
        <w:spacing w:after="0" w:line="1" w:lineRule="exact"/>
        <w:rPr>
          <w:rFonts w:ascii="Arial" w:cs="Arial" w:eastAsia="Arial" w:hAnsi="Arial"/>
          <w:sz w:val="19"/>
          <w:szCs w:val="19"/>
          <w:color w:val="auto"/>
        </w:rPr>
      </w:pPr>
    </w:p>
    <w:p>
      <w:pPr>
        <w:jc w:val="both"/>
        <w:ind w:left="980" w:hanging="7"/>
        <w:spacing w:after="0" w:line="239" w:lineRule="auto"/>
        <w:tabs>
          <w:tab w:leader="none" w:pos="123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acceleration of such debt (and any other debt containing a cross-default or cross-acceleration provision) that we may be unable to repay from internal funds or to refinance on favorable terms, or at all, (ii) our inability to borrow unused amounts under our financing arrangements, even if we are current in payments on borrowings under those arrangements, and/or (iii) the loss of some or all of our assets to foreclosure or sale;</w:t>
      </w:r>
    </w:p>
    <w:p>
      <w:pPr>
        <w:spacing w:after="0" w:line="207" w:lineRule="exact"/>
        <w:rPr>
          <w:rFonts w:ascii="Times New Roman" w:cs="Times New Roman" w:eastAsia="Times New Roman" w:hAnsi="Times New Roman"/>
          <w:sz w:val="20"/>
          <w:szCs w:val="20"/>
          <w:color w:val="auto"/>
        </w:rPr>
      </w:pPr>
    </w:p>
    <w:p>
      <w:pPr>
        <w:ind w:left="980" w:hanging="362"/>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borrow additional funds as needed or on favorable terms, or at all;</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to the extent we borrow debt that bears interest at variable rates, increases in interest rates could materially increase our interest expense;</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default under any loan with cross-default provisions could result in a default on other indebtedness;</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incurring debt may increase our vulnerability to adverse economic and industry conditions with no assurance that loan yields will increase with higher financing costs;</w:t>
      </w:r>
    </w:p>
    <w:p>
      <w:pPr>
        <w:spacing w:after="0" w:line="174" w:lineRule="exact"/>
        <w:rPr>
          <w:rFonts w:ascii="Arial" w:cs="Arial" w:eastAsia="Arial" w:hAnsi="Arial"/>
          <w:sz w:val="20"/>
          <w:szCs w:val="20"/>
          <w:color w:val="auto"/>
        </w:rPr>
      </w:pPr>
    </w:p>
    <w:p>
      <w:pPr>
        <w:jc w:val="both"/>
        <w:ind w:left="980" w:hanging="362"/>
        <w:spacing w:after="0" w:line="248" w:lineRule="auto"/>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dedicate a substantial portion of our cash flow from operations to payments on the debt we may incur, thereby reducing funds available for operations, future business opportunities, stockholder distributions, including distributions currently contemplated or necessary to satisfy the requirements for REIT qualification, or other purposes; and</w:t>
      </w:r>
    </w:p>
    <w:p>
      <w:pPr>
        <w:spacing w:after="0" w:line="199" w:lineRule="exact"/>
        <w:rPr>
          <w:rFonts w:ascii="Arial" w:cs="Arial" w:eastAsia="Arial" w:hAnsi="Arial"/>
          <w:sz w:val="20"/>
          <w:szCs w:val="20"/>
          <w:color w:val="auto"/>
        </w:rPr>
      </w:pPr>
    </w:p>
    <w:p>
      <w:pPr>
        <w:ind w:left="980" w:hanging="362"/>
        <w:spacing w:after="0"/>
        <w:tabs>
          <w:tab w:leader="none" w:pos="98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are not able to refinance debt that matures prior to the loan it was used to finance on favorable terms, or at all.</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80"/>
          </w:cols>
          <w:pgMar w:left="1160" w:top="1009" w:right="800" w:bottom="254" w:gutter="0" w:footer="0" w:header="0"/>
          <w:type w:val="continuous"/>
        </w:sectPr>
      </w:pPr>
    </w:p>
    <w:bookmarkStart w:id="54" w:name="page55"/>
    <w:bookmarkEnd w:id="54"/>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There can be no assurance that a leveraging strategy will be successful. If any one of these events were to occur, our financial condition, results of operations, cash flow, and our ability to make distributions to our stockholders could be materially and adversely affected.</w:t>
      </w:r>
    </w:p>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Interest rate fluctuations could increase our financing costs, which could lead to a significant decrease in our results of operations, cash flows and the market value of our loans.</w:t>
      </w:r>
    </w:p>
    <w:p>
      <w:pPr>
        <w:spacing w:after="0" w:line="163"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19"/>
          <w:szCs w:val="19"/>
          <w:color w:val="auto"/>
        </w:rPr>
        <w:t>Our primary interest rate exposures relate to the financing cost of our debt. Our financing costs are determined by reference to floating rates. The amount of such costs depends on a variety of factors, including, without limitation, (i) for collateralized debt, the value and liquidity of the collateral, and for non-collateralized debt, our credit, (ii) the level and movement of interest rates, and (iii) general market conditions and liquidity. In a period of rising interest rates, our interest expense on floating-rate debt would increase, while any additional interest income we earn on our floating-rate loans may not compensate for such increase in interest expense. At the same time, the interest income we earn on our fixed-rate loans would not change, the duration and weighted average life of our fixed-rate loans would increase and the market value of our fixed-rate loans would decrease. Similarly, in a period of declining interest rates, our interest income on floating-rate loans would decrease, while any decrease in the interest we are charged on our floating-rate debt may not compensate for such decrease in interest income and interest we are charged on our fixed-rate debt would not change. Any such scenario could materially and adversely affect us.</w:t>
      </w:r>
    </w:p>
    <w:p>
      <w:pPr>
        <w:spacing w:after="0" w:line="180"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In order to combat inflation, the Federal Reserve raised the Federal Funds Rate multiple times from March 2022 through July 2023. From September 2024 through December 2024, the Federal Reserve reduced the Federal Funds Rate three times as the inflation began to stabilize. During fiscal year 2025, the Federal Reserve continued to cut the Federal Funds rate, resulting in additional decreases of 75 basis points to the Prime rate during the year. In February 2026, the Federal Reserve held interest rates steady, but policymakers continue to emphasize their commitment to monitoring and addressing inflationary pressures. Persistent inflationary pressures and ongoing fiscal deficits may pose risk of volatility, and therefore any long-term plans by the Federal Reserve are uncertain, though further rate declines remain probable. These developments, along with the United States government’s credit and deficit concerns, global economic uncertainties and market volatility and the impacts of any current or future global health pandemics, could cause interest rates to be fluctuate, which may negatively impact our ability to access the capital markets on favorable terms</w:t>
      </w:r>
      <w:r>
        <w:rPr>
          <w:rFonts w:ascii="Times New Roman" w:cs="Times New Roman" w:eastAsia="Times New Roman" w:hAnsi="Times New Roman"/>
          <w:sz w:val="20"/>
          <w:szCs w:val="20"/>
          <w:b w:val="1"/>
          <w:bCs w:val="1"/>
          <w:i w:val="1"/>
          <w:iCs w:val="1"/>
          <w:color w:val="auto"/>
        </w:rPr>
        <w:t>.</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Any bank credit facilities that we may use in the future to finance our operations may require us to provide collateral or pay down debt.</w:t>
      </w:r>
    </w:p>
    <w:p>
      <w:pPr>
        <w:spacing w:after="0" w:line="163"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We utilize bank credit facilities (including term loans and revolving facilities) to finance a portion of our operations. We may not have the funds available to repay our debt when due, which would likely result in defaults unless we are able to raise funds from alternative sources, which we may not be able to achieve on favorable terms or at all. If we cannot meet these requirements, lenders could accelerate our indebtedness, increase the interest rate on advanced funds and terminate our ability to borrow funds from it, which could materially and adversely affect our financial condition and ability to implement our investment strategy. In addition, if a lender files for bankruptcy or becomes insolvent, our loans may become subject to bankruptcy or insolvency proceedings, thus depriving us, at least temporarily, of the benefit of such loans. Such an event could restrict our access to bank credit facilities and increase our cost of capital. The providers of bank credit facilities may also require us to maintain a certain amount of cash or set aside assets sufficient to maintain a specified liquidity position that would allow us to satisfy our collateral obligations. As a result, we may not be able to obtain leverage as fully as we would choose, which could reduce the return on our loans. If we are unable to meet these collateral obligations, our financial condition and prospects could deteriorate rapidly.</w:t>
      </w:r>
    </w:p>
    <w:p>
      <w:pPr>
        <w:spacing w:after="0" w:line="196"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In addition, there can be no assurance that we will be able to obtain additional bank credit facilities on favorable terms, or at all, if needed. Banks and other financial institutions may be reluctant to enter into lending transactions with us because of the risks and uncertainty inherent in our investments in the cannabis industry.</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Adoption of the Basel III standards and other proposed supplementary regulatory standards may negatively impact our access to financing or affect the terms of our future financing arrangements.</w:t>
      </w:r>
    </w:p>
    <w:p>
      <w:pPr>
        <w:spacing w:after="0" w:line="163" w:lineRule="exact"/>
        <w:rPr>
          <w:sz w:val="20"/>
          <w:szCs w:val="20"/>
          <w:color w:val="auto"/>
        </w:rPr>
      </w:pPr>
    </w:p>
    <w:p>
      <w:pPr>
        <w:jc w:val="both"/>
        <w:ind w:firstLine="709"/>
        <w:spacing w:after="0" w:line="259" w:lineRule="auto"/>
        <w:rPr>
          <w:sz w:val="20"/>
          <w:szCs w:val="20"/>
          <w:color w:val="auto"/>
        </w:rPr>
      </w:pPr>
      <w:r>
        <w:rPr>
          <w:rFonts w:ascii="Times New Roman" w:cs="Times New Roman" w:eastAsia="Times New Roman" w:hAnsi="Times New Roman"/>
          <w:sz w:val="19"/>
          <w:szCs w:val="19"/>
          <w:color w:val="auto"/>
        </w:rPr>
        <w:t>In response to various financial crises and the volatility of financial markets, the Basel Committee on Banking Supervision adopted the Basel III standards several years ago to reform, among other things, bank capital adequacy, stress testing, and market liquidity risk. United States regulators have elected to implement substantially all of the Basel III standards and have even implemented rules requiring enhanced supplementary leverage ratio standards, which impose capital requirements more stringent than those of the Basel II standards for the most systematically significant banking organizations in the United States. Adoption and implementation of the Basel III standards and the supplemental regulatory standards adopted by United States</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80"/>
          </w:cols>
          <w:pgMar w:left="1160" w:top="1009" w:right="800" w:bottom="254" w:gutter="0" w:footer="0" w:header="0"/>
          <w:type w:val="continuous"/>
        </w:sectPr>
      </w:pPr>
    </w:p>
    <w:bookmarkStart w:id="55" w:name="page56"/>
    <w:bookmarkEnd w:id="55"/>
    <w:p>
      <w:pPr>
        <w:jc w:val="both"/>
        <w:spacing w:after="0" w:line="272" w:lineRule="auto"/>
        <w:rPr>
          <w:sz w:val="20"/>
          <w:szCs w:val="20"/>
          <w:color w:val="auto"/>
        </w:rPr>
      </w:pPr>
      <w:r>
        <w:rPr>
          <w:rFonts w:ascii="Times New Roman" w:cs="Times New Roman" w:eastAsia="Times New Roman" w:hAnsi="Times New Roman"/>
          <w:sz w:val="20"/>
          <w:szCs w:val="20"/>
          <w:color w:val="auto"/>
        </w:rPr>
        <w:t>regulators may negatively impact our access to financing or affect the terms of our future financing arrangements due to an increase in capital requirements for, and constraints on, the financial institutions from which we may borrow.</w:t>
      </w:r>
    </w:p>
    <w:p>
      <w:pPr>
        <w:spacing w:after="0" w:line="161" w:lineRule="exact"/>
        <w:rPr>
          <w:sz w:val="20"/>
          <w:szCs w:val="20"/>
          <w:color w:val="auto"/>
        </w:rPr>
      </w:pPr>
    </w:p>
    <w:p>
      <w:pPr>
        <w:jc w:val="both"/>
        <w:ind w:firstLine="709"/>
        <w:spacing w:after="0" w:line="266" w:lineRule="auto"/>
        <w:rPr>
          <w:sz w:val="20"/>
          <w:szCs w:val="20"/>
          <w:color w:val="auto"/>
        </w:rPr>
      </w:pPr>
      <w:r>
        <w:rPr>
          <w:rFonts w:ascii="Times New Roman" w:cs="Times New Roman" w:eastAsia="Times New Roman" w:hAnsi="Times New Roman"/>
          <w:sz w:val="19"/>
          <w:szCs w:val="19"/>
          <w:color w:val="auto"/>
        </w:rPr>
        <w:t>Moreover, in January 2019, the Basel Committee published its revised capital requirements for market risk, known as Fundamental Review of the Trading Book (“FRTB”), which are expected to generally result in higher global capital requirements for banks that could, in turn, reduce liquidity and increase financing and hedging costs. The impact of FRTB will not be known until after any resulting rules are finalized and implemented by the United States federal bank regulatory agencies.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Organization and Structure</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Charter and our amended and restated bylaws (our “Bylaws”) may have anti-takeover effects that could discourage an acquisition of us by others, even if an acquisition would be beneficial to our stockholders, and may prevent attempts by our stockholders to replace or remove our current management.</w:t>
      </w:r>
    </w:p>
    <w:p>
      <w:pPr>
        <w:spacing w:after="0" w:line="177" w:lineRule="exact"/>
        <w:rPr>
          <w:sz w:val="20"/>
          <w:szCs w:val="20"/>
          <w:color w:val="auto"/>
        </w:rPr>
      </w:pPr>
    </w:p>
    <w:p>
      <w:pPr>
        <w:jc w:val="both"/>
        <w:ind w:firstLine="709"/>
        <w:spacing w:after="0" w:line="273" w:lineRule="auto"/>
        <w:rPr>
          <w:sz w:val="20"/>
          <w:szCs w:val="20"/>
          <w:color w:val="auto"/>
        </w:rPr>
      </w:pPr>
      <w:r>
        <w:rPr>
          <w:rFonts w:ascii="Times New Roman" w:cs="Times New Roman" w:eastAsia="Times New Roman" w:hAnsi="Times New Roman"/>
          <w:sz w:val="20"/>
          <w:szCs w:val="20"/>
          <w:color w:val="auto"/>
        </w:rPr>
        <w:t>Our Charter and our Bylaws contain provisions that may have the effect of delaying or preventing a change in control of us or changes in our management. Our Charter and Bylaws include, among others, provisions that:</w:t>
      </w:r>
    </w:p>
    <w:p>
      <w:pPr>
        <w:spacing w:after="0" w:line="173" w:lineRule="exact"/>
        <w:rPr>
          <w:sz w:val="20"/>
          <w:szCs w:val="20"/>
          <w:color w:val="auto"/>
        </w:rPr>
      </w:pPr>
    </w:p>
    <w:p>
      <w:pPr>
        <w:jc w:val="both"/>
        <w:ind w:left="980" w:hanging="362"/>
        <w:spacing w:after="0" w:line="274" w:lineRule="auto"/>
        <w:tabs>
          <w:tab w:leader="none" w:pos="98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authorize our Board, without stockholder approval, to cause us to issue additional shares of our common stock or to raise capital through the creation and issuance of our preferred stock, debt securities convertible into common stock, options, warrants and other rights, on terms and for consideration as our Board in its sole discretion may determine;</w:t>
      </w:r>
    </w:p>
    <w:p>
      <w:pPr>
        <w:spacing w:after="0" w:line="174" w:lineRule="exact"/>
        <w:rPr>
          <w:rFonts w:ascii="Arial" w:cs="Arial" w:eastAsia="Arial" w:hAnsi="Arial"/>
          <w:sz w:val="19"/>
          <w:szCs w:val="19"/>
          <w:color w:val="auto"/>
        </w:rPr>
      </w:pPr>
    </w:p>
    <w:p>
      <w:pPr>
        <w:jc w:val="both"/>
        <w:ind w:left="980" w:hanging="362"/>
        <w:spacing w:after="0" w:line="254" w:lineRule="auto"/>
        <w:tabs>
          <w:tab w:leader="none" w:pos="9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“blank check” preferred stock, which could be issued by our Board without stockholder approval, subject to certain specified limitations, and may contain voting, liquidation, dividend and other rights senior to our common stock;</w:t>
      </w:r>
    </w:p>
    <w:p>
      <w:pPr>
        <w:spacing w:after="0" w:line="192"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specify that only our Board, the chairman of our Board, our chief executive officer or president or, upon the written request of stockholders entitled to cast not less than a majority of the votes entitled to be cast, our secretary can call special meetings of our stockholders;</w:t>
      </w:r>
    </w:p>
    <w:p>
      <w:pPr>
        <w:spacing w:after="0" w:line="192"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advance notice procedures for stockholder proposals to be brought before an annual or special meeting of our stockholders, including proposed nominations of individuals for election to our Board;</w:t>
      </w:r>
    </w:p>
    <w:p>
      <w:pPr>
        <w:spacing w:after="0" w:line="174"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provide that a majority of directors then in office, even though less than a quorum, may fill any vacancy on our Board, whether resulting from an increase in the number of directors or otherwise; and</w:t>
      </w:r>
    </w:p>
    <w:p>
      <w:pPr>
        <w:spacing w:after="0" w:line="174"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provide our Board the exclusive power to adopt, alter or repeal any provision of our Bylaws and to make new Bylaws.</w:t>
      </w:r>
    </w:p>
    <w:p>
      <w:pPr>
        <w:spacing w:after="0" w:line="160" w:lineRule="exact"/>
        <w:rPr>
          <w:sz w:val="20"/>
          <w:szCs w:val="20"/>
          <w:color w:val="auto"/>
        </w:rPr>
      </w:pPr>
    </w:p>
    <w:p>
      <w:pPr>
        <w:jc w:val="both"/>
        <w:ind w:firstLine="709"/>
        <w:spacing w:after="0" w:line="272" w:lineRule="auto"/>
        <w:rPr>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our management.</w:t>
      </w:r>
    </w:p>
    <w:p>
      <w:pPr>
        <w:spacing w:after="0" w:line="161"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Any provision of our Charter or Bylaws that has the effect of delaying or deterring a change in control could limit your opportunity to receive a premium for your shares of our common stock, and could also affect the price that some investors are willing to pay for our common stock. Any person or entity purchasing or otherwise acquiring any interest in shares of our stock shall be deemed to have notice of and to have consented to the provisions of our Charter and Bylaws described above.</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Our Board may approve the issuance of stock, including preferred stock, with terms that may discourage a third party from acquiring us.</w:t>
      </w:r>
    </w:p>
    <w:p>
      <w:pPr>
        <w:spacing w:after="0" w:line="163"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Our Charter permits our Board, without any action by our stockholders, to authorize the issuance of stock in one or more classes or series. Our Board may also classify or reclassify any unissued shares of stock and set or change the preferences, conversion and other rights, voting powers, restrictions, limitations as to dividends and other distributions, qualifications and terms and conditions of redemption of any such stock, which rights may be superior to those of our common stock. Thus, our Board could authorize the issuance of shares of a class or series of stock with terms and conditions which could have the effect of discouraging a takeover or other transaction in which holders of some or a majority of our outstanding common stock might receive a premium for their shares over the then current market price of our common stock.</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80"/>
          </w:cols>
          <w:pgMar w:left="1160" w:top="1009" w:right="800" w:bottom="254" w:gutter="0" w:footer="0" w:header="0"/>
          <w:type w:val="continuous"/>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Certain provisions of the Maryland General Corporation Law, or MGCL, could inhibit changes of control, which may discourage third parties from conducting a tender offer or seeking other change of control transactions that could involve a premium price for our common stock or that our stockholders otherwise believe to be in their best interests.</w:t>
      </w:r>
    </w:p>
    <w:p>
      <w:pPr>
        <w:spacing w:after="0" w:line="177"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We are a Maryland corporation and subject to the MGCL. 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(a) any person who beneficially owns, directly or indirectly, 10% or more of the voting power of the then-outstanding voting stock of a corporation; or (b) an affiliate or associate of a corporation who, at any time within the two-year period prior to the date in question, was the beneficial owner, directly or indirectly, of 10% or more of the voting power of the then-outstanding stock of such corporation.</w:t>
      </w:r>
    </w:p>
    <w:p>
      <w:pPr>
        <w:spacing w:after="0" w:line="191"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A person is not an interested stockholder under the statute if the board of directors approved in advance the transaction by which the person otherwise would have become an interested stockholder. However, in approving a transaction, the board of directors may provide that its approval is subject to compliance, at or after the time of approval, with any terms and conditions determined by the board of directors.</w:t>
      </w:r>
    </w:p>
    <w:p>
      <w:pPr>
        <w:spacing w:after="0" w:line="183"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After the expiration of the five-year period described above, any business combination between a Maryland corporation and an interested stockholder must generally be recommended by the board of directors of such corporation and approved by the affirmative vote of at least:</w:t>
      </w:r>
    </w:p>
    <w:p>
      <w:pPr>
        <w:spacing w:after="0" w:line="191" w:lineRule="exact"/>
        <w:rPr>
          <w:sz w:val="20"/>
          <w:szCs w:val="20"/>
          <w:color w:val="auto"/>
        </w:rPr>
      </w:pPr>
    </w:p>
    <w:p>
      <w:pPr>
        <w:ind w:left="980" w:hanging="362"/>
        <w:spacing w:after="0"/>
        <w:tabs>
          <w:tab w:leader="none" w:pos="980" w:val="left"/>
        </w:tabs>
        <w:numPr>
          <w:ilvl w:val="0"/>
          <w:numId w:val="44"/>
        </w:numPr>
        <w:rPr>
          <w:rFonts w:ascii="Arial" w:cs="Arial" w:eastAsia="Arial" w:hAnsi="Arial"/>
          <w:sz w:val="19"/>
          <w:szCs w:val="19"/>
          <w:color w:val="auto"/>
        </w:rPr>
      </w:pPr>
      <w:r>
        <w:rPr>
          <w:rFonts w:ascii="Times New Roman" w:cs="Times New Roman" w:eastAsia="Times New Roman" w:hAnsi="Times New Roman"/>
          <w:sz w:val="19"/>
          <w:szCs w:val="19"/>
          <w:color w:val="auto"/>
        </w:rPr>
        <w:t>80% of the votes entitled to be cast by holders of the then-outstanding shares of voting stock of such corporation; and</w:t>
      </w:r>
    </w:p>
    <w:p>
      <w:pPr>
        <w:spacing w:after="0" w:line="249" w:lineRule="exact"/>
        <w:rPr>
          <w:rFonts w:ascii="Arial" w:cs="Arial" w:eastAsia="Arial" w:hAnsi="Arial"/>
          <w:sz w:val="19"/>
          <w:szCs w:val="19"/>
          <w:color w:val="auto"/>
        </w:rPr>
      </w:pPr>
    </w:p>
    <w:p>
      <w:pPr>
        <w:jc w:val="both"/>
        <w:ind w:left="980" w:hanging="362"/>
        <w:spacing w:after="0" w:line="254" w:lineRule="auto"/>
        <w:tabs>
          <w:tab w:leader="none" w:pos="98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two-thirds of the votes entitled to be cast by holders of voting stock of such corporation, other than shares held by the interested stockholder with whom or with whose affiliate the business combination is to be effected, or held by an affiliate or associate of the interested stockholder.</w:t>
      </w:r>
    </w:p>
    <w:p>
      <w:pPr>
        <w:spacing w:after="0" w:line="178"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 The MGCL also permits various exemptions from these provisions, including business combinations that are exempted by the board of directors before the time that the interested stockholder becomes an interested stockholder. By resolution of our Board, we have opted out of the business combination provisions of the MGCL and provide that any business combination between us and any other person is exempt from the business combination provisions of the MGCL, provided that the business combination is first approved by our Board (including a majority of directors who are not affiliates or associates of such persons).</w:t>
      </w:r>
    </w:p>
    <w:p>
      <w:pPr>
        <w:spacing w:after="0" w:line="191" w:lineRule="exact"/>
        <w:rPr>
          <w:sz w:val="20"/>
          <w:szCs w:val="20"/>
          <w:color w:val="auto"/>
        </w:rPr>
      </w:pPr>
    </w:p>
    <w:p>
      <w:pPr>
        <w:jc w:val="both"/>
        <w:ind w:firstLine="709"/>
        <w:spacing w:after="0" w:line="258" w:lineRule="auto"/>
        <w:rPr>
          <w:sz w:val="20"/>
          <w:szCs w:val="20"/>
          <w:color w:val="auto"/>
        </w:rPr>
      </w:pPr>
      <w:r>
        <w:rPr>
          <w:rFonts w:ascii="Times New Roman" w:cs="Times New Roman" w:eastAsia="Times New Roman" w:hAnsi="Times New Roman"/>
          <w:sz w:val="19"/>
          <w:szCs w:val="19"/>
          <w:color w:val="auto"/>
        </w:rPr>
        <w:t>In addition, under the MGCL, holders of our “control shares” (defined as voting shares of stock that, if aggregated with all other shares of stock owned or controlled by the acquirer, would entitle the acquirer to exercise one of three increasing ranges of voting power in electing directors) acquired in a “control share acquisition” (defined as the direct or indirect acquisition of issued and outstanding “control shares”) have no voting rights except to the extent approved by our stockholders by the affirmative vote of at least two-thirds of all of the votes entitled to be cast on the matter, excluding all interested shares. Our Bylaws contain a provision exempting from the Maryland Control Share Acquisition Act any and all acquisitions by any person of shares of our stock. There can be no assurance that this exemption will not be amended or eliminated at any time in the future.</w:t>
      </w:r>
    </w:p>
    <w:p>
      <w:pPr>
        <w:spacing w:after="0" w:line="175"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Additionally, Title 3, Subtitle 8 of the MGCL permits our Board, without stockholder approval and regardless of what is currently provided in our Charter or Bylaws, to implement certain takeover defenses, such as a classified board, some of which we do not have.</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Bylaws designate the Circuit Court for Baltimore City, Maryland as the sole and exclusive forum for certain types of actions and proceedings that may be initiated by our stockholders and provide that claims relating to causes of action under the Securities Act may only be brought in federal district courts, which could limit stockholders’ ability to obtain a favorable judicial forum for disputes with us or our directors, officers or employees, if any, and could discourage lawsuits against us and our directors, officers and employees, if any.</w:t>
      </w:r>
    </w:p>
    <w:p>
      <w:pPr>
        <w:spacing w:after="0" w:line="189" w:lineRule="exact"/>
        <w:rPr>
          <w:sz w:val="20"/>
          <w:szCs w:val="20"/>
          <w:color w:val="auto"/>
        </w:rPr>
      </w:pPr>
    </w:p>
    <w:p>
      <w:pPr>
        <w:jc w:val="both"/>
        <w:ind w:firstLine="709"/>
        <w:spacing w:after="0" w:line="266" w:lineRule="auto"/>
        <w:rPr>
          <w:sz w:val="20"/>
          <w:szCs w:val="20"/>
          <w:color w:val="auto"/>
        </w:rPr>
      </w:pPr>
      <w:r>
        <w:rPr>
          <w:rFonts w:ascii="Times New Roman" w:cs="Times New Roman" w:eastAsia="Times New Roman" w:hAnsi="Times New Roman"/>
          <w:sz w:val="19"/>
          <w:szCs w:val="19"/>
          <w:color w:val="auto"/>
        </w:rPr>
        <w:t>Our Bylaws provide that, unless we consent in writing to the selection of an alternative forum, the Circuit Court for Baltimore City, Maryland, or, if that court does not have jurisdiction, the United States District Court for the District of Maryland, Northern Division, will be the sole and exclusive forum for (a) any Internal Corporate Claim, as such term is defined in the MGCL, (b) any derivative action or proceeding brought on our behalf (other than actions arising under federal securities laws),</w:t>
      </w:r>
    </w:p>
    <w:p>
      <w:pPr>
        <w:sectPr>
          <w:pgSz w:w="12240" w:h="15840" w:orient="portrait"/>
          <w:cols w:equalWidth="0" w:num="1">
            <w:col w:w="10280"/>
          </w:cols>
          <w:pgMar w:left="1160" w:top="1011" w:right="800" w:bottom="254"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80"/>
          </w:cols>
          <w:pgMar w:left="1160" w:top="1011" w:right="800" w:bottom="254" w:gutter="0" w:footer="0" w:header="0"/>
          <w:type w:val="continuous"/>
        </w:sectPr>
      </w:pPr>
    </w:p>
    <w:bookmarkStart w:id="57" w:name="page58"/>
    <w:bookmarkEnd w:id="57"/>
    <w:p>
      <w:pPr>
        <w:jc w:val="both"/>
        <w:ind w:firstLine="8"/>
        <w:spacing w:after="0" w:line="242" w:lineRule="auto"/>
        <w:tabs>
          <w:tab w:leader="none" w:pos="28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of breach of any duty owed by any of our directors, officers or other employees to us or to our stockholders, (d) any action asserting a claim against us or any of our directors, officers or other employees arising pursuant to any provision of the MGCL or our Charter or Bylaws or (e) any other action asserting a claim against us or any of our directors, officers or other employees that is governed by the internal affairs doctrine. These choice of forum provisions will not apply to suits brought to enforce a duty or liability created by the Securities Act, the Exchange Act, or any other claim for which federal courts have exclusive jurisdiction. Furthermore, our Bylaws provide that, unless we consent in writing to the selection of an alternative forum, the federal district courts of the United States of America shall, to the fullest extent permitted by law, be the sole and exclusive forum for the resolution of any claim arising under the Securities Act.</w:t>
      </w:r>
    </w:p>
    <w:p>
      <w:pPr>
        <w:spacing w:after="0" w:line="191"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These exclusive forum provisions may limit the ability of our stockholders to bring a claim in a judicial forum that such stockholders find favorable for disputes with us or our directors, officers, or employees, if any, which may discourage such lawsuits against us and our directors, officers, and employees, if any. Alternatively, if a court were to find the choice of forum provisions contained in our Bylaws to be inapplicable or unenforceable in an action, we may incur additional costs associated with resolving such action in other jurisdictions, which could materially adversely affect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the exclusive forum provisions described above do not apply to any actions brought under the Exchange Act.</w:t>
      </w:r>
    </w:p>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Ownership limitations contained in the Charter may restrict change of control or business combination opportunities in which our stockholders might receive a premium for their shares.</w:t>
      </w:r>
    </w:p>
    <w:p>
      <w:pPr>
        <w:spacing w:after="0" w:line="163" w:lineRule="exact"/>
        <w:rPr>
          <w:sz w:val="20"/>
          <w:szCs w:val="20"/>
          <w:color w:val="auto"/>
        </w:rPr>
      </w:pPr>
    </w:p>
    <w:p>
      <w:pPr>
        <w:jc w:val="both"/>
        <w:ind w:firstLine="709"/>
        <w:spacing w:after="0" w:line="239" w:lineRule="auto"/>
        <w:rPr>
          <w:sz w:val="20"/>
          <w:szCs w:val="20"/>
          <w:color w:val="auto"/>
        </w:rPr>
      </w:pPr>
      <w:r>
        <w:rPr>
          <w:rFonts w:ascii="Times New Roman" w:cs="Times New Roman" w:eastAsia="Times New Roman" w:hAnsi="Times New Roman"/>
          <w:sz w:val="20"/>
          <w:szCs w:val="20"/>
          <w:color w:val="auto"/>
        </w:rPr>
        <w:t>For us to qualify as a REIT under the Code, not more than 50% of the value of our outstanding stock may be owned directly or indirectly, by five or fewer individuals (including certain entities treated as individuals for this purpose) at any time during the last half of a taxable year. For the purpose of assisting our qualification as a REIT for U.S. federal income tax purposes, among other purposes, our Charter prohibits beneficial or constructive ownership by any person of more than a certain percentage, currently 9.8%, in value or by number of shares, whichever is more restrictive, of the outstanding shares of our common stock or 9.8% in value of our outstanding shares of all classes or series of our stock, which we refer to as the “ownership limits.” The constructive ownership rules under the Code and our Charter are complex and may cause shares of the outstanding common stock owned by a group of related persons to be deemed to be constructively owned by one person. As a result, the acquisition of less than 9.8% of our outstanding common stock or all classes or series of our stock by a person could cause a person to own constructively in excess of 9.8% of the outstanding shares of our common stock or in excess of 9.8% of the outstanding shares of all class and series of our stock, respectively, and thus violate the ownership limits. There can be no assurance that our Board, as permitted in the Charter, will not decrease the ownership limits in the future. Any attempt to own or transfer shares of our common stock in excess of the ownership limits without the consent of our Board will result either in the shares in excess of the limit being transferred by operation of the Charter to a charitable trust, and the person who attempted to acquire such excess shares will not have any rights in such shares, or in the transfer being void. The ownership limits may have the effect of precluding a change in control of us by a third party, even if such change in control would be in the best interests of our stockholders or would result in receipt of a premium to the price of our common stock (and even if such change in control would not reasonably jeopardize our REIT status). In addition, our Board has granted conditional exceptions to the ownership limits to affiliates of our Sponsor, which may limit our Board’s power to increase the ownership limits or grant further exemptions in the future.</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Maintenance of our exemption from registration under the Investment Company Act may impose significant limits on our operations. Your investment return in our common stock may be reduced if we are required to register as an investment company under the Investment Company Act.</w:t>
      </w:r>
    </w:p>
    <w:p>
      <w:pPr>
        <w:spacing w:after="0" w:line="177" w:lineRule="exact"/>
        <w:rPr>
          <w:sz w:val="20"/>
          <w:szCs w:val="20"/>
          <w:color w:val="auto"/>
        </w:rPr>
      </w:pPr>
    </w:p>
    <w:p>
      <w:pPr>
        <w:jc w:val="both"/>
        <w:ind w:firstLine="709"/>
        <w:spacing w:after="0" w:line="266" w:lineRule="auto"/>
        <w:rPr>
          <w:sz w:val="20"/>
          <w:szCs w:val="20"/>
          <w:color w:val="auto"/>
        </w:rPr>
      </w:pPr>
      <w:r>
        <w:rPr>
          <w:rFonts w:ascii="Times New Roman" w:cs="Times New Roman" w:eastAsia="Times New Roman" w:hAnsi="Times New Roman"/>
          <w:sz w:val="19"/>
          <w:szCs w:val="19"/>
          <w:color w:val="auto"/>
        </w:rPr>
        <w:t>We have conducted and intend to continue to conduct our operations so that we will be exempt from the provisions of the Investment Company Act pursuant to an exemption contained in Section 3(c)(5)(C) thereunder. The Investment Company Act provides certain protections to investors and imposes certain restrictions on registered investment companies (including, for example, limitations on the ability of registered investment companies to incur leverage), none of which will be applicable to us.</w:t>
      </w:r>
    </w:p>
    <w:p>
      <w:pPr>
        <w:spacing w:after="0" w:line="168" w:lineRule="exact"/>
        <w:rPr>
          <w:sz w:val="20"/>
          <w:szCs w:val="20"/>
          <w:color w:val="auto"/>
        </w:rPr>
      </w:pPr>
    </w:p>
    <w:p>
      <w:pPr>
        <w:jc w:val="both"/>
        <w:ind w:firstLine="709"/>
        <w:spacing w:after="0" w:line="259" w:lineRule="auto"/>
        <w:rPr>
          <w:sz w:val="20"/>
          <w:szCs w:val="20"/>
          <w:color w:val="auto"/>
        </w:rPr>
      </w:pPr>
      <w:r>
        <w:rPr>
          <w:rFonts w:ascii="Times New Roman" w:cs="Times New Roman" w:eastAsia="Times New Roman" w:hAnsi="Times New Roman"/>
          <w:sz w:val="19"/>
          <w:szCs w:val="19"/>
          <w:color w:val="auto"/>
        </w:rPr>
        <w:t>We rely on the exception set forth in Section 3(c)(5) of the Investment Company Act, which excludes from the definition of investment company “[a]ny person who is not engaged in the business of issuing redeemable securities, face-amount certificates of the installment type or periodic payment plan certificates, and who is primarily engaged in one or more of the following businesses . . . (C) purchasing or otherwise acquiring mortgages and other liens on and interests in real estate.” The SEC generally requires that, for the exception provided by Section 3(c)(5) to be available, at least 55% of an entity’s assets be comprised of mortgages and other liens on and interests in real estate, also known as “qualifying interests,” and at least another</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80"/>
          </w:cols>
          <w:pgMar w:left="1160" w:top="1009" w:right="800" w:bottom="254"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color w:val="auto"/>
        </w:rPr>
        <w:t>25% of the entity’s assets must be comprised of additional qualifying interests or real estate-type interests (with no more than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 of the entity’s assets comprised of miscellaneous assets).</w:t>
      </w:r>
    </w:p>
    <w:p>
      <w:pPr>
        <w:spacing w:after="0" w:line="197"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We classify our assets for purposes of our 3(c)(5)(C) exemption based upon no-action positions taken by the SEC staff and interpretive guidance provided by the SEC and its staff. These no-action positions are based on specific factual situations that may be substantially or entirely different from the factual situations we may face and a number of these no-action positions were issued more than twenty years ago. There may be no guidance from the SEC or its staff that applies directly to our factual situations and as a result we may have to apply SEC staff guidance that relates to other factual situations by analogy. No assurance can be given that the SEC or its staff will concur with our classification of our assets. In addition, the SEC or its staff may, in the future, issue further guidance that may require us to re-classify our assets for purposes of the Investment Company Act. If we are required to reclassify our assets, we may no longer be in compliance with the exemption from the definition of an investment company provided by Section 3(c)(5)(C) of the Investment Company Act.</w:t>
      </w:r>
    </w:p>
    <w:p>
      <w:pPr>
        <w:spacing w:after="0" w:line="195" w:lineRule="exact"/>
        <w:rPr>
          <w:sz w:val="20"/>
          <w:szCs w:val="20"/>
          <w:color w:val="auto"/>
        </w:rPr>
      </w:pPr>
    </w:p>
    <w:p>
      <w:pPr>
        <w:jc w:val="both"/>
        <w:ind w:firstLine="709"/>
        <w:spacing w:after="0" w:line="262" w:lineRule="auto"/>
        <w:rPr>
          <w:sz w:val="20"/>
          <w:szCs w:val="20"/>
          <w:color w:val="auto"/>
        </w:rPr>
      </w:pPr>
      <w:r>
        <w:rPr>
          <w:rFonts w:ascii="Times New Roman" w:cs="Times New Roman" w:eastAsia="Times New Roman" w:hAnsi="Times New Roman"/>
          <w:sz w:val="19"/>
          <w:szCs w:val="19"/>
          <w:color w:val="auto"/>
        </w:rPr>
        <w:t>A change in the value of any of our assets could negatively affect our ability to maintain our exemption from regulation under the Investment Company Act. To maintain compliance with the applicable exemption under the Investment Company Act, we may be unable to sell assets we would otherwise want to sell and may need to sell assets we would otherwise wish to retain. In addition, we may have to acquire additional assets that we might not otherwise have acquired or may have to forego opportunities to acquire assets that we would otherwise want to acquire and would be important to our investment strategy.</w:t>
      </w:r>
    </w:p>
    <w:p>
      <w:pPr>
        <w:spacing w:after="0" w:line="172"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A failure by us to maintain this exemption would require us to significantly restructure our investment strategy. For example, because affiliated transactions are generally prohibited under the Investment Company Act, we would not be able to enter into transactions with any of our affiliates if we are required to register as an investment company, which could have a material adverse effect on our ability to operate the business and pay distributions. If we were required to register as an investment company but failed to do so, we would be prohibited from engaging in our business, and criminal and civil actions could be brought against us. In addition, our contracts would be unenforceable unless a court required enforcement, and a court could appoint a receiver to take control of such entity and liquidate its business.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Rapid and steep declines in the values of our real estate-related investments may make it more difficult for us to maintain our qualification as a REIT or exemption from the Investment Company Act.</w:t>
      </w:r>
    </w:p>
    <w:p>
      <w:pPr>
        <w:spacing w:after="0" w:line="163"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If the market value or income potential of real estate-related investments declines as a result of increased interest rates or other factors, we may need to increase our real estate loans and income and/or liquidate our non-qualifying assets in order to maintain our REIT qualification or exemption from the Investment Company Act. If the decline in real estate asset values and/or income occurs quickly, this may be especially difficult to accomplish. This difficulty may be exacerbated by the illiquid nature of any non-qualifying assets that we may own. We may have to make investment decisions that we otherwise would not make absent REIT and Investment Company Act considerations.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rights and the rights of our stockholders to take action against our directors and officers are limited.</w:t>
      </w:r>
    </w:p>
    <w:p>
      <w:pPr>
        <w:spacing w:after="0" w:line="223"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Our Charter eliminates the liability of our directors and officers to us and our stockholders for money damages to the maximum extent permitted under Maryland law. Under current Maryland law and our Charter, our directors and officers will not have any liability to us or our stockholders for money damages other than liability resulting from:</w:t>
      </w:r>
    </w:p>
    <w:p>
      <w:pPr>
        <w:spacing w:after="0" w:line="191" w:lineRule="exact"/>
        <w:rPr>
          <w:sz w:val="20"/>
          <w:szCs w:val="20"/>
          <w:color w:val="auto"/>
        </w:rPr>
      </w:pPr>
    </w:p>
    <w:p>
      <w:pPr>
        <w:ind w:left="980" w:hanging="362"/>
        <w:spacing w:after="0"/>
        <w:tabs>
          <w:tab w:leader="none" w:pos="9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actual receipt of an improper benefit or profit in money, property or services; or</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active and deliberate dishonesty by the director or officer that was established by a final judgment and is material to the cause of action adjudicated.</w:t>
      </w:r>
    </w:p>
    <w:p>
      <w:pPr>
        <w:spacing w:after="0" w:line="160"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Our Charter obligates us to indemnify each of our directors or officers who is or is threatened to be made a party to or witness in a proceeding by reason of his or her service in those or certain other capacities, to the maximum extent permitted by Maryland law, from and against any claim or liability to which such person may become subject or which such person may incur by reason of his or her status as a present or former director or officer of us or serving in such other capacities. In addition, we may be obligated to pay or reimburse the expenses incurred by our present and former directors and officers without requiring a preliminary determination of their ultimate entitlement to indemnification. As a result, we and our stockholders may have more limited rights to recover money damages from our directors and officers than might otherwise exist absent these provisions in our Charter or that might exist with other companies, which could limit your recourse in the event of actions that are not in our best interests.</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80"/>
          </w:cols>
          <w:pgMar w:left="1160" w:top="1009" w:right="800" w:bottom="254" w:gutter="0" w:footer="0" w:header="0"/>
          <w:type w:val="continuous"/>
        </w:sectPr>
      </w:pPr>
    </w:p>
    <w:bookmarkStart w:id="59" w:name="page60"/>
    <w:bookmarkEnd w:id="59"/>
    <w:p>
      <w:pPr>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Future joint venture investments could be adversely affected by our lack of sole decision-making authority, our reliance on joint venture partners’ financial condition and liquidity and disputes between us and our joint venture partners.</w:t>
      </w:r>
    </w:p>
    <w:p>
      <w:pPr>
        <w:spacing w:after="0" w:line="163" w:lineRule="exact"/>
        <w:rPr>
          <w:sz w:val="20"/>
          <w:szCs w:val="20"/>
          <w:color w:val="auto"/>
        </w:rPr>
      </w:pPr>
    </w:p>
    <w:p>
      <w:pPr>
        <w:ind w:firstLine="709"/>
        <w:spacing w:after="0" w:line="272" w:lineRule="auto"/>
        <w:rPr>
          <w:sz w:val="20"/>
          <w:szCs w:val="20"/>
          <w:color w:val="auto"/>
        </w:rPr>
      </w:pPr>
      <w:r>
        <w:rPr>
          <w:rFonts w:ascii="Times New Roman" w:cs="Times New Roman" w:eastAsia="Times New Roman" w:hAnsi="Times New Roman"/>
          <w:sz w:val="20"/>
          <w:szCs w:val="20"/>
          <w:color w:val="auto"/>
        </w:rPr>
        <w:t>We may in the future make investments through joint ventures. Such joint venture investments may involve risks not otherwise present when we originate or acquire investments without partners, including the following:</w:t>
      </w:r>
    </w:p>
    <w:p>
      <w:pPr>
        <w:spacing w:after="0" w:line="175" w:lineRule="exact"/>
        <w:rPr>
          <w:sz w:val="20"/>
          <w:szCs w:val="20"/>
          <w:color w:val="auto"/>
        </w:rPr>
      </w:pPr>
    </w:p>
    <w:p>
      <w:pPr>
        <w:ind w:left="980" w:hanging="362"/>
        <w:spacing w:after="0" w:line="272"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have exclusive control over the investment or the joint venture, which may prevent us from taking actions that are in our best interest;</w:t>
      </w:r>
    </w:p>
    <w:p>
      <w:pPr>
        <w:spacing w:after="0" w:line="174"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joint venture agreements often restrict the transfer of a partner’s interest or may otherwise restrict our ability to sell the interest when we desire and/or on advantageous terms;</w:t>
      </w:r>
    </w:p>
    <w:p>
      <w:pPr>
        <w:spacing w:after="0" w:line="174"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any future joint venture agreements may contain buy-sell provisions pursuant to which one partner may initiate procedures requiring the other partner to choose between buying the other partner’s interest or selling its interest to that partner;</w:t>
      </w:r>
    </w:p>
    <w:p>
      <w:pPr>
        <w:spacing w:after="0" w:line="192"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in a position to exercise sole decision-making authority regarding the investment or joint venture, which could create the potential risk of creating impasses on decisions, such as with respect to acquisitions or dispositions;</w:t>
      </w:r>
    </w:p>
    <w:p>
      <w:pPr>
        <w:spacing w:after="0" w:line="192"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 partner may, at any time, have economic or business interests or goals that are, or that may become, inconsistent with our business interests or goals;</w:t>
      </w:r>
    </w:p>
    <w:p>
      <w:pPr>
        <w:spacing w:after="0" w:line="174"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 partner may be in a position to take action contrary to our instructions, requests, policies or objectives, including our policy with respect to maintaining our qualification as a REIT and our exclusion or exemption from registration under the Investment Company Act;</w:t>
      </w:r>
    </w:p>
    <w:p>
      <w:pPr>
        <w:spacing w:after="0" w:line="192"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 partner may fail to fund its share of required capital contributions or may become bankrupt, which may mean that we and any other remaining partners generally would remain liable for the joint venture’s liabilities;</w:t>
      </w:r>
    </w:p>
    <w:p>
      <w:pPr>
        <w:spacing w:after="0" w:line="174" w:lineRule="exact"/>
        <w:rPr>
          <w:rFonts w:ascii="Arial" w:cs="Arial" w:eastAsia="Arial" w:hAnsi="Arial"/>
          <w:sz w:val="20"/>
          <w:szCs w:val="20"/>
          <w:color w:val="auto"/>
        </w:rPr>
      </w:pPr>
    </w:p>
    <w:p>
      <w:pPr>
        <w:jc w:val="both"/>
        <w:ind w:left="980" w:hanging="362"/>
        <w:spacing w:after="0" w:line="248"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our relationships with our partners are contractual in nature and may be terminated or dissolved under the terms of the applicable joint venture agreements and, in such event, we may not continue to own or operate the interests or investments underlying such relationship or may need to purchase such interests or investments at a premium to the market price to continue ownership;</w:t>
      </w:r>
    </w:p>
    <w:p>
      <w:pPr>
        <w:spacing w:after="0" w:line="199"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disputes between us and a partner may result in litigation or arbitration that could increase our expenses and prevent our Manager and our officers and directors from focusing their time and efforts on our business and could result in subjecting the investments owned by the joint venture to additional risk; or</w:t>
      </w:r>
    </w:p>
    <w:p>
      <w:pPr>
        <w:spacing w:after="0" w:line="192"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may, in certain circumstances, be liable for the actions of a partner, and the activities of a partner could adversely affect our ability to maintain our qualification as a REIT or our exclusion or exemption from registration under the Investment Company Act, even though we do not control the joint venture.</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Any of the above may subject us to liabilities in excess of those contemplated and adversely affect the value of our future joint venture investments.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Relationship with Our Manager and its Affiliates</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Manager and its key personnel and investment professionals. We may not find a suitable replacement for our Manager if our Management Agreement is terminated or if such key personnel or investment professionals leave the employment of our Manager or otherwise become unavailable to us.</w:t>
      </w:r>
    </w:p>
    <w:p>
      <w:pPr>
        <w:spacing w:after="0" w:line="177"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We rely on the resources of our Manager to manage our day-to-day operations, as we do not separately employ any personnel. We rely completely on our Manager to provide us with investment advisory services and general management services. Each of our executive officers also serve as officers or employees of our Manager. Our Manager has significant discretion as to the implementation of our investment and operating policies and strategies. Accordingly, we believe that our success depends to a significant extent upon the efforts, experience, diligence, skill and network of business contacts of the officers, key personnel and investment professionals of our Manager as well as the information and deal flow generated by such</w:t>
      </w:r>
    </w:p>
    <w:p>
      <w:pPr>
        <w:sectPr>
          <w:pgSz w:w="12240" w:h="15840" w:orient="portrait"/>
          <w:cols w:equalWidth="0" w:num="1">
            <w:col w:w="10280"/>
          </w:cols>
          <w:pgMar w:left="1160" w:top="1011" w:right="800" w:bottom="254"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80"/>
          </w:cols>
          <w:pgMar w:left="1160" w:top="1011" w:right="800" w:bottom="254" w:gutter="0" w:footer="0" w:header="0"/>
          <w:type w:val="continuous"/>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20"/>
          <w:szCs w:val="20"/>
          <w:color w:val="auto"/>
        </w:rPr>
        <w:t>individuals. The officers, key personnel and investment professionals of our Manager source, evaluate, negotiate, close and monitor our loans; therefore, our success depends on their continued service. The departure of any of the officers, key personnel and investment professionals of our Manager could have a material adverse effect on our business.</w:t>
      </w:r>
    </w:p>
    <w:p>
      <w:pPr>
        <w:spacing w:after="0" w:line="176"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None of our officers are obligated to dedicate any specific portion of their time to our business. Each of them may have significant responsibilities for other investment vehicles managed by affiliates of our Manager. As a result, the time these individuals may be able to devote to the management of our business could be limited. Further, when there are turbulent conditions in the real estate markets or distress in the credit markets, the attention of our Manager’s personnel and our executive officers and the resources of our Manager may also be required by other investment vehicles managed by affiliates of our Manager.</w:t>
      </w:r>
    </w:p>
    <w:p>
      <w:pPr>
        <w:spacing w:after="0" w:line="189"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In addition, we offer no assurance that our Manager will remain our manager or that we will continue to have access to our Manager’s officers, key personnel and investment professionals due to the termination of the Management Agreement, our Manager being acquired, or due to other circumstances. Currently, we are managed by our Board and our officers and by our Manager, as provided for under our Management Agreement. The Management Agreement will expire on May 1, 2025, and will be automatically renewed for a one-year term thereafter unless otherwise terminated by us or our Manager. Our Manager may terminate the Management Agreement with 90 days’ written notice prior to the expiration of the renewal term. If the Management Agreement is terminated and we are unable to find a suitable replacement for our Manager, we may not be able to execute our investment strategy.</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Our growth depends on the ability of our Manager to make loans on favorable terms that satisfy our investment strategy and otherwise generate attractive risk-adjusted returns initially and consistently from time to time.</w:t>
      </w:r>
    </w:p>
    <w:p>
      <w:pPr>
        <w:spacing w:after="0" w:line="163"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Our ability to achieve our investment objective depends on our ability to grow, which depends, in turn, on the management and investment teams of our Manager and their ability to identify and to make loans on favorable terms in accordance with our investment strategy as well as on our access to financing on acceptable terms. The demands on the time of the professional staff of our Manager will increase as our portfolio grows and the management of our existing portfolio may divert our Manager’s attention from future potential loans or otherwise slow our rate of investment. Our Manager may be unable to successfully and efficiently integrate new loans into our existing portfolio or otherwise effectively manage our assets or our future growth effectively. We cannot assure you that our Manager will be able to hire, train, supervise, manage and retain new officers and employees to manage future growth effectively, and any such failure could have a material adverse effect on our business. The failure to consummate loans on advantageous terms without substantial expense or delay would impede our growth, would negatively affect our results of operations and our ability to generate cash flow and make distributions to our stockholders, and could cause the value of our common stock to decline.</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There are various conflicts of interest in our relationship with our Manager that could result in decisions that are not in the best interests of our stockholders.</w:t>
      </w:r>
    </w:p>
    <w:p>
      <w:pPr>
        <w:spacing w:after="0" w:line="163"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We are subject to conflicts of interest arising out of our relationship with our Manager and its affiliates. We are managed by our Manager, and our executive officers are employees of our Manager. There is no guarantee that the policies and procedures adopted by us, the terms and conditions of the Management Agreement or the policies and procedures adopted by our Manager and its affiliates, will enable us to identify, adequately address or mitigate these conflicts of interest.</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Some examples of conflicts of interest that may arise by virtue of our relationship with our Manager include:</w:t>
      </w:r>
    </w:p>
    <w:p>
      <w:pPr>
        <w:spacing w:after="0" w:line="2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Manager’s advisory activities. </w:t>
      </w:r>
      <w:r>
        <w:rPr>
          <w:rFonts w:ascii="Times New Roman" w:cs="Times New Roman" w:eastAsia="Times New Roman" w:hAnsi="Times New Roman"/>
          <w:sz w:val="20"/>
          <w:szCs w:val="20"/>
          <w:color w:val="auto"/>
        </w:rPr>
        <w:t>While our Manager and its affiliates have agreed that for so long as our Manager is managing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neither it nor any of its affiliates will sponsor or manage any other mortgage REIT that invests primarily in loans of the same kind as our Company, our Manager and its affiliates may otherwise manage other investment vehicles that have investment objectives that compete or overlap with, and may from time to time invest in, our target asset classes. For example, in October 2024, an affiliate of our Manager acquired a controlling interest in Chicago Atlantic BDC Advisers, LLC (fka Silver Spike Adviser, LLC), which serves as the investment adviser to Chicago Atlantic BDC, Inc. (fka Silver Spike Investment Corporation) (“CA BDC”), a business development company whose shares trade on the Nasdaq Global Market. CA BDC’s investment strategy is substantially similar to ours, except that its operations are regulated under the Investment Company Act and it is taxed as a regulated investment company (RIC), rather than as a REIT.</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This may apply to existing investment vehicles or investment vehicles that may be organized in the future. Consequently, we, on the one hand, and these other investment vehicles, on the other hand, may from time to time pursue the same or similar loan opportunities. To the extent such other investment vehicles seek to acquire the same target assets as us, the scope of opportunities otherwise available to us may be adversely affected and/or reduced. Our Manager or its affiliates may also give advice to such</w:t>
      </w:r>
    </w:p>
    <w:p>
      <w:pPr>
        <w:sectPr>
          <w:pgSz w:w="12240" w:h="15840" w:orient="portrait"/>
          <w:cols w:equalWidth="0" w:num="1">
            <w:col w:w="10280"/>
          </w:cols>
          <w:pgMar w:left="1160" w:top="1009" w:right="800" w:bottom="254"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280"/>
          </w:cols>
          <w:pgMar w:left="1160" w:top="1009" w:right="800" w:bottom="254" w:gutter="0" w:footer="0" w:header="0"/>
          <w:type w:val="continuous"/>
        </w:sectPr>
      </w:pPr>
    </w:p>
    <w:bookmarkStart w:id="61" w:name="page62"/>
    <w:bookmarkEnd w:id="61"/>
    <w:p>
      <w:pPr>
        <w:jc w:val="both"/>
        <w:spacing w:after="0" w:line="272" w:lineRule="auto"/>
        <w:rPr>
          <w:sz w:val="20"/>
          <w:szCs w:val="20"/>
          <w:color w:val="auto"/>
        </w:rPr>
      </w:pPr>
      <w:r>
        <w:rPr>
          <w:rFonts w:ascii="Times New Roman" w:cs="Times New Roman" w:eastAsia="Times New Roman" w:hAnsi="Times New Roman"/>
          <w:sz w:val="20"/>
          <w:szCs w:val="20"/>
          <w:color w:val="auto"/>
        </w:rPr>
        <w:t>other investment vehicles that may differ from the advice given to us even though their investment objectives may be the same or similar to ours.</w:t>
      </w:r>
    </w:p>
    <w:p>
      <w:pPr>
        <w:spacing w:after="0" w:line="16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Allocation of loans. </w:t>
      </w:r>
      <w:r>
        <w:rPr>
          <w:rFonts w:ascii="Times New Roman" w:cs="Times New Roman" w:eastAsia="Times New Roman" w:hAnsi="Times New Roman"/>
          <w:sz w:val="20"/>
          <w:szCs w:val="20"/>
          <w:color w:val="auto"/>
        </w:rPr>
        <w:t>Our Manager and its affiliates endeavor to allocate loan opportunities in a fair and equitable manner, subject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their internal policies. The internal policies of our Manager and its affiliates, which may be amended without our consent, are intended to enable us to participate equitably in investment opportunities with any other investment vehicles that are managed by our Manager or affiliates of our Manager. In general, loan opportunities are allocated taking into consideration various factors, including, among others, the relevant investment vehicles’ available capital, their investment objectives or strategies, their risk profiles and their existing or prior positions in a borrower or particular loan, their potential conflicts of interest, the nature of the opportunity and market conditions, as well as the rotation of loan opportunities. Nevertheless, it is possible that we may not be given the opportunity to participate in certain loans made by investment vehicles managed by our Manager or affiliates of our Manager. In addition, there may be conflicts in the allocation of loan opportunities among us and the investment vehicles that our Manager or affiliates of our Manager manage in the future.</w:t>
      </w:r>
    </w:p>
    <w:p>
      <w:pPr>
        <w:spacing w:after="0" w:line="1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Co-investments. </w:t>
      </w:r>
      <w:r>
        <w:rPr>
          <w:rFonts w:ascii="Times New Roman" w:cs="Times New Roman" w:eastAsia="Times New Roman" w:hAnsi="Times New Roman"/>
          <w:sz w:val="20"/>
          <w:szCs w:val="20"/>
          <w:color w:val="auto"/>
        </w:rPr>
        <w:t>Investment vehicles managed by our Manager or affiliates of our Manager may co-invest with us or hold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positions in a loan where we have also invested, including by means of splitting commitments, participating in loans or other means of syndicating loans. Such loans may raise potential conflicts of interest between us and such other investment vehicles. To the extent such investment vehicles seek to acquire the same target assets as us, subject to the internal policies of our Manager and its affiliates described above, the scope of opportunities otherwise available to us may be adversely affected and/or reduced. In such circumstances, the size of the investment opportunity in loans otherwise available to us may be less than it would otherwise have been, and we may participate in such opportunities on different and potentially less favorable economic terms than such other parties if our Manager deems such participation as being otherwise in our best interests. Furthermore, when such other investment vehicles have interests or requirements that do not align with our interests, including differing liquidity needs or desired investment horizons, conflicts may arise in the manner in which any voting or control rights are exercised with respect to the relevant borrower, potentially resulting in an adverse impact on us. If we participate in a co-investment with an investment vehicle managed by our Manager or an affiliate of our Manager and such vehicle fails to fund a future advance on a loan, we may be required to, or we may elect to, cover such advance and invest additional funds. In addition, if we and such other investment vehicles invest in different classes or types of debt, equity or other investments relating to the same borrower, actions may be taken by such other investment vehicles that are adverse to our interests, including, but not limited to, during a work-out, restructuring or insolvency proceeding or similar matter occurring with respect to such loan. To the extent CA BDC co-invests with us, the transaction must comply with the terms of an exemptive order obtained by CA BDC and affiliated entities. As of December 31, 2025, our affiliates and affiliates of our Manager hold co-investments in 17 of the 26 portfolio companies in which we hold an investment.</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Loans in which other investment vehicles managed by our Manager or affiliates of our Manager hold different loans. </w:t>
      </w:r>
      <w:r>
        <w:rPr>
          <w:rFonts w:ascii="Times New Roman" w:cs="Times New Roman" w:eastAsia="Times New Roman" w:hAnsi="Times New Roman"/>
          <w:sz w:val="20"/>
          <w:szCs w:val="20"/>
          <w:color w:val="auto"/>
        </w:rPr>
        <w:t>We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 in, acquire, sell assets to or provide financing to investment vehicles managed by our Manager or affiliates of our Manager and their borrowers or purchase assets from, sell assets to, or arrange financing from any such investment vehicles and their borrowers. Any such transactions will require approval by a majority of our independent directors. There can be no assurance that any procedural protections will be sufficient to ensure that these transactions will be made on terms that will be at least as favorable to us as those that would have been obtained in an arm’s-length transaction.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Fees and expenses. </w:t>
      </w:r>
      <w:r>
        <w:rPr>
          <w:rFonts w:ascii="Times New Roman" w:cs="Times New Roman" w:eastAsia="Times New Roman" w:hAnsi="Times New Roman"/>
          <w:sz w:val="20"/>
          <w:szCs w:val="20"/>
          <w:color w:val="auto"/>
        </w:rPr>
        <w:t>We will be responsible for certain fees and expenses as determined by our Manager, including due diligence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costs, legal, accounting and financial advisor fees and related costs, incurred in connection with evaluating and consummating loan opportunities, regardless of whether such loans are ultimately consummated by the parties thereto.</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 ability of our Manager and its officers and employees to engage in other business activities may reduce the time our Manager spends managing our business and may result in certain conflicts of interest.</w:t>
      </w:r>
    </w:p>
    <w:p>
      <w:pPr>
        <w:spacing w:after="0" w:line="163" w:lineRule="exact"/>
        <w:rPr>
          <w:sz w:val="20"/>
          <w:szCs w:val="20"/>
          <w:color w:val="auto"/>
        </w:rPr>
      </w:pPr>
    </w:p>
    <w:p>
      <w:pPr>
        <w:jc w:val="both"/>
        <w:ind w:firstLine="709"/>
        <w:spacing w:after="0" w:line="254" w:lineRule="auto"/>
        <w:rPr>
          <w:sz w:val="20"/>
          <w:szCs w:val="20"/>
          <w:color w:val="auto"/>
        </w:rPr>
      </w:pPr>
      <w:r>
        <w:rPr>
          <w:rFonts w:ascii="Times New Roman" w:cs="Times New Roman" w:eastAsia="Times New Roman" w:hAnsi="Times New Roman"/>
          <w:sz w:val="19"/>
          <w:szCs w:val="19"/>
          <w:color w:val="auto"/>
        </w:rPr>
        <w:t>Certain of our officers and directors and the officers and other personnel of our Manager also serve or may serve as officers, directors or partners of certain affiliates of our Manager, as well as investment vehicles sponsored by such affiliates, including investment vehicles or managed accounts not yet established, whether managed or sponsored by affiliates or our Manager. For example, Mr. Mazarakis, who serves as our Executive Chairman of the Board, was appointed in December 2024 to serve as Chief Executive Officer and Co-Executive Chairman of the Board of Vireo Growth Inc. (“Vireo”), which was previously one of our portfolio companies and a related party during 2025. Certain affiliated investment funds that are managed by entities under common control with our Manager, and for which Mr. Mazarakis can exercise significant influence, also hold material equity interests in Vireo. Vireo has further entered into binding agreements with certain target portfolio companies, which are or may become borrowers under loans held by us and/or our affiliates. As a result of these transactions, which are ongoing, there are conflicts of interest related to Mr. Mazarakis’ time and attention devoted to our affairs as well as his executive positions for both entities. Mr. Mazarakis has agreed to recuse himself from all matters that involve us, Vireo, and other target portfolio companies</w:t>
      </w:r>
    </w:p>
    <w:p>
      <w:pPr>
        <w:sectPr>
          <w:pgSz w:w="12240" w:h="15840" w:orient="portrait"/>
          <w:cols w:equalWidth="0" w:num="1">
            <w:col w:w="10280"/>
          </w:cols>
          <w:pgMar w:left="1160" w:top="1009" w:right="800" w:bottom="254"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280"/>
          </w:cols>
          <w:pgMar w:left="1160" w:top="1009" w:right="800" w:bottom="254" w:gutter="0" w:footer="0" w:header="0"/>
          <w:type w:val="continuous"/>
        </w:sectPr>
      </w:pPr>
    </w:p>
    <w:bookmarkStart w:id="62" w:name="page63"/>
    <w:bookmarkEnd w:id="62"/>
    <w:p>
      <w:pPr>
        <w:jc w:val="both"/>
        <w:spacing w:after="0" w:line="255" w:lineRule="auto"/>
        <w:rPr>
          <w:sz w:val="20"/>
          <w:szCs w:val="20"/>
          <w:color w:val="auto"/>
        </w:rPr>
      </w:pPr>
      <w:r>
        <w:rPr>
          <w:rFonts w:ascii="Times New Roman" w:cs="Times New Roman" w:eastAsia="Times New Roman" w:hAnsi="Times New Roman"/>
          <w:sz w:val="20"/>
          <w:szCs w:val="20"/>
          <w:color w:val="auto"/>
        </w:rPr>
        <w:t>ancillary thereto; including as it relates to any actions that would arise, including exercise of rights and remedies under our credit agreements, if Vireo were to default on any potential obligations to us or if a similar material event occurred that presented a direct conflict between us and Vireo.</w:t>
      </w:r>
    </w:p>
    <w:p>
      <w:pPr>
        <w:spacing w:after="0" w:line="176"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Accordingly, the ability of our Manager and its officers and employees to engage in other business activities may reduce the time our Manager spends managing our business. These activities could be viewed as creating a conflict of interest insofar as the time and effort of the professional staff of our Manager and its officers and employees will not be devoted exclusively to our business; instead, it will be allocated between our business and the management of these other investment vehicles, some of which may have conflicting interests with ours.</w:t>
      </w:r>
    </w:p>
    <w:p>
      <w:pPr>
        <w:spacing w:after="0" w:line="186"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In the course of our investing activities, we pay Base Management Fees to our Manager and will reimburse our Manager for certain expenses it incurs. As a result, investors in our common stock will invest on a “gross” basis and receive any distributions on a “net” basis after expenses, resulting in, among other things, a lower rate of return than one might achieve through direct loans. As a result of this arrangement, our Manager’s interests may be less aligned with our interests.</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Management Agreement with our Manager was not negotiated on an arm’s-length basis and may not be as favorable to us as if they had been negotiated with an unaffiliated third party, and the manner of determining the Base Management Fees may not provide sufficient incentive to our Manager to maximize risk-adjusted returns for our portfolio since it is based on the book value of our equity per annum and not on our performance.</w:t>
      </w:r>
    </w:p>
    <w:p>
      <w:pPr>
        <w:spacing w:after="0" w:line="184"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We rely completely on our Manager to provide us with investment advisory and general management services. Our executive officers also serve as officers or employees of our Manager. Our Management Agreement was negotiated between related parties and their terms, including fees payable, may not be as favorable to us as if they had been negotiated with an unaffiliated third party.</w:t>
      </w:r>
    </w:p>
    <w:p>
      <w:pPr>
        <w:spacing w:after="0" w:line="183"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We pay our Manager Base Management Fees regardless of the performance of our portfolio. Pursuant to the terms of our Management Agreement, our Manager receives Base Management Fees that are calculated and payable quarterly in arrears in cash, in an amount equal to 0.375% (1.50% on an annualized basis) of our Equity, subject to certain adjustments, including any agency fees relating to our loans, but excluding the Incentive Compensation and any diligence fees paid to and earned by our Manager and paid by third parties in connection with our Manager’s due diligence of potential loans. Such Base Management Fees will be calculated and payable quarterly in arrears in cash, subject to certain adjustments. Our Manager’s entitlement to the Base Management Fees, which are not based upon performance metrics or goals, might reduce its incentive to devote its time and effort to seeking loans that provide attractive risk-adjusted returns for our portfolio. Further, the Base Management Fee structure gives our Manager the incentive to maximize the book value of our equity raised by the issuance of new equity securities or the retention of existing equity value, regardless of the effect of these actions on existing stockholders. In other words, the Base Management Fee structure will reward our Manager primarily based on the size of our equity raised and not necessarily on our financial returns to stockholders. This in turn could hurt both our ability to make distributions to our stockholders and the market price of our common stock.</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 Incentive Compensation payable to our Manager under the Management Agreement may cause our Manager to select riskier loans to increase its Incentive Compensation.</w:t>
      </w:r>
    </w:p>
    <w:p>
      <w:pPr>
        <w:spacing w:after="0" w:line="163" w:lineRule="exact"/>
        <w:rPr>
          <w:sz w:val="20"/>
          <w:szCs w:val="20"/>
          <w:color w:val="auto"/>
        </w:rPr>
      </w:pPr>
    </w:p>
    <w:p>
      <w:pPr>
        <w:jc w:val="both"/>
        <w:ind w:firstLine="709"/>
        <w:spacing w:after="0" w:line="257" w:lineRule="auto"/>
        <w:rPr>
          <w:sz w:val="20"/>
          <w:szCs w:val="20"/>
          <w:color w:val="auto"/>
        </w:rPr>
      </w:pPr>
      <w:r>
        <w:rPr>
          <w:rFonts w:ascii="Times New Roman" w:cs="Times New Roman" w:eastAsia="Times New Roman" w:hAnsi="Times New Roman"/>
          <w:sz w:val="19"/>
          <w:szCs w:val="19"/>
          <w:color w:val="auto"/>
        </w:rPr>
        <w:t>In addition to the Base Management Fees, our Manager is entitled to receive Incentive Compensation under our Management Agreement. Under our Management Agreement, we pay Incentive Compensation to our Manager based upon our achievement of targeted levels of Core Earnings. “Core Earnings” is generally defined in our Management Agreement as, for a given period, the net income (loss) computed in accordance with generally accepted accounting principals (“GAAP”), excluding</w:t>
      </w:r>
    </w:p>
    <w:p>
      <w:pPr>
        <w:spacing w:after="0" w:line="2" w:lineRule="exact"/>
        <w:rPr>
          <w:sz w:val="20"/>
          <w:szCs w:val="20"/>
          <w:color w:val="auto"/>
        </w:rPr>
      </w:pPr>
    </w:p>
    <w:p>
      <w:pPr>
        <w:jc w:val="both"/>
        <w:ind w:firstLine="8"/>
        <w:spacing w:after="0" w:line="238" w:lineRule="auto"/>
        <w:tabs>
          <w:tab w:leader="none" w:pos="29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equity compensation expense, (ii) the Incentive Compensation, (iii) depreciation and amortization, (iv) any unrealized gains, losses or other non-cash items recorded in net income (loss) for the period, regardless of whether such items are included in other comprehensive income or loss, or in net income (loss); provided that Core Earnings does not exclude, in the case of loans with a deferred interest feature (such as OID, debt instruments with PIK interest and zero coupon securities), accrued income that we have not yet received in cash, and (v) one-time events pursuant to changes in GAAP and certain non-cash charges after discussions between our Manager and our independent directors and after approval by a majority of such independent directors. See "</w:t>
      </w:r>
      <w:r>
        <w:rPr>
          <w:rFonts w:ascii="Times New Roman" w:cs="Times New Roman" w:eastAsia="Times New Roman" w:hAnsi="Times New Roman"/>
          <w:sz w:val="20"/>
          <w:szCs w:val="20"/>
          <w:i w:val="1"/>
          <w:iCs w:val="1"/>
          <w:color w:val="auto"/>
        </w:rPr>
        <w:t>Non-GAAP Measures and Key Financial Measures and Indicators</w:t>
      </w:r>
      <w:r>
        <w:rPr>
          <w:rFonts w:ascii="Times New Roman" w:cs="Times New Roman" w:eastAsia="Times New Roman" w:hAnsi="Times New Roman"/>
          <w:sz w:val="20"/>
          <w:szCs w:val="20"/>
          <w:color w:val="auto"/>
        </w:rPr>
        <w:t xml:space="preserve">" within </w:t>
      </w:r>
      <w:r>
        <w:rPr>
          <w:rFonts w:ascii="Times New Roman" w:cs="Times New Roman" w:eastAsia="Times New Roman" w:hAnsi="Times New Roman"/>
          <w:sz w:val="20"/>
          <w:szCs w:val="20"/>
          <w:i w:val="1"/>
          <w:iCs w:val="1"/>
          <w:color w:val="auto"/>
        </w:rPr>
        <w:t>Management’s Discussion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Analysis of Financial Condition and Results of Operations </w:t>
      </w:r>
      <w:r>
        <w:rPr>
          <w:rFonts w:ascii="Times New Roman" w:cs="Times New Roman" w:eastAsia="Times New Roman" w:hAnsi="Times New Roman"/>
          <w:sz w:val="20"/>
          <w:szCs w:val="20"/>
          <w:color w:val="auto"/>
        </w:rPr>
        <w:t>for a description for further description of our Distributable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Earnings, which is representative of Core Earnings, as defined in the Management Agreement.</w:t>
      </w:r>
    </w:p>
    <w:p>
      <w:pPr>
        <w:spacing w:after="0" w:line="193"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In evaluating loans and other management strategies, the opportunity to earn Incentive Compensation based on Core Earnings and realized profits, as applicable, may lead our Manager to place undue emphasis on the maximization of Core Earnings and realized profits at the expense of other criteria, such as preservation of capital, in order to achieve higher Incentive</w:t>
      </w:r>
    </w:p>
    <w:p>
      <w:pPr>
        <w:sectPr>
          <w:pgSz w:w="12240" w:h="15840" w:orient="portrait"/>
          <w:cols w:equalWidth="0" w:num="1">
            <w:col w:w="10280"/>
          </w:cols>
          <w:pgMar w:left="1160" w:top="1009" w:right="800" w:bottom="254" w:gutter="0" w:footer="0" w:header="0"/>
        </w:sect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280"/>
          </w:cols>
          <w:pgMar w:left="1160" w:top="1009" w:right="800" w:bottom="254" w:gutter="0" w:footer="0" w:header="0"/>
          <w:type w:val="continuous"/>
        </w:sectPr>
      </w:pPr>
    </w:p>
    <w:bookmarkStart w:id="63" w:name="page64"/>
    <w:bookmarkEnd w:id="63"/>
    <w:p>
      <w:pPr>
        <w:jc w:val="both"/>
        <w:spacing w:after="0" w:line="272" w:lineRule="auto"/>
        <w:rPr>
          <w:sz w:val="20"/>
          <w:szCs w:val="20"/>
          <w:color w:val="auto"/>
        </w:rPr>
      </w:pPr>
      <w:r>
        <w:rPr>
          <w:rFonts w:ascii="Times New Roman" w:cs="Times New Roman" w:eastAsia="Times New Roman" w:hAnsi="Times New Roman"/>
          <w:sz w:val="20"/>
          <w:szCs w:val="20"/>
          <w:color w:val="auto"/>
        </w:rPr>
        <w:t>Compensation. Loans with higher yield potential are generally riskier or more speculative. This could result in increased risk to the value of our loan portfolio.</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Terminating our Management Agreement for unsatisfactory performance of our Manager or electing not to renew the Management Agreement may be difficult, and terminating our Management Agreement in certain circumstances requires payment of a substantial termination fee.</w:t>
      </w:r>
    </w:p>
    <w:p>
      <w:pPr>
        <w:spacing w:after="0" w:line="177"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Terminating our Management Agreement without cause is difficult and costly. Our independent directors and the Audit Committee of our Board will review our Manager’s performance and the applicable Base Management Fees and Incentive Compensation at least annually. Upon 90 days’ written notice prior to the expiration of any renewal term, our Management Agreement may be terminated upon the affirmative vote of at least a majority of our independent directors, based upon unsatisfactory performance by our Manager that is materially detrimental to us. The Management Agreement provides that upon any termination as described in the foregoing, we would pay our Manager a Termination Fee equal to three times the sum of the annualized average quarterly Base Management Fees and annualized average quarterly Incentive Compensation received from us during the 24-month period immediately preceding the most recently completed fiscal quarter prior to such termination. This provision increases the cost to us of terminating the Management Agreement and adversely affects our ability to terminate our Manager without cause.</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Even if we terminate our Management Agreement for cause, we may be required to continue to retain our Manager for 30 days following the occurrence of events giving rise to a for-cause termination.</w:t>
      </w:r>
    </w:p>
    <w:p>
      <w:pPr>
        <w:spacing w:after="0" w:line="163"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While we have the right to terminate our Management Agreement for cause without paying a Termination Fee, we must provide 30 days’ notice to our Manager in advance of any such termination, including in the event of our Manager’s fraud, misappropriation of funds, embezzlement or bad faith, willful misconduct, gross negligence or reckless disregard in the performance of its duties. As a result, we would be forced to continue to pay our Manager during such 30-day period and we may not be able to find a suitable replacement for our Manager during this period or, if we were able to find a suitable replacement, we may be required to compensate the new manager while continuing to pay our terminated Manager during this 30-day period, unless our Manager waives the notice requirement. This could have an adverse effect on our business and operations, which could adversely affect our operating results and our ability to make distributions to our stockholders.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Our Manager manages our portfolio in accordance with very broad investment guidelines and our Board does not approve each loan and financing decision made by our Manager, which may result in us making riskier loans than those currently comprising our existing portfolio.</w:t>
      </w:r>
    </w:p>
    <w:p>
      <w:pPr>
        <w:spacing w:after="0" w:line="177"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While our Board periodically reviews our loan portfolio, it does not review proposed loans. In addition, in conducting periodic reviews, such directors may rely primarily on information provided to them by our Manager. Our Investment Guidelines (as defined below) may be changed from time to time upon recommendation by our Manager and approval by a majority of our Board (which must include a majority of the independent directors of our Board) and our Manager, without stockholders’ consent. Furthermore, our Manager may use complex strategies and loans entered into by our Manager that may be difficult or impossible to unwind by the time they are reviewed by our Board. Our Manager has great latitude in determining the types of loans that are proper for us, which could result in loan returns that are substantially below expectations or that result in losses, which would materially and adversely affect our business operations and results. In addition, our Manager is not subject to any limits or proportions with respect to the mix of target investments that we make or that we may in the future acquire other than as necessary to maintain our exemption from registration under the Investment Company Act and our qualification as a REIT. Decisions made and loans entered into by our Manager may not fully reflect your best interests.</w:t>
      </w:r>
    </w:p>
    <w:p>
      <w:pPr>
        <w:spacing w:after="0" w:line="2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Our Manager may change its investment process, or elect not to follow it, without the consent of our stockholders and at any time, which may adversely affect the performance of our portfolio.</w:t>
      </w:r>
    </w:p>
    <w:p>
      <w:pPr>
        <w:spacing w:after="0" w:line="163"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Our Manager may change its investment process without the consent of our stockholders and at any time. In addition, there can be no assurance that our Manager will follow its investment process in relation to the identification and underwriting of prospective loans. Changes in our Manager’s investment process may result in inferior, among other things, due diligence and underwriting standards, which may adversely affect the performance of our portfolio.</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In addition to other analytical tools, our Manager may utilize financial models to evaluate loan opportunities, the accuracy and effectiveness of which cannot be guaranteed.</w:t>
      </w:r>
    </w:p>
    <w:p>
      <w:pPr>
        <w:spacing w:after="0" w:line="163" w:lineRule="exact"/>
        <w:rPr>
          <w:sz w:val="20"/>
          <w:szCs w:val="20"/>
          <w:color w:val="auto"/>
        </w:rPr>
      </w:pPr>
    </w:p>
    <w:p>
      <w:pPr>
        <w:jc w:val="both"/>
        <w:ind w:firstLine="709"/>
        <w:spacing w:after="0" w:line="299" w:lineRule="auto"/>
        <w:rPr>
          <w:sz w:val="20"/>
          <w:szCs w:val="20"/>
          <w:color w:val="auto"/>
        </w:rPr>
      </w:pPr>
      <w:r>
        <w:rPr>
          <w:rFonts w:ascii="Times New Roman" w:cs="Times New Roman" w:eastAsia="Times New Roman" w:hAnsi="Times New Roman"/>
          <w:sz w:val="19"/>
          <w:szCs w:val="19"/>
          <w:color w:val="auto"/>
        </w:rPr>
        <w:t>In addition to other analytical tools, our Manager may utilize financial models to evaluate loan opportunities, the accuracy and effectiveness of which cannot be guaranteed. In all cases, financial models are only estimates of future results which</w:t>
      </w:r>
    </w:p>
    <w:p>
      <w:pPr>
        <w:sectPr>
          <w:pgSz w:w="12240" w:h="15840" w:orient="portrait"/>
          <w:cols w:equalWidth="0" w:num="1">
            <w:col w:w="10280"/>
          </w:cols>
          <w:pgMar w:left="1160" w:top="1009" w:right="800" w:bottom="254" w:gutter="0" w:footer="0" w:header="0"/>
        </w:sect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280"/>
          </w:cols>
          <w:pgMar w:left="1160" w:top="1009" w:right="800" w:bottom="254" w:gutter="0" w:footer="0" w:header="0"/>
          <w:type w:val="continuous"/>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20"/>
          <w:szCs w:val="20"/>
          <w:color w:val="auto"/>
        </w:rPr>
        <w:t>are based upon assumptions made at the time that the projections are developed. There can be no assurance that our Manager’s projected results will be attained and actual results may vary significantly from the projections. General economic and industry-specific conditions, which are not predictable, can have an adverse impact on the reliability of projections.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Our Manager’s and its affiliates’ liability is limited under the Management Agreement, and we have agreed to indemnify our Manager against certain liabilities. As a result, we could experience poor performance or losses for which our Manager and its affiliates would not be liable.</w:t>
      </w:r>
    </w:p>
    <w:p>
      <w:pPr>
        <w:spacing w:after="0" w:line="177" w:lineRule="exact"/>
        <w:rPr>
          <w:sz w:val="20"/>
          <w:szCs w:val="20"/>
          <w:color w:val="auto"/>
        </w:rPr>
      </w:pPr>
    </w:p>
    <w:p>
      <w:pPr>
        <w:jc w:val="both"/>
        <w:ind w:firstLine="709"/>
        <w:spacing w:after="0" w:line="239" w:lineRule="auto"/>
        <w:rPr>
          <w:sz w:val="20"/>
          <w:szCs w:val="20"/>
          <w:color w:val="auto"/>
        </w:rPr>
      </w:pPr>
      <w:r>
        <w:rPr>
          <w:rFonts w:ascii="Times New Roman" w:cs="Times New Roman" w:eastAsia="Times New Roman" w:hAnsi="Times New Roman"/>
          <w:sz w:val="20"/>
          <w:szCs w:val="20"/>
          <w:color w:val="auto"/>
        </w:rPr>
        <w:t>Pursuant to the Management Agreement, our Manager does not assume any responsibility other than to render the services called for thereunder in good faith and will not be responsible for any action of our Board in following or declining to follow its advice or recommendations. Under the terms of the Management Agreement, our Manager, its affiliates, and any of their respective members, stockholders, managers, partners, trustees, personnel, officers, directors, employees, consultants and any person providing sub-advisory services to our Manager (collectively, the “Manager Parties”) will not be liable to us for acts or omissions performed in accordance with and pursuant to the Management Agreement, except by reason of acts constituting bad faith, willful misconduct, gross negligence, or reckless disregard of their duties under the relevant Management Agreement. In addition, we have agreed to indemnify the Manager Parties with respect to all losses, damages, liabilities, demands, charges and claims of any nature whatsoever, and any and all expenses, costs and fees related thereto, arising from acts or omissions of the Manager Parties not constituting bad faith, willful misconduct, gross negligence, or reckless disregard of duties, performed in good faith in accordance with and pursuant to the Management Agreement. We have also entered into indemnification agreements with the members of the Manager’s Investment Committee to indemnify and advance certain fees, costs and expenses to such individuals, subject to certain standards to be met and certain other limitations and conditions as set forth in such indemnification agreements. These protections may lead our Manager to act in a riskier manner when acting on our behalf than it would when acting for its own account.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Taxation as a REIT</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Failure to qualify as a REIT would cause us to be taxed as a regular corporation, which would substantially reduce funds available for distributions to our stockholders.</w:t>
      </w:r>
    </w:p>
    <w:p>
      <w:pPr>
        <w:spacing w:after="0" w:line="163" w:lineRule="exact"/>
        <w:rPr>
          <w:sz w:val="20"/>
          <w:szCs w:val="20"/>
          <w:color w:val="auto"/>
        </w:rPr>
      </w:pPr>
    </w:p>
    <w:p>
      <w:pPr>
        <w:jc w:val="both"/>
        <w:ind w:firstLine="709"/>
        <w:spacing w:after="0" w:line="254" w:lineRule="auto"/>
        <w:rPr>
          <w:sz w:val="20"/>
          <w:szCs w:val="20"/>
          <w:color w:val="auto"/>
        </w:rPr>
      </w:pPr>
      <w:r>
        <w:rPr>
          <w:rFonts w:ascii="Times New Roman" w:cs="Times New Roman" w:eastAsia="Times New Roman" w:hAnsi="Times New Roman"/>
          <w:sz w:val="19"/>
          <w:szCs w:val="19"/>
          <w:color w:val="auto"/>
        </w:rPr>
        <w:t>We intend to operate in a manner so as to continue to qualify as a REIT for U.S. federal income tax purposes. We believe that our organization and method of operation will enable us to continue to meet the requirements for qualification and taxation as a REIT. However, we cannot assure you that we will qualify as such. This is because qualification as a REIT involves the application of highly technical and complex provisions of the Code, and regulations promulgated by the U.S. Treasury Department thereunder (“Treasury Regulations”) as to which there are only limited judicial and administrative interpretations and involves the determination of facts and circumstances not entirely within our control. In addition, while we intend to take the position that we and certain of our affiliates are treated as separate entities for purposes of determining whether we qualify as a REIT, there can be no guarantee that the IRS will agree with our position. If we and certain of our affiliates are treated as the same entity for this purpose, we may not qualify as a REIT. Furthermore, future legislation, new regulations, administrative interpretations or court decisions may significantly change the U.S. tax laws or the application of the U.S. tax laws with respect to qualification as a REIT for federal income tax purposes or the federal income tax consequences of such qualification.</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If we fail to qualify as a REIT in any taxable year, we will face serious tax consequences that will substantially reduce the funds available for distributions to our stockholders because:</w:t>
      </w:r>
    </w:p>
    <w:p>
      <w:pPr>
        <w:spacing w:after="0" w:line="173" w:lineRule="exact"/>
        <w:rPr>
          <w:sz w:val="20"/>
          <w:szCs w:val="20"/>
          <w:color w:val="auto"/>
        </w:rPr>
      </w:pPr>
    </w:p>
    <w:p>
      <w:pPr>
        <w:ind w:left="980" w:hanging="362"/>
        <w:spacing w:after="0" w:line="272" w:lineRule="auto"/>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we would not be allowed a deduction for distributions paid to stockholders in computing our taxable income and would be subject to U.S. federal income tax at regular corporate rates;</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subject to increased state and local taxes; and</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unless we are entitled to relief under statutory provisions, we would not be able to re-elect to be taxed as a REIT for four taxable years following the year in which we were disqualified.</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addition, if we fail to qualify as a REIT, we will no longer be required to make distributions to remain qualified as a REIT for U.S. federal income tax purposes. As a result of all these factors, our failure to qualify as a REIT could impair our ability to expand our business and raise capital, and it would adversely affect the value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Even if we qualify as a REIT, we may face other tax liabilities that reduce our cash flows.</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280"/>
          </w:cols>
          <w:pgMar w:left="1160" w:top="1009" w:right="800" w:bottom="254" w:gutter="0" w:footer="0" w:header="0"/>
          <w:type w:val="continuous"/>
        </w:sectPr>
      </w:pPr>
    </w:p>
    <w:bookmarkStart w:id="65" w:name="page66"/>
    <w:bookmarkEnd w:id="65"/>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Even if we qualify for taxation as a REIT, we may be subject to certain federal, state and local taxes on our income and assets, including taxes on any undistributed income, tax on income from some activities conducted as a result of a foreclosure, and state or local income, property and transfer taxes. In addition, in order to meet the REIT qualification requirements or to avert the imposition of a 100% tax that applies to certain gains derived by a REIT from dealer property or inventory, we may hold certain assets through one or more to-be-formed taxable REIT subsidiaries that will be subject to corporate-level income tax at regular rates. In addition, if we lend money to a taxable REIT subsidiary (including loans to partnerships or limited liability companies in which a taxable REIT subsidiary owns an interest), the taxable REIT subsidiary may be unable to deduct all or a portion of the interest paid to us, which could result in an increased corporate-level tax liability. Any of these taxes would decrease cash available for distribution to our stockholders.</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REIT distribution requirements could adversely affect our ability to exercise our business plan and liquidity and may force us to borrow funds during unfavorable market conditions.</w:t>
      </w:r>
    </w:p>
    <w:p>
      <w:pPr>
        <w:spacing w:after="0" w:line="163" w:lineRule="exact"/>
        <w:rPr>
          <w:sz w:val="20"/>
          <w:szCs w:val="20"/>
          <w:color w:val="auto"/>
        </w:rPr>
      </w:pPr>
    </w:p>
    <w:p>
      <w:pPr>
        <w:jc w:val="both"/>
        <w:ind w:firstLine="709"/>
        <w:spacing w:after="0" w:line="239" w:lineRule="auto"/>
        <w:rPr>
          <w:sz w:val="20"/>
          <w:szCs w:val="20"/>
          <w:color w:val="auto"/>
        </w:rPr>
      </w:pPr>
      <w:r>
        <w:rPr>
          <w:rFonts w:ascii="Times New Roman" w:cs="Times New Roman" w:eastAsia="Times New Roman" w:hAnsi="Times New Roman"/>
          <w:sz w:val="20"/>
          <w:szCs w:val="20"/>
          <w:color w:val="auto"/>
        </w:rPr>
        <w:t>In order to maintain our REIT status and to meet the REIT distribution requirements, we may need to borrow funds on a short-term basis or sell assets, even if the then-prevailing market conditions are not favorable for these borrowings or sales. In addition, we may need to reserve cash to satisfy our REIT distribution requirements, even though there are attractive lending opportunities that may be available. To qualify as a REIT, we must distribute to our stockholders at least 90% of our net taxable income each year, without regard to the deduction for dividends paid and excluding capital gains and certain non-cash income. In addition, we will be subject to corporate income tax to the extent we distribute less than 100% of our taxable income, including any net capital gain. We intend to make distributions to our stockholders to comply with the requirements of the Code for REITs and to minimize or eliminate our corporate income tax obligation to the extent consistent with our business objectives. Our cash flows from operations may be insufficient to fund required distributions as a result of differences in timing between the actual receipt of income and the recognition of income for U.S. federal income tax purposes, or the effect of non-deductible capital expenditures, the creation of reserves or required debt service or amortization payments. In addition, if the IRS were to disallow certain of our deductions, such as management fees, depreciation or interest expense, by alleging that we, through our business operations and/or loan agreements with state-licensed cannabis borrowers, are subject to Section 280E of the Code or otherwise, we could be unable to meet the distribution requirements and would fail to qualify as a REIT. Likewise, any governmental fine on us would not be deductible, and the inability to deduct such fines could cause us to be unable to satisfy the distribution requirement.</w:t>
      </w:r>
    </w:p>
    <w:p>
      <w:pPr>
        <w:spacing w:after="0" w:line="201" w:lineRule="exact"/>
        <w:rPr>
          <w:sz w:val="20"/>
          <w:szCs w:val="20"/>
          <w:color w:val="auto"/>
        </w:rPr>
      </w:pPr>
    </w:p>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The insufficiency of our cash flows to cover our distribution requirements could have an adverse impact on our ability to raise short- and long-term debt or sell equity securities in order to fund distributions required to maintain our REIT status. In addition, we will be subject to a 4% nondeductible excise tax on the amount, if any, by which distributions paid by us in any calendar year are less than the sum of 85% of our ordinary income, 95% of our capital gain net income and 100% of our undistributed income from prior years. To address and/or mitigate some of these issues, we may make taxable distributions that are in part paid in cash and in part paid in our equity. In such cases, our stockholders may have tax liabilities from such distributions in excess of the cash they receive. The treatment of such taxable stock distributions is not entirely clear, and it is possible the taxable stock distribution will not count towards our distribution requirement, in which case adverse consequences could apply.</w:t>
      </w:r>
    </w:p>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Complying with REIT requirements may cause us to forego otherwise attractive opportunities or to liquidate otherwise attractive loans.</w:t>
      </w:r>
    </w:p>
    <w:p>
      <w:pPr>
        <w:spacing w:after="0" w:line="163"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To qualify as a REIT for U.S. federal income tax purposes, we must continually satisfy tests concerning, among other things, the sources of our income, the nature and diversification of our assets and the amounts we distribute to our stockholders. In order to meet these tests, we may be required to forego loans that we might otherwise make or liquidate loans we might otherwise continue to hold. Thus, compliance with the REIT requirements may hinder our performance by limiting our ability to make and/or maintain ownership of certain otherwise attractive loans.</w:t>
      </w:r>
    </w:p>
    <w:p>
      <w:pPr>
        <w:spacing w:after="0" w:line="186"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Temporary investment in short-term securities and income from such investment generally will allow us to satisfy various REIT income and asset qualifications, but only during the one-year period beginning on the date we receive such net proceeds from our initial public offering. If we are unable to invest a sufficient amount of the net proceeds of our initial public offering in qualifying real estate assets within such one-year period, we could fail to satisfy the gross income tests and/or we could be limited to investing all or a portion of any remaining funds in cash. If we fail to satisfy such income test, unless we are entitled to relief under certain provisions of the Code, we could fail to qualify as a REIT.</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 tax on prohibited transactions will limit our ability to engage in certain loans involving the sale or other disposition of property or that would otherwise subject us to a 100% penalty tax.</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80"/>
          </w:cols>
          <w:pgMar w:left="1160" w:top="1009" w:right="800" w:bottom="254" w:gutter="0" w:footer="0" w:header="0"/>
          <w:type w:val="continuous"/>
        </w:sectPr>
      </w:pPr>
    </w:p>
    <w:bookmarkStart w:id="66" w:name="page67"/>
    <w:bookmarkEnd w:id="66"/>
    <w:p>
      <w:pPr>
        <w:jc w:val="both"/>
        <w:ind w:firstLine="709"/>
        <w:spacing w:after="0" w:line="241" w:lineRule="auto"/>
        <w:rPr>
          <w:sz w:val="20"/>
          <w:szCs w:val="20"/>
          <w:color w:val="auto"/>
        </w:rPr>
      </w:pPr>
      <w:r>
        <w:rPr>
          <w:rFonts w:ascii="Times New Roman" w:cs="Times New Roman" w:eastAsia="Times New Roman" w:hAnsi="Times New Roman"/>
          <w:sz w:val="20"/>
          <w:szCs w:val="20"/>
          <w:color w:val="auto"/>
        </w:rPr>
        <w:t>A REIT’s net income from prohibited transactions is subject to a 100% tax. In general, prohibited transactions are sales or other dispositions of property, other than foreclosure property, held as inventory or primarily for sale to customers in the ordinary course of business. Although we do not intend to hold a significant amount of assets as inventory or primarily for sale to customers in the ordinary course of our business, the characterization of an asset sale as a prohibited transaction depends on the particular facts and circumstances. The Code provides a safe harbor that, if met, allows a REIT to avoid being treated as engaged in a prohibited transaction. We may sell certain assets in transactions that do not meet all of the requirements of such safe harbor if we believe the transaction would nevertheless not be a prohibited transaction based on an analysis of all of the relevant facts and circumstances. If the IRS were to successfully argue that such a sale was in fact a prohibited transaction, we would be subject to a 100% penalty tax on any net income from such sale. In addition, in order to avoid the prohibited transactions tax, we may choose not to engage in certain sales, even though the sales might otherwise be beneficial to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Legislative, regulatory or administrative tax changes related to REITs could materially and adversely affect our business.</w:t>
      </w:r>
    </w:p>
    <w:p>
      <w:pPr>
        <w:spacing w:after="0" w:line="223"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At any time, the U.S. federal income tax laws or Treasury Regulations governing REITs, or the administrative interpretations of those laws or regulations, may be changed, possibly with retroactive effect. We cannot predict if or when any new U.S. federal income tax law, regulation or administrative interpretation, or any amendment to any existing U.S. federal income tax law, regulation or administrative interpretation, will be adopted, promulgated or become effective or whether any such law, regulation or interpretation may take effect retroactively. We and our stockholders could be adversely affected by any such change in, or any new, U.S. federal income tax law, regulation or administrative interpretation.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payable by REITs generally do not qualify for reduced tax rates applicable to qualified dividend income.</w:t>
      </w:r>
    </w:p>
    <w:p>
      <w:pPr>
        <w:spacing w:after="0" w:line="223"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The maximum U.S. federal income tax rate for certain qualified dividends payable to individual U.S. stockholders is 20%. Dividends payable by REITs, however, are generally not qualified dividends and therefore are not eligible for taxation at the reduced rates. However, to the extent such dividends are attributable to certain dividends that we receive from a taxable REIT subsidiary or to income from a prior year that was retained by us and subject to corporate tax, such dividends generally will be eligible for the reduced rates that apply to qualified dividend income. The more favorable rates applicable to regular corporate dividends could cause investors who are individuals to perceive investments in REITs to be relatively less attractive than investments in the stocks of non-REIT corporations that pay dividends, which could adversely affect the value of the stock of REITs, including our equity. However, individual U.S. stockholders may be entitled to claim a deduction in determining their taxable income of 20% of ordinary REIT dividends (dividends other than capital gain dividends and dividends attributable to qualified dividend income received by us, if any). If we fail to qualify as a REIT, such stockholders may not claim this deduction with respect to dividends paid by us. Stockholders are urged to consult tax advisers regarding the effect of these rules on the effective tax rate with respect to REIT dividends.</w:t>
      </w:r>
    </w:p>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 ability of our Board to revoke our REIT election without stockholder approval may cause adverse consequences to our stockholders.</w:t>
      </w:r>
    </w:p>
    <w:p>
      <w:pPr>
        <w:spacing w:after="0" w:line="163"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The Charter provides that our Board may revoke or otherwise terminate our REIT election, without the approval of our stockholders, if our Board determines that it is no longer in our best interest to attempt to, or continue to, qualify as a REIT. If we cease to qualify as a REIT, we would become subject to U.S. federal income tax on our net taxable income and we generally would no longer be required to distribute any of our net taxable income to our stockholders, which may have adverse consequences on the total return to our stockholders.</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Complying with REIT requirements may limit our ability to hedge our operational risks effectively and may cause us to incur tax liabilities.</w:t>
      </w:r>
    </w:p>
    <w:p>
      <w:pPr>
        <w:spacing w:after="0" w:line="163" w:lineRule="exact"/>
        <w:rPr>
          <w:sz w:val="20"/>
          <w:szCs w:val="20"/>
          <w:color w:val="auto"/>
        </w:rPr>
      </w:pPr>
    </w:p>
    <w:p>
      <w:pPr>
        <w:jc w:val="both"/>
        <w:ind w:firstLine="709"/>
        <w:spacing w:after="0" w:line="262" w:lineRule="auto"/>
        <w:rPr>
          <w:sz w:val="20"/>
          <w:szCs w:val="20"/>
          <w:color w:val="auto"/>
        </w:rPr>
      </w:pPr>
      <w:r>
        <w:rPr>
          <w:rFonts w:ascii="Times New Roman" w:cs="Times New Roman" w:eastAsia="Times New Roman" w:hAnsi="Times New Roman"/>
          <w:sz w:val="19"/>
          <w:szCs w:val="19"/>
          <w:color w:val="auto"/>
        </w:rPr>
        <w:t>The REIT provisions of the Code may limit our ability to hedge risks relating to its operations. Any income from a hedging transaction that we enter into to manage risk of interest rate changes, price changes or currency fluctuations with respect to borrowings made or to be made, if properly identified under applicable Treasury Regulations, does not constitute “gross income” for purposes of the 75% or 95% gross income tests. To the extent that we enter into other types of hedging transactions, the income from those transactions will likely be treated as non-qualifying income for purposes of both of the gross income tests.</w:t>
      </w:r>
    </w:p>
    <w:p>
      <w:pPr>
        <w:spacing w:after="0" w:line="1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To the extent the business interest deductions of our subsidiaries, if any, are deferred or disallowed, our taxable income may exceed our cash available for distributions to stockholders.</w:t>
      </w:r>
    </w:p>
    <w:p>
      <w:pPr>
        <w:spacing w:after="0" w:line="163" w:lineRule="exact"/>
        <w:rPr>
          <w:sz w:val="20"/>
          <w:szCs w:val="20"/>
          <w:color w:val="auto"/>
        </w:rPr>
      </w:pPr>
    </w:p>
    <w:p>
      <w:pPr>
        <w:jc w:val="both"/>
        <w:ind w:firstLine="709"/>
        <w:spacing w:after="0" w:line="274" w:lineRule="auto"/>
        <w:rPr>
          <w:sz w:val="20"/>
          <w:szCs w:val="20"/>
          <w:color w:val="auto"/>
        </w:rPr>
      </w:pPr>
      <w:r>
        <w:rPr>
          <w:rFonts w:ascii="Times New Roman" w:cs="Times New Roman" w:eastAsia="Times New Roman" w:hAnsi="Times New Roman"/>
          <w:sz w:val="19"/>
          <w:szCs w:val="19"/>
          <w:color w:val="auto"/>
        </w:rPr>
        <w:t>Code Section 163(j) limits the deductibility of “business interest” for both individuals and corporations. Certain real property trades or businesses are permitted to elect out of this limitation, but we do not expect this election to be available to us. To the extent our interest deductions or those of our subsidiaries, if any, are deferred or disallowed under Code Section 163(j) or</w:t>
      </w:r>
    </w:p>
    <w:p>
      <w:pPr>
        <w:sectPr>
          <w:pgSz w:w="12240" w:h="15840" w:orient="portrait"/>
          <w:cols w:equalWidth="0" w:num="1">
            <w:col w:w="10280"/>
          </w:cols>
          <w:pgMar w:left="1160" w:top="1009" w:right="800" w:bottom="254" w:gutter="0" w:footer="0" w:header="0"/>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80"/>
          </w:cols>
          <w:pgMar w:left="1160" w:top="1009" w:right="800" w:bottom="254" w:gutter="0" w:footer="0" w:header="0"/>
          <w:type w:val="continuous"/>
        </w:sectPr>
      </w:pPr>
    </w:p>
    <w:bookmarkStart w:id="67" w:name="page68"/>
    <w:bookmarkEnd w:id="67"/>
    <w:p>
      <w:pPr>
        <w:jc w:val="both"/>
        <w:spacing w:after="0" w:line="249" w:lineRule="auto"/>
        <w:rPr>
          <w:sz w:val="20"/>
          <w:szCs w:val="20"/>
          <w:color w:val="auto"/>
        </w:rPr>
      </w:pPr>
      <w:r>
        <w:rPr>
          <w:rFonts w:ascii="Times New Roman" w:cs="Times New Roman" w:eastAsia="Times New Roman" w:hAnsi="Times New Roman"/>
          <w:sz w:val="20"/>
          <w:szCs w:val="20"/>
          <w:color w:val="auto"/>
        </w:rPr>
        <w:t>any other provision of law, our taxable income may exceed our cash available for distribution to our stockholders. As a result, there is a risk that we may have taxable income in excess of cash available for distribution. In that event, we may need to borrow funds or take other action to satisfy the REIT distribution requirements for the taxable year in which this “phantom income” is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As significant beneficial owners of our Manager, the founders of Chicago Atlantic can exert significant influence over our corporate actions and important corporate matters.</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founders of Chicago Atlantic, Mr. Mazarakis, our Executive Chairman, Mr. Cappell, our Co-Chief Executive Officer, and Dr. Bodmeier, our former President and former Chief Investment Officer, beneficially own approximately 5.7% of our common stock on a fully-diluted basis as of December 31, 2025. The founders of Chicago Atlantic also own 100% of the outstanding equity of our Manager. The founders of Chicago Atlantic could therefore exert substantial influence over our corporate matters, such as electing directors and approving material mergers, acquisitions, strategic partnerships or other business combination transactions, as applicable. This concentration of ownership may discourage, delay or prevent a change in control which could have the dual effect of depriving our stockholders from an opportunity to receive a premium for their equity as part of a sale of our Company and otherwise reducing the price of such equity.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for our common stock may be volatile, which could contribute to the loss of all or part of your investment.</w:t>
      </w:r>
    </w:p>
    <w:p>
      <w:pPr>
        <w:spacing w:after="0" w:line="223"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The market price and liquidity of the market for our common stock may be significantly affected by numerous factors, some of which are beyond our control and may not be directly related to our operating performance. Some of the factors that could negatively affect or result in fluctuations in the market price of our common stock include:</w:t>
      </w:r>
    </w:p>
    <w:p>
      <w:pPr>
        <w:spacing w:after="0" w:line="191" w:lineRule="exact"/>
        <w:rPr>
          <w:sz w:val="20"/>
          <w:szCs w:val="20"/>
          <w:color w:val="auto"/>
        </w:rPr>
      </w:pPr>
    </w:p>
    <w:p>
      <w:pPr>
        <w:ind w:left="980" w:hanging="362"/>
        <w:spacing w:after="0" w:line="272" w:lineRule="auto"/>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actual or projected operating results, financial condition, cash flows and liquidity or changes in business strategy or prospects;</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governmental policies, regulations or laws;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loss of a major funding source or inability to obtain new favorable funding sources in the future;</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equity issuances by us, or share resales by our stockholders, or the perception that such issuances or resales may occur;</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actual, anticipated or perceived accounting or internal control problems;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publication of research reports about us, the real estate industry or the cannabis industry;</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value of the properties securing our loans;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market valuations of similar companies;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adverse market reaction to any increased indebtedness we may incur in the future;</w:t>
      </w:r>
    </w:p>
    <w:p>
      <w:pPr>
        <w:spacing w:after="0" w:line="238" w:lineRule="exact"/>
        <w:rPr>
          <w:rFonts w:ascii="Arial" w:cs="Arial" w:eastAsia="Arial" w:hAnsi="Arial"/>
          <w:sz w:val="20"/>
          <w:szCs w:val="20"/>
          <w:color w:val="auto"/>
        </w:rPr>
      </w:pPr>
    </w:p>
    <w:p>
      <w:pPr>
        <w:ind w:left="980" w:hanging="362"/>
        <w:spacing w:after="0" w:line="272" w:lineRule="auto"/>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to or departures of the executive officers or key personnel supporting or assisting us from our Manager or its affiliates, including our Manager’s investment professionals;</w:t>
      </w:r>
    </w:p>
    <w:p>
      <w:pPr>
        <w:spacing w:after="0" w:line="174" w:lineRule="exact"/>
        <w:rPr>
          <w:rFonts w:ascii="Arial" w:cs="Arial" w:eastAsia="Arial" w:hAnsi="Arial"/>
          <w:sz w:val="20"/>
          <w:szCs w:val="20"/>
          <w:color w:val="auto"/>
        </w:rPr>
      </w:pPr>
    </w:p>
    <w:p>
      <w:pPr>
        <w:ind w:left="980" w:hanging="362"/>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speculation in the press or investment community about us or other similar companies;</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meet, or the lowering of, our earnings estimates or those of any securities analysts;</w:t>
      </w:r>
    </w:p>
    <w:p>
      <w:pPr>
        <w:spacing w:after="0" w:line="238" w:lineRule="exact"/>
        <w:rPr>
          <w:rFonts w:ascii="Arial" w:cs="Arial" w:eastAsia="Arial" w:hAnsi="Arial"/>
          <w:sz w:val="20"/>
          <w:szCs w:val="20"/>
          <w:color w:val="auto"/>
        </w:rPr>
      </w:pPr>
    </w:p>
    <w:p>
      <w:pPr>
        <w:jc w:val="both"/>
        <w:ind w:left="980" w:hanging="362"/>
        <w:spacing w:after="0" w:line="254" w:lineRule="auto"/>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market interest rates, which may lead investors to demand a higher distribution yield for our common stock (if we have begun to make distributions to our stockholders) and which could cause the cost of our interest expenses on our debt to increase;</w:t>
      </w:r>
    </w:p>
    <w:p>
      <w:pPr>
        <w:spacing w:after="0" w:line="192" w:lineRule="exact"/>
        <w:rPr>
          <w:rFonts w:ascii="Arial" w:cs="Arial" w:eastAsia="Arial" w:hAnsi="Arial"/>
          <w:sz w:val="20"/>
          <w:szCs w:val="20"/>
          <w:color w:val="auto"/>
        </w:rPr>
      </w:pPr>
    </w:p>
    <w:p>
      <w:pPr>
        <w:ind w:left="980" w:hanging="362"/>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qualify or maintain our qualification as a REIT or exclusion from the Investment Company Act;</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80"/>
          </w:cols>
          <w:pgMar w:left="1160" w:top="1009" w:right="800" w:bottom="254" w:gutter="0" w:footer="0" w:header="0"/>
          <w:type w:val="continuous"/>
        </w:sectPr>
      </w:pPr>
    </w:p>
    <w:bookmarkStart w:id="68" w:name="page69"/>
    <w:bookmarkEnd w:id="68"/>
    <w:p>
      <w:pPr>
        <w:ind w:left="980" w:hanging="362"/>
        <w:spacing w:after="0"/>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price and volume fluctuations in the stock market generally; and</w:t>
      </w:r>
    </w:p>
    <w:p>
      <w:pPr>
        <w:spacing w:after="0" w:line="238" w:lineRule="exact"/>
        <w:rPr>
          <w:rFonts w:ascii="Arial" w:cs="Arial" w:eastAsia="Arial" w:hAnsi="Arial"/>
          <w:sz w:val="20"/>
          <w:szCs w:val="20"/>
          <w:color w:val="auto"/>
        </w:rPr>
      </w:pPr>
    </w:p>
    <w:p>
      <w:pPr>
        <w:ind w:left="980" w:hanging="362"/>
        <w:spacing w:after="0"/>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general market and economic conditions, including the state of the credit and capital markets.</w:t>
      </w:r>
    </w:p>
    <w:p>
      <w:pPr>
        <w:spacing w:after="0" w:line="224" w:lineRule="exact"/>
        <w:rPr>
          <w:sz w:val="20"/>
          <w:szCs w:val="20"/>
          <w:color w:val="auto"/>
        </w:rPr>
      </w:pPr>
    </w:p>
    <w:p>
      <w:pPr>
        <w:jc w:val="both"/>
        <w:ind w:firstLine="709"/>
        <w:spacing w:after="0" w:line="274" w:lineRule="auto"/>
        <w:rPr>
          <w:sz w:val="20"/>
          <w:szCs w:val="20"/>
          <w:color w:val="auto"/>
        </w:rPr>
      </w:pPr>
      <w:r>
        <w:rPr>
          <w:rFonts w:ascii="Times New Roman" w:cs="Times New Roman" w:eastAsia="Times New Roman" w:hAnsi="Times New Roman"/>
          <w:sz w:val="19"/>
          <w:szCs w:val="19"/>
          <w:color w:val="auto"/>
        </w:rPr>
        <w:t>Any of the factors listed above could materially adversely affect your investment in our common stock, and our common stock may trade at prices significantly below the initial public offering price, which could contribute to a loss of all or part of your investment. In such circumstances the trading price of our common stock may not recover and may experience a further decline.</w:t>
      </w:r>
    </w:p>
    <w:p>
      <w:pPr>
        <w:spacing w:after="0" w:line="161"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In addition, broad market and industry factors could materially adversely affect the market price of our common stock, irrespective of our operating performance. The stock market in general, and Nasdaq and the market for cannabis-related companies and REITs have experienced extreme price and volume fluctuations that have often been unrelated or disproportionate to the operating performance of the particular companies affected. The trading prices and valuations of these stocks, and of ours, may not be predictable. A loss of investor confidence in the market for finance companies or for those companies in the cannabis industry or the stocks of other companies which investors perceive to be similar to us, the opportunities in the finance or cannabis market or the stock market in general, could depress our stock price regardless of our business, financial condition, results of operations or growth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value of our equity securities could be materially and adversely affected by our level of cash distributions.</w:t>
      </w:r>
    </w:p>
    <w:p>
      <w:pPr>
        <w:spacing w:after="0" w:line="223" w:lineRule="exact"/>
        <w:rPr>
          <w:sz w:val="20"/>
          <w:szCs w:val="20"/>
          <w:color w:val="auto"/>
        </w:rPr>
      </w:pPr>
    </w:p>
    <w:p>
      <w:pPr>
        <w:jc w:val="both"/>
        <w:ind w:firstLine="709"/>
        <w:spacing w:after="0" w:line="258" w:lineRule="auto"/>
        <w:rPr>
          <w:sz w:val="20"/>
          <w:szCs w:val="20"/>
          <w:color w:val="auto"/>
        </w:rPr>
      </w:pPr>
      <w:r>
        <w:rPr>
          <w:rFonts w:ascii="Times New Roman" w:cs="Times New Roman" w:eastAsia="Times New Roman" w:hAnsi="Times New Roman"/>
          <w:sz w:val="19"/>
          <w:szCs w:val="19"/>
          <w:color w:val="auto"/>
        </w:rPr>
        <w:t>The value of the equity securities of a company whose principal business is similar to ours is based primarily upon investors’ perception of its growth potential and its current and potential future cash distributions, whether from operations, sales or refinancings, and is secondarily based upon the market value of its underlying assets. For that reason, our equity may be valued at prices that are higher or lower than our net asset value per share. To the extent we retain operating cash flow for investment purposes, working capital reserves or other purposes, these retained funds, while increasing the value of our underlying assets, may not correspondingly increase the price at which our equity could trade. Our failure to meet investors’ expectations with regard to future earnings and cash distributions likely would materially and adversely affect the valuation of our equity.</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Future offerings of debt securities, which would rank senior to our common stock upon a bankruptcy liquidation, and future offerings of equity securities that may be senior to our common stock for the purposes of dividend and liquidating distributions, may adversely affect the value of our stock.</w:t>
      </w:r>
    </w:p>
    <w:p>
      <w:pPr>
        <w:spacing w:after="0" w:line="177"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In the future, we may attempt to increase our capital resources by making offerings of debt securities or additional offerings of equity securities that may be senior to our common stock. As the cannabis industry continues to evolve and to the extent that additional states legalize cannabis, we expect the demand for capital to continue to increase as operators seek to enter and build out new markets. We expect the principal amount of the loans we originate to increase and that we will need to raise additional equity and/or debt to increase our liquidity in the future. Upon bankruptcy or liquidation, holders of our debt securities, lenders with respect to any of our borrowings and holders of our preferred stock, if any, will receive a distribution of our available assets prior to the holders of our common stock. Additional equity offerings by us may dilute the holdings of our existing stockholders or reduce the valuation of our common stock. Our decision to issue securities in any future offering will depend on market conditions and other factors beyond our control. As a result, we cannot predict or estimate the amount, timing or nature of our future offerings, and holders of our common stock bear the risk of our future offerings reducing the valuation of our common stock and diluting their ownership interest.</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We may in the future pay distributions from sources other than our cash flow from operations, including borrowings, offering proceeds or the sale of assets, which means we will have less funds available for investments or less income-producing assets and your overall return may be reduced.</w:t>
      </w:r>
    </w:p>
    <w:p>
      <w:pPr>
        <w:spacing w:after="0" w:line="177"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We may in the future pay distributions from sources other than from our cash flow from operations. We intend to fund the payment of regular distributions to our stockholders entirely from cash flow from our operations. However, we may from time to time not generate sufficient cash flow from operations to fully fund distributions to stockholders. Therefore, if we choose to pay a distribution, we may choose to use cash flows from financing activities, including borrowings (including borrowings secured by our assets) and net proceeds of this or a prior offering, from the sale of assets or from other sources to fund distributions to our stockholders.</w:t>
      </w:r>
    </w:p>
    <w:p>
      <w:pPr>
        <w:spacing w:after="0" w:line="189" w:lineRule="exact"/>
        <w:rPr>
          <w:sz w:val="20"/>
          <w:szCs w:val="20"/>
          <w:color w:val="auto"/>
        </w:rPr>
      </w:pPr>
    </w:p>
    <w:p>
      <w:pPr>
        <w:jc w:val="both"/>
        <w:ind w:firstLine="709"/>
        <w:spacing w:after="0" w:line="262" w:lineRule="auto"/>
        <w:rPr>
          <w:sz w:val="20"/>
          <w:szCs w:val="20"/>
          <w:color w:val="auto"/>
        </w:rPr>
      </w:pPr>
      <w:r>
        <w:rPr>
          <w:rFonts w:ascii="Times New Roman" w:cs="Times New Roman" w:eastAsia="Times New Roman" w:hAnsi="Times New Roman"/>
          <w:sz w:val="19"/>
          <w:szCs w:val="19"/>
          <w:color w:val="auto"/>
        </w:rPr>
        <w:t>To the extent that we fund distributions from sources other than cash flows from operations, including borrowings, offering proceeds or proceeds from asset sales, the value of your investment will decline, and such distributions may constitute a return of capital and we may have fewer funds available for the funding of loans or less income-producing assets and your overall return may be reduced. Further, to the extent distributions exceed our earnings and profits, a stockholder’s basis in our stock will be reduced and, to the extent distributions exceed a stockholder’s basis, the stockholder will be required to recognize capital gain.</w:t>
      </w:r>
    </w:p>
    <w:p>
      <w:pPr>
        <w:sectPr>
          <w:pgSz w:w="12240" w:h="15840" w:orient="portrait"/>
          <w:cols w:equalWidth="0" w:num="1">
            <w:col w:w="10280"/>
          </w:cols>
          <w:pgMar w:left="1160" w:top="1023" w:right="800" w:bottom="254"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80"/>
          </w:cols>
          <w:pgMar w:left="1160" w:top="1023" w:right="800" w:bottom="254" w:gutter="0" w:footer="0" w:header="0"/>
          <w:type w:val="continuous"/>
        </w:sectPr>
      </w:pPr>
    </w:p>
    <w:bookmarkStart w:id="69" w:name="page70"/>
    <w:bookmarkEnd w:id="69"/>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There is a risk that you may not receive distributions as holders of our common stock or that such dividends may not grow over time.</w:t>
      </w:r>
    </w:p>
    <w:p>
      <w:pPr>
        <w:spacing w:after="0" w:line="163"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We intend to make regular quarterly distributions to our stockholders, consistent with our intention to maintain our qualification as a REIT for U.S. federal income tax purposes. However, any future determination to actually pay dividends will be at the discretion of our Board, subject to compliance with applicable law and any contractual provisions, including under agreements for indebtedness, that restrict or limit our ability to pay dividends, and will depend upon, among other factors, our results of operations, financial condition, earnings, capital requirements and other factors that our Board deems relevant. We therefore cannot assure you that we will achieve investment results and other circumstances that will allow us to make a specified level of cash distributions or year-to-year increases in cash distributions.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a “smaller reporting company” and we cannot be certain if the reduced disclosure requirements applicable to emerging growth companies and smaller reporting companies will make shares of our common stock less attractive to investors.</w:t>
      </w:r>
    </w:p>
    <w:p>
      <w:pPr>
        <w:spacing w:after="0" w:line="177" w:lineRule="exact"/>
        <w:rPr>
          <w:sz w:val="20"/>
          <w:szCs w:val="20"/>
          <w:color w:val="auto"/>
        </w:rPr>
      </w:pPr>
    </w:p>
    <w:p>
      <w:pPr>
        <w:jc w:val="both"/>
        <w:ind w:firstLine="709"/>
        <w:spacing w:after="0"/>
        <w:rPr>
          <w:sz w:val="20"/>
          <w:szCs w:val="20"/>
          <w:color w:val="auto"/>
        </w:rPr>
      </w:pPr>
      <w:r>
        <w:rPr>
          <w:rFonts w:ascii="Times New Roman" w:cs="Times New Roman" w:eastAsia="Times New Roman" w:hAnsi="Times New Roman"/>
          <w:sz w:val="20"/>
          <w:szCs w:val="20"/>
          <w:color w:val="auto"/>
        </w:rPr>
        <w:t>We are an “emerging growth company” as defined in the JOBS Act, and we have elected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 extended transition period for complying with new or revised accounting standards and exemptions from the requirements of holding a non-binding advisory vote on executive compensation and stockholder approval of any golden parachute payments not previously approved. We will remain an emerging growth company until the earliest to occur of (i) the last day of the fiscal year during which our total annual revenue equals or exceeds $1.235 billion (subject to adjustment for inflation), (ii) the last day of the fiscal year following the fifth anniversary of our initial public offering, (iii) the date on which we have, during the previous three year period, more than $1.0 billion in non-convertible debt or (iv) the date issued on which we are deemed to be a “large accelerated filer” under the Exchange Act.</w:t>
      </w:r>
    </w:p>
    <w:p>
      <w:pPr>
        <w:spacing w:after="0" w:line="199" w:lineRule="exact"/>
        <w:rPr>
          <w:sz w:val="20"/>
          <w:szCs w:val="20"/>
          <w:color w:val="auto"/>
        </w:rPr>
      </w:pPr>
    </w:p>
    <w:p>
      <w:pPr>
        <w:jc w:val="both"/>
        <w:ind w:firstLine="709"/>
        <w:spacing w:after="0" w:line="266" w:lineRule="auto"/>
        <w:rPr>
          <w:sz w:val="20"/>
          <w:szCs w:val="20"/>
          <w:color w:val="auto"/>
        </w:rPr>
      </w:pPr>
      <w:r>
        <w:rPr>
          <w:rFonts w:ascii="Times New Roman" w:cs="Times New Roman" w:eastAsia="Times New Roman" w:hAnsi="Times New Roman"/>
          <w:sz w:val="19"/>
          <w:szCs w:val="19"/>
          <w:color w:val="auto"/>
        </w:rPr>
        <w:t>Similarly, as a “smaller reporting company” under federal securities laws, we may take advantage of certain exemptions from various reporting requirements that are applicable to other public companies that are not smaller reporting companies, including, but not limited to, reduced disclosure obligations regarding executive compensation in our periodic reports and proxy statements. We may be a smaller reporting company even after we are no longer an emerging growth company.</w:t>
      </w:r>
    </w:p>
    <w:p>
      <w:pPr>
        <w:spacing w:after="0" w:line="168"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and/or smaller reporting company,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We rely on information technology in our operations, and security breaches and other disruptions in our systems could compromise our information and expose us to liability, which would cause our business and reputation to suffer.</w:t>
      </w:r>
    </w:p>
    <w:p>
      <w:pPr>
        <w:spacing w:after="0" w:line="163" w:lineRule="exact"/>
        <w:rPr>
          <w:sz w:val="20"/>
          <w:szCs w:val="20"/>
          <w:color w:val="auto"/>
        </w:rPr>
      </w:pPr>
    </w:p>
    <w:p>
      <w:pPr>
        <w:jc w:val="both"/>
        <w:ind w:firstLine="709"/>
        <w:spacing w:after="0" w:line="253" w:lineRule="auto"/>
        <w:rPr>
          <w:sz w:val="20"/>
          <w:szCs w:val="20"/>
          <w:color w:val="auto"/>
        </w:rPr>
      </w:pPr>
      <w:r>
        <w:rPr>
          <w:rFonts w:ascii="Times New Roman" w:cs="Times New Roman" w:eastAsia="Times New Roman" w:hAnsi="Times New Roman"/>
          <w:sz w:val="19"/>
          <w:szCs w:val="19"/>
          <w:color w:val="auto"/>
        </w:rPr>
        <w:t>In the ordinary course of our business, we collect and store sensitive data, including intellectual property, our proprietary business information and that of our borrowers and business partners, including personally identifiable information of our borrowers and employees, if any, on our networks. Despite our security measures, our information technology and infrastructure may be vulnerable to attacks by hackers or breached due to employee error, malfeasance or other disruptions. These incidents may be an intentional attack or an unintentional event and could involve gaining unauthorized access to our information systems or those of our borrowers for purposes of misappropriating assets, stealing confidential information, corrupting data or causing operational disruption. Any such breach could compromise our networks and the information stored there could be accessed, publicly disclosed, lost or stolen. The result of these incidents may include disrupted operations, misstated or unreliable financial data, liability for stolen assets or information, increased cybersecurity protection and insurance costs, litigation, damage to business relationships and regulatory fines and penalties. The costs related to cyber or other security threats or disruptions may not be fully insured or indemnified by other means. Although we have implemented processes, procedures and internal controls to help mitigate cybersecurity risks and cyber intrusions, such measures will not guarantee that a cyber-incident will not occur and/or that our financial results, operations or confidential information will not be negatively impacted by such an incident. In addition, cybersecurity has become a top priority for regulators around the world, and some jurisdictions have enacted laws requiring companies to notify individuals of data security breaches involving certain types of personal data. If we fail to comply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80"/>
          </w:cols>
          <w:pgMar w:left="1160" w:top="1238" w:right="800" w:bottom="254" w:gutter="0" w:footer="0" w:header="0"/>
        </w:sectPr>
      </w:pPr>
    </w:p>
    <w:bookmarkStart w:id="70" w:name="page71"/>
    <w:bookmarkEnd w:id="70"/>
    <w:p>
      <w:pPr>
        <w:jc w:val="both"/>
        <w:spacing w:after="0" w:line="272" w:lineRule="auto"/>
        <w:rPr>
          <w:sz w:val="20"/>
          <w:szCs w:val="20"/>
          <w:color w:val="auto"/>
        </w:rPr>
      </w:pPr>
      <w:r>
        <w:rPr>
          <w:rFonts w:ascii="Times New Roman" w:cs="Times New Roman" w:eastAsia="Times New Roman" w:hAnsi="Times New Roman"/>
          <w:sz w:val="20"/>
          <w:szCs w:val="20"/>
          <w:color w:val="auto"/>
        </w:rPr>
        <w:t>with the relevant laws and regulations, we could suffer financial losses, a disruption of our business, liability to investors, regulatory intervention or reputational damage.</w:t>
      </w:r>
    </w:p>
    <w:p>
      <w:pPr>
        <w:spacing w:after="0" w:line="161"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Moreover, the evolving threat landscape—including the rise of sophisticated ransomware attacks, AI-driven phishing schemes, and increased risks stemming from supply chain vulnerabilities—has further heightened the challenges of safeguarding our information systems. Additionally, the rapid evolution and increased availability of artificial intelligence and machine learning technologies may also intensify cybersecurity risks by making such attacks and other cybersecurity incidents more difficult to detect, contain, and mitigate. New regulatory developments will likely continue to rise in priority and could impose more stringent disclosure requirements regarding cyber incidents, potentially amplifying the financial and operational impact of any breach.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subject to litigation filed by or against us, including class action litigation.</w:t>
      </w:r>
    </w:p>
    <w:p>
      <w:pPr>
        <w:spacing w:after="0" w:line="223" w:lineRule="exact"/>
        <w:rPr>
          <w:sz w:val="20"/>
          <w:szCs w:val="20"/>
          <w:color w:val="auto"/>
        </w:rPr>
      </w:pPr>
    </w:p>
    <w:p>
      <w:pPr>
        <w:jc w:val="both"/>
        <w:ind w:firstLine="709"/>
        <w:spacing w:after="0" w:line="272" w:lineRule="auto"/>
        <w:rPr>
          <w:sz w:val="20"/>
          <w:szCs w:val="20"/>
          <w:color w:val="auto"/>
        </w:rPr>
      </w:pPr>
      <w:r>
        <w:rPr>
          <w:rFonts w:ascii="Times New Roman" w:cs="Times New Roman" w:eastAsia="Times New Roman" w:hAnsi="Times New Roman"/>
          <w:sz w:val="20"/>
          <w:szCs w:val="20"/>
          <w:color w:val="auto"/>
        </w:rPr>
        <w:t>In the past, securities class action litigation has often been brought against a company following a period of volatility or decline in the market price of its securities.</w:t>
      </w:r>
    </w:p>
    <w:p>
      <w:pPr>
        <w:spacing w:after="0" w:line="161"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Legal or governmental proceedings brought by or on behalf of third parties may adversely affect our financial results. Our investment activities may include activities that are hostile in nature and will subject it to the risks of becoming involved in such proceedings. The expense of defending claims against us and paying any amounts pursuant to settlements or judgments would be borne by us and would reduce net assets. Our Manager will be indemnified by us in connection with such proceedings, subject to certain conditions. Similarly, we may from time-to-time institute legal proceedings on behalf of ourselves or others, the ultimate outcome of which could cause us to incur substantial damages and expenses, which could have a material adverse effect on our business.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63"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Future sales of our capital stock or other securities convertible into our capital stock could cause the value of our common stock to decline and could result in dilution of your shares of our common stock.</w:t>
      </w:r>
    </w:p>
    <w:p>
      <w:pPr>
        <w:spacing w:after="0" w:line="163" w:lineRule="exact"/>
        <w:rPr>
          <w:sz w:val="20"/>
          <w:szCs w:val="20"/>
          <w:color w:val="auto"/>
        </w:rPr>
      </w:pPr>
    </w:p>
    <w:p>
      <w:pPr>
        <w:jc w:val="both"/>
        <w:ind w:firstLine="709"/>
        <w:spacing w:after="0" w:line="255" w:lineRule="auto"/>
        <w:rPr>
          <w:sz w:val="20"/>
          <w:szCs w:val="20"/>
          <w:color w:val="auto"/>
        </w:rPr>
      </w:pPr>
      <w:r>
        <w:rPr>
          <w:rFonts w:ascii="Times New Roman" w:cs="Times New Roman" w:eastAsia="Times New Roman" w:hAnsi="Times New Roman"/>
          <w:sz w:val="20"/>
          <w:szCs w:val="20"/>
          <w:color w:val="auto"/>
        </w:rPr>
        <w:t>Our Board is authorized, without stockholder approval, to cause us to issue additional shares of our common stock and to raise capital through the creation and issuance of preferred stock, debt securities convertible into common stock, options, warrants and other rights, on terms and for consideration as our Board in its sole discretion may determine.</w:t>
      </w:r>
    </w:p>
    <w:p>
      <w:pPr>
        <w:spacing w:after="0" w:line="177"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Sales of substantial amounts of our capital stock or other securities convertible into our capital stock could cause the valuation of our capital stock to decrease significantly. We cannot predict the effect, if any, of future sales of our equity, or the availability of our equity for future sales, on the value of our equity. Sales of substantial amounts of our equity by any large stockholder, or the perception that such sales could occur, may adversely affect the valuation of our equity.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77" w:lineRule="exact"/>
        <w:rPr>
          <w:sz w:val="20"/>
          <w:szCs w:val="20"/>
          <w:color w:val="auto"/>
        </w:rPr>
      </w:pPr>
    </w:p>
    <w:p>
      <w:pPr>
        <w:jc w:val="both"/>
        <w:ind w:firstLine="709"/>
        <w:spacing w:after="0" w:line="258" w:lineRule="auto"/>
        <w:rPr>
          <w:sz w:val="20"/>
          <w:szCs w:val="20"/>
          <w:color w:val="auto"/>
        </w:rPr>
      </w:pPr>
      <w:r>
        <w:rPr>
          <w:rFonts w:ascii="Times New Roman" w:cs="Times New Roman" w:eastAsia="Times New Roman" w:hAnsi="Times New Roman"/>
          <w:sz w:val="19"/>
          <w:szCs w:val="19"/>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w:t>
      </w:r>
    </w:p>
    <w:p>
      <w:pPr>
        <w:sectPr>
          <w:pgSz w:w="12240" w:h="15840" w:orient="portrait"/>
          <w:cols w:equalWidth="0" w:num="1">
            <w:col w:w="10280"/>
          </w:cols>
          <w:pgMar w:left="1160" w:top="1009" w:right="800" w:bottom="254" w:gutter="0" w:footer="0" w:header="0"/>
        </w:sect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80"/>
          </w:cols>
          <w:pgMar w:left="1160" w:top="1009" w:right="800" w:bottom="254" w:gutter="0" w:footer="0" w:header="0"/>
          <w:type w:val="continuous"/>
        </w:sectPr>
      </w:pPr>
    </w:p>
    <w:bookmarkStart w:id="71" w:name="page72"/>
    <w:bookmarkEnd w:id="71"/>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17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Failure to achieve and maintain effective internal controls over financial reporting in accordance with Section 404 of the Sarbanes-Oxley Act could have a material adverse effect on our business and the value of our common stock.</w:t>
      </w:r>
    </w:p>
    <w:p>
      <w:pPr>
        <w:spacing w:after="0" w:line="163" w:lineRule="exact"/>
        <w:rPr>
          <w:sz w:val="20"/>
          <w:szCs w:val="20"/>
          <w:color w:val="auto"/>
        </w:rPr>
      </w:pPr>
    </w:p>
    <w:p>
      <w:pPr>
        <w:jc w:val="both"/>
        <w:ind w:right="20" w:firstLine="709"/>
        <w:spacing w:after="0" w:line="241" w:lineRule="auto"/>
        <w:rPr>
          <w:sz w:val="20"/>
          <w:szCs w:val="20"/>
          <w:color w:val="auto"/>
        </w:rPr>
      </w:pPr>
      <w:r>
        <w:rPr>
          <w:rFonts w:ascii="Times New Roman" w:cs="Times New Roman" w:eastAsia="Times New Roman" w:hAnsi="Times New Roman"/>
          <w:sz w:val="20"/>
          <w:szCs w:val="20"/>
          <w:color w:val="auto"/>
        </w:rPr>
        <w:t>We are obligated to maintain proper and effective internal control over financial reporting, including the internal control evaluation and certification requirements of Section 404 of the Sarbanes-Oxley Act (“Section 404”). We will not be required to comply with all of the requirements of Section 404 until we are no longer an emerging growth company under the JOBS Act. Prior to the IPO, we were not subject to the public company internal control framework requirements and therefore did not sufficiently design and document our control environment to be in compliance with all required public company standards contemplated by Section 404 that we will eventually be required to meet. Beginning with our annual report on Form 10-K for the year ended December 31, 2022, we are required to conduct annual management assessments of the effectiveness of our internal controls over financial reporting. However, our independent registered public accounting firm will not be required to formally attest to the effectiveness of our internal control over financial reporting until the date we are no longer an emerging growth company under the JOBS Act.</w:t>
      </w:r>
    </w:p>
    <w:p>
      <w:pPr>
        <w:spacing w:after="0" w:line="192" w:lineRule="exact"/>
        <w:rPr>
          <w:sz w:val="20"/>
          <w:szCs w:val="20"/>
          <w:color w:val="auto"/>
        </w:rPr>
      </w:pPr>
    </w:p>
    <w:p>
      <w:pPr>
        <w:jc w:val="both"/>
        <w:ind w:right="20" w:firstLine="709"/>
        <w:spacing w:after="0" w:line="258" w:lineRule="auto"/>
        <w:rPr>
          <w:sz w:val="20"/>
          <w:szCs w:val="20"/>
          <w:color w:val="auto"/>
        </w:rPr>
      </w:pPr>
      <w:r>
        <w:rPr>
          <w:rFonts w:ascii="Times New Roman" w:cs="Times New Roman" w:eastAsia="Times New Roman" w:hAnsi="Times New Roman"/>
          <w:sz w:val="19"/>
          <w:szCs w:val="19"/>
          <w:color w:val="auto"/>
        </w:rPr>
        <w:t>If we are not able to implement the requirements of Section 404 in a timely manner or with adequate compliance, our operations, financial reporting or financial results could be adversely affected. Matters impacting our internal controls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There could also be a negative reaction in the financial markets due to a loss of investor confidence in the Company and the reliability of our consolidated financial statements. Confidence in the reliability of our consolidated financial statements could also suffer. This could materially adversely affect 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223" w:lineRule="exact"/>
        <w:rPr>
          <w:sz w:val="20"/>
          <w:szCs w:val="20"/>
          <w:color w:val="auto"/>
        </w:rPr>
      </w:pPr>
    </w:p>
    <w:p>
      <w:pPr>
        <w:jc w:val="both"/>
        <w:ind w:right="20" w:firstLine="709"/>
        <w:spacing w:after="0" w:line="244"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9"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Assessment, Identification and Management of Material Risks from Cybersecurity Threats</w:t>
      </w:r>
    </w:p>
    <w:p>
      <w:pPr>
        <w:spacing w:after="0" w:line="193" w:lineRule="exact"/>
        <w:rPr>
          <w:sz w:val="20"/>
          <w:szCs w:val="20"/>
          <w:color w:val="auto"/>
        </w:rPr>
      </w:pPr>
    </w:p>
    <w:p>
      <w:pPr>
        <w:jc w:val="both"/>
        <w:ind w:right="20" w:firstLine="355"/>
        <w:spacing w:after="0" w:line="258" w:lineRule="auto"/>
        <w:rPr>
          <w:sz w:val="20"/>
          <w:szCs w:val="20"/>
          <w:color w:val="auto"/>
        </w:rPr>
      </w:pPr>
      <w:r>
        <w:rPr>
          <w:rFonts w:ascii="Times New Roman" w:cs="Times New Roman" w:eastAsia="Times New Roman" w:hAnsi="Times New Roman"/>
          <w:sz w:val="19"/>
          <w:szCs w:val="19"/>
          <w:color w:val="auto"/>
        </w:rPr>
        <w:t>As an externally managed company, our business is highly dependent on the communications and information systems of our Manager, its affiliates and third-party service providers. We, in conjunction with our Manager, have adopted processes designed to identify, assess and manage material risks from cybersecurity threats which prioritizes detection and analysis of and response to known, anticipated, or unexpected threats, effective management of security risks and resilience against cyber incidents. Our Manager's cybersecurity program is aligned to the National Institute of Standards of Technology (NIST) Cybersecurity Framework. Our Manager's cybersecurity risk management processes include technical security controls, policy enforcement mechanisms, monitoring systems, tools and related services, which include tools and services from third-party providers, and</w:t>
      </w:r>
    </w:p>
    <w:p>
      <w:pPr>
        <w:sectPr>
          <w:pgSz w:w="12240" w:h="15840" w:orient="portrait"/>
          <w:cols w:equalWidth="0" w:num="1">
            <w:col w:w="10300"/>
          </w:cols>
          <w:pgMar w:left="1160" w:top="1009" w:right="780" w:bottom="254" w:gutter="0" w:footer="0" w:header="0"/>
        </w:sect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300"/>
          </w:cols>
          <w:pgMar w:left="1160" w:top="1009" w:right="780" w:bottom="254" w:gutter="0" w:footer="0" w:header="0"/>
          <w:type w:val="continuous"/>
        </w:sectPr>
      </w:pPr>
    </w:p>
    <w:bookmarkStart w:id="72" w:name="page73"/>
    <w:bookmarkEnd w:id="72"/>
    <w:p>
      <w:pPr>
        <w:jc w:val="both"/>
        <w:spacing w:after="0" w:line="249" w:lineRule="auto"/>
        <w:rPr>
          <w:sz w:val="20"/>
          <w:szCs w:val="20"/>
          <w:color w:val="auto"/>
        </w:rPr>
      </w:pPr>
      <w:r>
        <w:rPr>
          <w:rFonts w:ascii="Times New Roman" w:cs="Times New Roman" w:eastAsia="Times New Roman" w:hAnsi="Times New Roman"/>
          <w:sz w:val="20"/>
          <w:szCs w:val="20"/>
          <w:color w:val="auto"/>
        </w:rPr>
        <w:t>management oversight to assess, identify and manage risk from cybersecurity. Our Manager has implemented and continues to implement procedures to address internal and external threats to the security, confidentiality, integrity and availability of our and our Manager’s data and systems along with other material risks to operations and information of our shareholders and other third parties who entrust us with their sensitive information.</w:t>
      </w:r>
    </w:p>
    <w:p>
      <w:pPr>
        <w:spacing w:after="0" w:line="153"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9"/>
          <w:szCs w:val="19"/>
          <w:color w:val="auto"/>
        </w:rPr>
        <w:t>As part of its collective risk management process, our Manager has engaged a third party information technology consultant (“IT Consultant”) to evaluate risks associated with our Manager’s information and technology system(s), network and physical devices. Our Manager's cybersecurity risk management and awareness programs include periodic identification and testing of vulnerabilities, regular phishing simulations and annual general cybersecurity awareness and data protection training including for employees of our Manager. Our Manager also has annual certification requirements for employees, including employees who provide services to us pursuant to our Management Agreement with respect to certain policies supporting the cybersecurity program including Chicago Atlantic's Information Security and Electronic Communications policy, Data Protection Policy and Privacy Policy. Our Manager undertakes periodic internal security reviews of our information systems and related controls, including systems affecting personal data and the cybersecurity risks of our Manager and our critical third-party vendors and other partners. Our Manager also completes periodic external reviews of its cybersecurity program and practices, which include assessments of relevant data protection practices and targeted attack simulations.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-880110</wp:posOffset>
            </wp:positionV>
            <wp:extent cx="6553835" cy="721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6553835" cy="72199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Impact of Risks from Cybersecurity Threats</w:t>
      </w:r>
    </w:p>
    <w:p>
      <w:pPr>
        <w:spacing w:after="0" w:line="193"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As of the date of this report, we have not experienced a material information security breach incident and the expenses we have incurred from information security breach incidents have been immaterial, and we are not aware of any cybersecurity risks that are reasonably likely to materially affect our business. However, future incidents could have a material impact on our business strategy, results of operations or financial condition. For additional discussion of the risks posed by cybersecurity threats, see “</w:t>
      </w:r>
      <w:r>
        <w:rPr>
          <w:rFonts w:ascii="Times New Roman" w:cs="Times New Roman" w:eastAsia="Times New Roman" w:hAnsi="Times New Roman"/>
          <w:sz w:val="20"/>
          <w:szCs w:val="20"/>
          <w:i w:val="1"/>
          <w:iCs w:val="1"/>
          <w:color w:val="auto"/>
        </w:rPr>
        <w:t>Item 1A. Risk Factors— General Risk Factors</w:t>
      </w:r>
      <w:r>
        <w:rPr>
          <w:rFonts w:ascii="Times New Roman" w:cs="Times New Roman" w:eastAsia="Times New Roman" w:hAnsi="Times New Roman"/>
          <w:sz w:val="20"/>
          <w:szCs w:val="20"/>
          <w:color w:val="auto"/>
        </w:rPr>
        <w:t>—We rely on information technology in our operations, and security breaches and other disruptions in our systems could compromise our information and expose us to liability, which would cause our business and reputation to suffer.”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 and Oversight of Cybersecurity Risks</w:t>
      </w:r>
    </w:p>
    <w:p>
      <w:pPr>
        <w:spacing w:after="0" w:line="19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Our cybersecurity program is managed by our Manager's IT Manager and our IT consultant, which together, are responsible for enterprise-wide cybersecurity strategy, policies, standards, engineering, architecture and processes. The team is led by our Manager's IT Manager who has a bachelor's degree in Information Systems from Xavier University and over 15 years of experience advising on and managing risks from cybersecurity threats as well as developing and implementing cybersecurity policies and procedures for financial services companies.</w:t>
      </w:r>
    </w:p>
    <w:p>
      <w:pPr>
        <w:spacing w:after="0" w:line="156"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Our Board has responsibility for the direction and oversight of our risk management. Our Board administers this oversight function directly, with support from its committees. In particular, the Audit Committee has the responsibility to consider and discuss our major financial risk exposures and the steps our Manager takes, or is required to take, to monitor and control these exposures, including guidelines and policies to govern the process by which risk assessment and management is undertaken. The Audit Committee also monitors compliance with legal and regulatory requirements.</w:t>
      </w:r>
    </w:p>
    <w:p>
      <w:pPr>
        <w:spacing w:after="0" w:line="156"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With respect to cybersecurity, the Audit Committee engages in discussions with management regarding the Company’s significant financial risk exposures and the measures implemented to monitor and control these risks, including those that may result from material cybersecurity threats. In addition, employees of our Manager and/or the IT Consultant will brief the Audit Committee on the Manager’s information security program and cybersecurity risks at least annually, and will brief the Audit Committee as needed in connection with any potentially material cybersecurity incidents affecting the Company. Annual briefings of the Audit Committee by employees of the Manager and/or the IT Consultant may include topics such as risk assessment, risk management and control decisions, service provider arrangements, test results, security incidents and responses, and recommendations for changes and updates to policies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We do not own any real estate or other physical properties materially important to our operation. Our principal executive offices are currently located at 1680 Michigan Avenue, Suite 700, Miami Beach, FL 33139. All locations are provided to us by the Manager pursuant to the Management Agreement. We believe that our office facilities are and will be suitable and adequate for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99"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We are not currently subject to any material legal proceedings, nor, to our knowledge, is any material legal proceeding threatened against us. From time to time, we may become involved in litigation or other legal proceedings relating to claims</w:t>
      </w:r>
    </w:p>
    <w:p>
      <w:pPr>
        <w:sectPr>
          <w:pgSz w:w="12240" w:h="15840" w:orient="portrait"/>
          <w:cols w:equalWidth="0" w:num="1">
            <w:col w:w="10280"/>
          </w:cols>
          <w:pgMar w:left="1160" w:top="1009" w:right="800" w:bottom="254"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80"/>
          </w:cols>
          <w:pgMar w:left="1160" w:top="1009" w:right="800" w:bottom="254" w:gutter="0" w:footer="0" w:header="0"/>
          <w:type w:val="continuous"/>
        </w:sectPr>
      </w:pPr>
    </w:p>
    <w:bookmarkStart w:id="73" w:name="page74"/>
    <w:bookmarkEnd w:id="73"/>
    <w:p>
      <w:pPr>
        <w:jc w:val="both"/>
        <w:spacing w:after="0" w:line="255" w:lineRule="auto"/>
        <w:rPr>
          <w:sz w:val="20"/>
          <w:szCs w:val="20"/>
          <w:color w:val="auto"/>
        </w:rPr>
      </w:pPr>
      <w:r>
        <w:rPr>
          <w:rFonts w:ascii="Times New Roman" w:cs="Times New Roman" w:eastAsia="Times New Roman" w:hAnsi="Times New Roman"/>
          <w:sz w:val="20"/>
          <w:szCs w:val="20"/>
          <w:color w:val="auto"/>
        </w:rPr>
        <w:t>arising from the ordinary course of business. Furthermore, third-parties may try to seek to impose liability on us in connection with our loans. While the outcome of these legal proceedings cannot be predicted with certainty, we do not expect that these proceedings will have a material effect upon our financial condition or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80"/>
          </w:cols>
          <w:pgMar w:left="1160" w:top="1009" w:right="800" w:bottom="254"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211"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 xml:space="preserve">Our common stock is listed for trading on the Nasdaq Global Market under the symbol “REFI.” On March 6, 2026, the closing price of our common stock, as reported on the Nasdaq Global Market, was $12.27 per share. There were 52 holders of record of our common stock as of March 6, 2026. This number does not include beneficial owners who hold shares of our common stock in street name. </w:t>
      </w:r>
      <w:r>
        <w:rPr>
          <w:rFonts w:ascii="Times New Roman" w:cs="Times New Roman" w:eastAsia="Times New Roman" w:hAnsi="Times New Roman"/>
          <w:sz w:val="19"/>
          <w:szCs w:val="19"/>
          <w:color w:val="auto"/>
        </w:rPr>
        <w:t>However, because many of our common shares are held by brokers and other institutions, we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believe that there are many more beneficial holders of our common shares than record holders.</w:t>
      </w:r>
    </w:p>
    <w:p>
      <w:pPr>
        <w:spacing w:after="0" w:line="153" w:lineRule="exact"/>
        <w:rPr>
          <w:sz w:val="20"/>
          <w:szCs w:val="20"/>
          <w:color w:val="auto"/>
        </w:rPr>
      </w:pPr>
    </w:p>
    <w:p>
      <w:pPr>
        <w:ind w:right="1520" w:firstLine="355"/>
        <w:spacing w:after="0" w:line="443" w:lineRule="auto"/>
        <w:rPr>
          <w:sz w:val="20"/>
          <w:szCs w:val="20"/>
          <w:color w:val="auto"/>
        </w:rPr>
      </w:pPr>
      <w:r>
        <w:rPr>
          <w:rFonts w:ascii="Times New Roman" w:cs="Times New Roman" w:eastAsia="Times New Roman" w:hAnsi="Times New Roman"/>
          <w:sz w:val="20"/>
          <w:szCs w:val="20"/>
          <w:color w:val="auto"/>
        </w:rPr>
        <w:t xml:space="preserve">There were no unregistered sales of equity securities during the years ended December 31, 2025 and 2024. </w:t>
      </w:r>
      <w:r>
        <w:rPr>
          <w:rFonts w:ascii="Times New Roman" w:cs="Times New Roman" w:eastAsia="Times New Roman" w:hAnsi="Times New Roman"/>
          <w:sz w:val="20"/>
          <w:szCs w:val="20"/>
          <w:b w:val="1"/>
          <w:bCs w:val="1"/>
          <w:i w:val="1"/>
          <w:iCs w:val="1"/>
          <w:color w:val="auto"/>
        </w:rPr>
        <w:t>Distribution Information</w:t>
      </w:r>
    </w:p>
    <w:p>
      <w:pPr>
        <w:spacing w:after="0" w:line="1"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We intend to make regular quarterly distributions to our stockholders, consistent with our intention to maintain our qualification as a REIT for U.S. federal income tax purposes. U.S. federal income tax law generally requires that a REIT distribute annually at least 90% of its REIT taxable income, without regard to the deduction for dividends paid and excluding net capital gains and certain non-cash income, and that it pay tax at regular corporate rates to the extent that it annually distributes less than 100% of its REIT taxable income. As a result, in order to satisfy the requirements for us to qualify as a REIT and generally not be subject to U.S. federal income and excise tax, we intend to make regular quarterly distributions of all or substantially all of our REIT taxable income to our stockholders out of assets legally available therefor. REIT taxable income as computed for purposes of the foregoing tax rules will not necessarily correspond to our net income as determined for financial reporting purposes, or our Distributable Earnings as described under “</w:t>
      </w:r>
      <w:r>
        <w:rPr>
          <w:rFonts w:ascii="Times New Roman" w:cs="Times New Roman" w:eastAsia="Times New Roman" w:hAnsi="Times New Roman"/>
          <w:sz w:val="20"/>
          <w:szCs w:val="20"/>
          <w:i w:val="1"/>
          <w:iCs w:val="1"/>
          <w:color w:val="auto"/>
        </w:rPr>
        <w:t>Management’s Discussion and Analysis of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Condition and Results of Operations — Non-GAAP Measures and Key Financial Measures and Indicators — Distributable Earnings</w:t>
      </w:r>
      <w:r>
        <w:rPr>
          <w:rFonts w:ascii="Times New Roman" w:cs="Times New Roman" w:eastAsia="Times New Roman" w:hAnsi="Times New Roman"/>
          <w:sz w:val="20"/>
          <w:szCs w:val="20"/>
          <w:color w:val="auto"/>
        </w:rPr>
        <w:t>.” See “</w:t>
      </w:r>
      <w:r>
        <w:rPr>
          <w:rFonts w:ascii="Times New Roman" w:cs="Times New Roman" w:eastAsia="Times New Roman" w:hAnsi="Times New Roman"/>
          <w:sz w:val="20"/>
          <w:szCs w:val="20"/>
          <w:i w:val="1"/>
          <w:iCs w:val="1"/>
          <w:color w:val="auto"/>
        </w:rPr>
        <w:t>U.S. Federal Income Tax Considerations — Taxation — Requirements for Qualification — Annual Distribution Requirements</w:t>
      </w:r>
      <w:r>
        <w:rPr>
          <w:rFonts w:ascii="Times New Roman" w:cs="Times New Roman" w:eastAsia="Times New Roman" w:hAnsi="Times New Roman"/>
          <w:sz w:val="20"/>
          <w:szCs w:val="20"/>
          <w:color w:val="auto"/>
        </w:rPr>
        <w:t>” for a summary of our distribution requirements as a REIT.</w:t>
      </w:r>
    </w:p>
    <w:p>
      <w:pPr>
        <w:spacing w:after="0" w:line="167"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Any future determination to actually pay dividends or other distributions will be at the discretion of our Board, subject to compliance with applicable law and any contractual provisions, including under agreements for indebtedness we may incur, that restrict or limit our ability to pay dividends, and will depend upon, among other factors, our results of operations, financial condition, earnings, capital requirements, the annual distribution requirements under the REIT provisions of the Code, our REIT taxable income and other factors that our Board deems relevant. Under the MGCL, we generally may only pay a dividend or other distribution if, after giving effect to the distribution, we would be able to pay our indebtedness as it becomes due in the usual course of business and our total assets exceed our total liabilities.</w:t>
      </w:r>
    </w:p>
    <w:p>
      <w:pPr>
        <w:spacing w:after="0" w:line="160"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loans in a timely manner on favorable terms, or at all, cannot be assured, or we may make a portion of the Required Distribution in the form of a taxable stock distribution or distribution of debt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280"/>
          </w:cols>
          <w:pgMar w:left="1160" w:top="1005"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80"/>
          </w:cols>
          <w:pgMar w:left="1160" w:top="1005" w:right="800" w:bottom="254"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92" w:lineRule="exact"/>
        <w:rPr>
          <w:sz w:val="20"/>
          <w:szCs w:val="20"/>
          <w:color w:val="auto"/>
        </w:rPr>
      </w:pPr>
    </w:p>
    <w:p>
      <w:pPr>
        <w:jc w:val="both"/>
        <w:ind w:firstLine="355"/>
        <w:spacing w:after="0" w:line="23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together with the consolidated financial statements and related notes that are included elsewhere in this annual report on Form 10-K. This discussion contains forward-looking statements that reflect our current expectations and views of future events, which involve risks and uncertainties. Our actual results and the timing of selected events could differ materially from those anticipated in such forward-looking statements. Factors that could cause or contribute to those differences include, but are not limited to, those discussed above in “Risk Factors” and those identified below and elsewhere in this annual report on Form 10-K. See “Forward-Looking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We were formed in March 2021 as a Maryland corporation and are structured as an externally managed mortgage real estate investment trust (“REIT”). We completed our initial public offering ("IPO") in December 2021 and have elected to be taxed as a REIT for United States federal income tax purposes under the Internal Revenue Code of 1986, as amended (the “Code”), commencing with our taxable year ended December 31, 2021.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aim to maintain a diversified portfolio across jurisdictions and verticals, including cultivators, processors, dispensaries, and other businesses ancillary thereto.</w:t>
      </w:r>
    </w:p>
    <w:p>
      <w:pPr>
        <w:spacing w:after="0" w:line="169" w:lineRule="exact"/>
        <w:rPr>
          <w:sz w:val="20"/>
          <w:szCs w:val="20"/>
          <w:color w:val="auto"/>
        </w:rPr>
      </w:pPr>
    </w:p>
    <w:p>
      <w:pPr>
        <w:jc w:val="both"/>
        <w:ind w:firstLine="355"/>
        <w:spacing w:after="0" w:line="247" w:lineRule="auto"/>
        <w:rPr>
          <w:sz w:val="20"/>
          <w:szCs w:val="20"/>
          <w:color w:val="auto"/>
        </w:rPr>
      </w:pPr>
      <w:r>
        <w:rPr>
          <w:rFonts w:ascii="Times New Roman" w:cs="Times New Roman" w:eastAsia="Times New Roman" w:hAnsi="Times New Roman"/>
          <w:sz w:val="20"/>
          <w:szCs w:val="20"/>
          <w:color w:val="auto"/>
        </w:rPr>
        <w:t xml:space="preserve">Our loans to portfolio companies operating in the cannabis industry may include companies that we determine, based on our due diligence, are licensed in and in compliance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t>
      </w:r>
      <w:r>
        <w:rPr>
          <w:rFonts w:ascii="Times New Roman" w:cs="Times New Roman" w:eastAsia="Times New Roman" w:hAnsi="Times New Roman"/>
          <w:sz w:val="19"/>
          <w:szCs w:val="19"/>
          <w:color w:val="auto"/>
        </w:rPr>
        <w:t>We will not own any warrants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or other forms of equity in any of our portfolio companies involved in the cannabis industry, unless the portfolio companies are listed on a national securities exchange, such as the New York Stock Exchange ("NYSE") or NASDAQ, and such ownership is permitted by applicable U.S. federal laws and regulations, including those applicable to NYSE or NASDAQ issuers, as the case may be.</w:t>
      </w:r>
    </w:p>
    <w:p>
      <w:pPr>
        <w:spacing w:after="0" w:line="157"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We believe that cannabis operators’ limited access to traditional bank and non-bank financing has provided attractive opportunities for us to make loans to companies that exhibit strong fundamentals but require more customized financing structures and loan products than regulated financial institutions can provide in the current regulatory environment. We believe that continued state-level legalization of cannabis for medical and adult use creates an increased loan demand by companies operating in the cannabis industry and property owners leasing to cannabis tenants. Furthermore, we believe we are differentiated from our competitors because we seek to target operators and facilities that exhibit lower -risk characteristics on a relative basis, which we believe include generally limiting exposure to ground-up construction, lending to cannabis operators with operational and/or profitable facilities, diversification of geographies and distribution channels, among other factors. Additionally, the Manager seeks to invest in transactions that tend to be attractively priced and have stronger than normal covenants and amortization due to complexity of the industry and in cannabis companies that it believes have some or all of the following characteristics:</w:t>
      </w:r>
    </w:p>
    <w:p>
      <w:pPr>
        <w:spacing w:after="0" w:line="104" w:lineRule="exact"/>
        <w:rPr>
          <w:sz w:val="20"/>
          <w:szCs w:val="20"/>
          <w:color w:val="auto"/>
        </w:rPr>
      </w:pPr>
    </w:p>
    <w:p>
      <w:pPr>
        <w:ind w:left="980" w:hanging="489"/>
        <w:spacing w:after="0"/>
        <w:tabs>
          <w:tab w:leader="none" w:pos="98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Growth or earnings before interest, income taxes, depreciation and amortization ("EBITDA") positive entities</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Companies that require capital but do not want to dilute their equity</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Companies that demonstrate strong cash flow performance with low leverage profiles</w:t>
      </w:r>
    </w:p>
    <w:p>
      <w:pPr>
        <w:spacing w:after="0" w:line="129" w:lineRule="exact"/>
        <w:rPr>
          <w:rFonts w:ascii="Arial" w:cs="Arial" w:eastAsia="Arial" w:hAnsi="Arial"/>
          <w:sz w:val="20"/>
          <w:szCs w:val="20"/>
          <w:color w:val="auto"/>
        </w:rPr>
      </w:pPr>
    </w:p>
    <w:p>
      <w:pPr>
        <w:ind w:left="980" w:hanging="489"/>
        <w:spacing w:after="0"/>
        <w:tabs>
          <w:tab w:leader="none" w:pos="98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Low debt to enterprise value ratios</w:t>
      </w:r>
    </w:p>
    <w:p>
      <w:pPr>
        <w:spacing w:after="0" w:line="194"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Our loans are generally secured by real estate and, when lending to owner-operators in the cannabis industry, other collateral, such as equipment, receivables, intellectual property, licenses or other assets of the borrowers to the extent permitted by applicable laws and regulations governing such borrowers. We also seek personal or corporate guarantees for additional credit protection on our loans.</w:t>
      </w:r>
    </w:p>
    <w:p>
      <w:pPr>
        <w:spacing w:after="0" w:line="153" w:lineRule="exact"/>
        <w:rPr>
          <w:sz w:val="20"/>
          <w:szCs w:val="20"/>
          <w:color w:val="auto"/>
        </w:rPr>
      </w:pPr>
    </w:p>
    <w:p>
      <w:pPr>
        <w:jc w:val="both"/>
        <w:ind w:firstLine="355"/>
        <w:spacing w:after="0" w:line="266" w:lineRule="auto"/>
        <w:rPr>
          <w:sz w:val="20"/>
          <w:szCs w:val="20"/>
          <w:color w:val="auto"/>
        </w:rPr>
      </w:pPr>
      <w:r>
        <w:rPr>
          <w:rFonts w:ascii="Times New Roman" w:cs="Times New Roman" w:eastAsia="Times New Roman" w:hAnsi="Times New Roman"/>
          <w:sz w:val="19"/>
          <w:szCs w:val="19"/>
          <w:color w:val="auto"/>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w:t>
      </w:r>
    </w:p>
    <w:p>
      <w:pPr>
        <w:sectPr>
          <w:pgSz w:w="12240" w:h="15840" w:orient="portrait"/>
          <w:cols w:equalWidth="0" w:num="1">
            <w:col w:w="10280"/>
          </w:cols>
          <w:pgMar w:left="1160" w:top="998" w:right="800" w:bottom="254"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80"/>
          </w:cols>
          <w:pgMar w:left="1160" w:top="998" w:right="800" w:bottom="254" w:gutter="0" w:footer="0" w:header="0"/>
          <w:type w:val="continuous"/>
        </w:sectPr>
      </w:pPr>
    </w:p>
    <w:bookmarkStart w:id="76" w:name="page77"/>
    <w:bookmarkEnd w:id="76"/>
    <w:p>
      <w:pPr>
        <w:jc w:val="both"/>
        <w:spacing w:after="0" w:line="249" w:lineRule="auto"/>
        <w:rPr>
          <w:sz w:val="20"/>
          <w:szCs w:val="20"/>
          <w:color w:val="auto"/>
        </w:rPr>
      </w:pPr>
      <w:r>
        <w:rPr>
          <w:rFonts w:ascii="Times New Roman" w:cs="Times New Roman" w:eastAsia="Times New Roman" w:hAnsi="Times New Roman"/>
          <w:sz w:val="20"/>
          <w:szCs w:val="20"/>
          <w:color w:val="auto"/>
        </w:rPr>
        <w:t>covenants are incurrence -based,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spacing w:after="0" w:line="15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We may also invest in companies or properties that are not related to the cannabis industry that provide return characteristics consistent with our investment objective. From time to time, we may also invest in mezzanine loans, preferred equity or other forms of joint venture equity to the extent consistent with our exemption from registration under the Investment Company Act of 1940, as amended (the “Investment Company Act”) and maintaining our qualification as a REIT. We may enter into credit agreements with borrowers that permit them to incur debt that ranks equally with, or senior to, the loans we extend to such companies under such credit agreements. There is no assurance that we will achieve our investment objective.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91"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We generate revenue primarily in the form of interest income on loans which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the components of interest and fee income for the years ended December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0" w:type="dxa"/>
            <w:vAlign w:val="bottom"/>
          </w:tcPr>
          <w:p>
            <w:pPr>
              <w:spacing w:after="0"/>
              <w:rPr>
                <w:sz w:val="1"/>
                <w:szCs w:val="1"/>
                <w:color w:val="auto"/>
              </w:rPr>
            </w:pPr>
          </w:p>
        </w:tc>
      </w:tr>
      <w:tr>
        <w:trPr>
          <w:trHeight w:val="251"/>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Interest and fee income</w:t>
            </w:r>
          </w:p>
        </w:tc>
        <w:tc>
          <w:tcPr>
            <w:tcW w:w="120" w:type="dxa"/>
            <w:vAlign w:val="bottom"/>
          </w:tcPr>
          <w:p>
            <w:pPr>
              <w:spacing w:after="0"/>
              <w:rPr>
                <w:sz w:val="21"/>
                <w:szCs w:val="21"/>
                <w:color w:val="auto"/>
              </w:rPr>
            </w:pPr>
          </w:p>
        </w:tc>
        <w:tc>
          <w:tcPr>
            <w:tcW w:w="172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7"/>
              </w:rPr>
              <w:t>December 31, 2025</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0" w:type="dxa"/>
            <w:vAlign w:val="bottom"/>
          </w:tcPr>
          <w:p>
            <w:pPr>
              <w:spacing w:after="0"/>
              <w:rPr>
                <w:sz w:val="1"/>
                <w:szCs w:val="1"/>
                <w:color w:val="auto"/>
              </w:rPr>
            </w:pPr>
          </w:p>
        </w:tc>
      </w:tr>
      <w:tr>
        <w:trPr>
          <w:trHeight w:val="230"/>
        </w:trPr>
        <w:tc>
          <w:tcPr>
            <w:tcW w:w="5480" w:type="dxa"/>
            <w:vAlign w:val="bottom"/>
            <w:vMerge w:val="continue"/>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Cash 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49,350,084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48,445,435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4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Accretion of OID (amortization of premium, net)</w:t>
            </w:r>
          </w:p>
        </w:tc>
        <w:tc>
          <w:tcPr>
            <w:tcW w:w="120" w:type="dxa"/>
            <w:vAlign w:val="bottom"/>
            <w:shd w:val="clear" w:color="auto" w:fill="E3E3E3"/>
          </w:tcPr>
          <w:p>
            <w:pPr>
              <w:spacing w:after="0"/>
              <w:rPr>
                <w:sz w:val="20"/>
                <w:szCs w:val="20"/>
                <w:color w:val="auto"/>
              </w:rPr>
            </w:pPr>
          </w:p>
        </w:tc>
        <w:tc>
          <w:tcPr>
            <w:tcW w:w="1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2,187,528</w:t>
            </w:r>
          </w:p>
        </w:tc>
        <w:tc>
          <w:tcPr>
            <w:tcW w:w="106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1,697,139</w:t>
            </w:r>
          </w:p>
        </w:tc>
        <w:tc>
          <w:tcPr>
            <w:tcW w:w="6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Paid-in-kind interest income</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5,785,724</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8,706,400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80" w:type="dxa"/>
            <w:vAlign w:val="bottom"/>
            <w:shd w:val="clear" w:color="auto" w:fill="E3E3E3"/>
          </w:tcPr>
          <w:p>
            <w:pPr>
              <w:spacing w:after="0" w:line="241" w:lineRule="exact"/>
              <w:rPr>
                <w:sz w:val="20"/>
                <w:szCs w:val="20"/>
                <w:color w:val="auto"/>
              </w:rPr>
            </w:pPr>
            <w:r>
              <w:rPr>
                <w:rFonts w:ascii="Times New Roman" w:cs="Times New Roman" w:eastAsia="Times New Roman" w:hAnsi="Times New Roman"/>
                <w:sz w:val="20"/>
                <w:szCs w:val="20"/>
                <w:color w:val="auto"/>
              </w:rPr>
              <w:t>Other fee income</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shd w:val="clear" w:color="auto" w:fill="E3E3E3"/>
          </w:tcPr>
          <w:p>
            <w:pPr>
              <w:spacing w:after="0"/>
              <w:rPr>
                <w:sz w:val="20"/>
                <w:szCs w:val="20"/>
                <w:color w:val="auto"/>
              </w:rPr>
            </w:pPr>
          </w:p>
        </w:tc>
        <w:tc>
          <w:tcPr>
            <w:tcW w:w="1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5,612,704</w:t>
            </w:r>
          </w:p>
        </w:tc>
        <w:tc>
          <w:tcPr>
            <w:tcW w:w="1060" w:type="dxa"/>
            <w:vAlign w:val="bottom"/>
            <w:shd w:val="clear" w:color="auto" w:fill="E3E3E3"/>
          </w:tcPr>
          <w:p>
            <w:pPr>
              <w:spacing w:after="0"/>
              <w:rPr>
                <w:sz w:val="20"/>
                <w:szCs w:val="20"/>
                <w:color w:val="auto"/>
              </w:rPr>
            </w:pPr>
          </w:p>
        </w:tc>
        <w:tc>
          <w:tcPr>
            <w:tcW w:w="120" w:type="dxa"/>
            <w:vAlign w:val="bottom"/>
            <w:tcBorders>
              <w:bottom w:val="single" w:sz="8" w:color="auto"/>
            </w:tcBorders>
            <w:shd w:val="clear" w:color="auto" w:fill="E3E3E3"/>
          </w:tcPr>
          <w:p>
            <w:pPr>
              <w:spacing w:after="0"/>
              <w:rPr>
                <w:sz w:val="20"/>
                <w:szCs w:val="20"/>
                <w:color w:val="auto"/>
              </w:rPr>
            </w:pPr>
          </w:p>
        </w:tc>
        <w:tc>
          <w:tcPr>
            <w:tcW w:w="1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3,255,118</w:t>
            </w:r>
          </w:p>
        </w:tc>
        <w:tc>
          <w:tcPr>
            <w:tcW w:w="6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62,936,040</w:t>
            </w:r>
          </w:p>
        </w:tc>
        <w:tc>
          <w:tcPr>
            <w:tcW w:w="10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62,104,092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40" w:firstLine="355"/>
        <w:spacing w:after="0" w:line="227"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Other fee income includes prepayment fees, make-whole fees, and exit/success fees which are included in interest income on the Consolidated Statements of Operations.</w:t>
      </w:r>
    </w:p>
    <w:p>
      <w:pPr>
        <w:spacing w:after="0" w:line="16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Our loans bear interest rates that are either fixed or determined periodically on the basis of U.S. Prime Rate (“Prime”) or Secured Overnight Financing Rate (“SOFR”) plus a premium. Loans which bear interest on either Prime or SOFR are collectively referred to as "Floating-rate loans". The below table summarizes changes in Prime and SOFR during the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Prime Rate</w:t>
            </w: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1"/>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Effective Date</w:t>
            </w:r>
          </w:p>
        </w:tc>
        <w:tc>
          <w:tcPr>
            <w:tcW w:w="380" w:type="dxa"/>
            <w:vAlign w:val="bottom"/>
          </w:tcPr>
          <w:p>
            <w:pPr>
              <w:spacing w:after="0"/>
              <w:rPr>
                <w:sz w:val="21"/>
                <w:szCs w:val="21"/>
                <w:color w:val="auto"/>
              </w:rPr>
            </w:pPr>
          </w:p>
        </w:tc>
        <w:tc>
          <w:tcPr>
            <w:tcW w:w="3320" w:type="dxa"/>
            <w:vAlign w:val="bottom"/>
            <w:tcBorders>
              <w:bottom w:val="single" w:sz="8" w:color="auto"/>
            </w:tcBorders>
          </w:tcPr>
          <w:p>
            <w:pPr>
              <w:ind w:left="1380"/>
              <w:spacing w:after="0" w:line="251" w:lineRule="exact"/>
              <w:rPr>
                <w:sz w:val="20"/>
                <w:szCs w:val="20"/>
                <w:color w:val="auto"/>
              </w:rPr>
            </w:pPr>
            <w:r>
              <w:rPr>
                <w:rFonts w:ascii="Times New Roman" w:cs="Times New Roman" w:eastAsia="Times New Roman" w:hAnsi="Times New Roman"/>
                <w:sz w:val="20"/>
                <w:szCs w:val="20"/>
                <w:b w:val="1"/>
                <w:bCs w:val="1"/>
                <w:color w:val="auto"/>
              </w:rPr>
              <w:t>Rate</w:t>
            </w:r>
            <w:r>
              <w:rPr>
                <w:rFonts w:ascii="Times New Roman" w:cs="Times New Roman" w:eastAsia="Times New Roman" w:hAnsi="Times New Roman"/>
                <w:sz w:val="25"/>
                <w:szCs w:val="25"/>
                <w:b w:val="1"/>
                <w:bCs w:val="1"/>
                <w:color w:val="auto"/>
                <w:vertAlign w:val="superscript"/>
              </w:rPr>
              <w:t>(1)</w:t>
            </w:r>
          </w:p>
        </w:tc>
        <w:tc>
          <w:tcPr>
            <w:tcW w:w="220" w:type="dxa"/>
            <w:vAlign w:val="bottom"/>
          </w:tcPr>
          <w:p>
            <w:pPr>
              <w:spacing w:after="0"/>
              <w:rPr>
                <w:sz w:val="21"/>
                <w:szCs w:val="21"/>
                <w:color w:val="auto"/>
              </w:rPr>
            </w:pPr>
          </w:p>
        </w:tc>
      </w:tr>
      <w:tr>
        <w:trPr>
          <w:trHeight w:val="236"/>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December 11, 2025</w:t>
            </w:r>
          </w:p>
        </w:tc>
        <w:tc>
          <w:tcPr>
            <w:tcW w:w="380" w:type="dxa"/>
            <w:vAlign w:val="bottom"/>
          </w:tcPr>
          <w:p>
            <w:pPr>
              <w:spacing w:after="0"/>
              <w:rPr>
                <w:sz w:val="20"/>
                <w:szCs w:val="20"/>
                <w:color w:val="auto"/>
              </w:rPr>
            </w:pPr>
          </w:p>
        </w:tc>
        <w:tc>
          <w:tcPr>
            <w:tcW w:w="35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6.75%</w:t>
            </w:r>
          </w:p>
        </w:tc>
      </w:tr>
      <w:tr>
        <w:trPr>
          <w:trHeight w:val="241"/>
        </w:trPr>
        <w:tc>
          <w:tcPr>
            <w:tcW w:w="67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October 30, 2025</w:t>
            </w:r>
          </w:p>
        </w:tc>
        <w:tc>
          <w:tcPr>
            <w:tcW w:w="354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7.00%</w:t>
            </w:r>
          </w:p>
        </w:tc>
      </w:tr>
      <w:tr>
        <w:trPr>
          <w:trHeight w:val="241"/>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18, 2025</w:t>
            </w:r>
          </w:p>
        </w:tc>
        <w:tc>
          <w:tcPr>
            <w:tcW w:w="35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7.25%</w:t>
            </w:r>
          </w:p>
        </w:tc>
      </w:tr>
      <w:tr>
        <w:trPr>
          <w:trHeight w:val="241"/>
        </w:trPr>
        <w:tc>
          <w:tcPr>
            <w:tcW w:w="67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December 19, 2024</w:t>
            </w:r>
          </w:p>
        </w:tc>
        <w:tc>
          <w:tcPr>
            <w:tcW w:w="354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7.50%</w:t>
            </w:r>
          </w:p>
        </w:tc>
      </w:tr>
      <w:tr>
        <w:trPr>
          <w:trHeight w:val="241"/>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November 8, 2024</w:t>
            </w:r>
          </w:p>
        </w:tc>
        <w:tc>
          <w:tcPr>
            <w:tcW w:w="35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7.75%</w:t>
            </w:r>
          </w:p>
        </w:tc>
      </w:tr>
      <w:tr>
        <w:trPr>
          <w:trHeight w:val="241"/>
        </w:trPr>
        <w:tc>
          <w:tcPr>
            <w:tcW w:w="67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September 19, 2024</w:t>
            </w:r>
          </w:p>
        </w:tc>
        <w:tc>
          <w:tcPr>
            <w:tcW w:w="354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8.00%</w:t>
            </w:r>
          </w:p>
        </w:tc>
      </w:tr>
      <w:tr>
        <w:trPr>
          <w:trHeight w:val="264"/>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 Rate obtained from the Wall Street Journal’s “Bonds, Rates &amp; Yields” table.</w:t>
            </w:r>
          </w:p>
        </w:tc>
        <w:tc>
          <w:tcPr>
            <w:tcW w:w="3320" w:type="dxa"/>
            <w:vAlign w:val="bottom"/>
          </w:tcPr>
          <w:p>
            <w:pPr>
              <w:spacing w:after="0"/>
              <w:rPr>
                <w:sz w:val="22"/>
                <w:szCs w:val="22"/>
                <w:color w:val="auto"/>
              </w:rPr>
            </w:pPr>
          </w:p>
        </w:tc>
        <w:tc>
          <w:tcPr>
            <w:tcW w:w="22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80"/>
          </w:cols>
          <w:pgMar w:left="1160" w:top="1009" w:right="800" w:bottom="254"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SOFR</w:t>
            </w:r>
          </w:p>
        </w:tc>
        <w:tc>
          <w:tcPr>
            <w:tcW w:w="3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1"/>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Effective Date</w:t>
            </w:r>
          </w:p>
        </w:tc>
        <w:tc>
          <w:tcPr>
            <w:tcW w:w="380" w:type="dxa"/>
            <w:vAlign w:val="bottom"/>
          </w:tcPr>
          <w:p>
            <w:pPr>
              <w:spacing w:after="0"/>
              <w:rPr>
                <w:sz w:val="21"/>
                <w:szCs w:val="21"/>
                <w:color w:val="auto"/>
              </w:rPr>
            </w:pPr>
          </w:p>
        </w:tc>
        <w:tc>
          <w:tcPr>
            <w:tcW w:w="3320" w:type="dxa"/>
            <w:vAlign w:val="bottom"/>
            <w:tcBorders>
              <w:bottom w:val="single" w:sz="8" w:color="auto"/>
            </w:tcBorders>
          </w:tcPr>
          <w:p>
            <w:pPr>
              <w:ind w:left="1380"/>
              <w:spacing w:after="0" w:line="251" w:lineRule="exact"/>
              <w:rPr>
                <w:sz w:val="20"/>
                <w:szCs w:val="20"/>
                <w:color w:val="auto"/>
              </w:rPr>
            </w:pPr>
            <w:r>
              <w:rPr>
                <w:rFonts w:ascii="Times New Roman" w:cs="Times New Roman" w:eastAsia="Times New Roman" w:hAnsi="Times New Roman"/>
                <w:sz w:val="20"/>
                <w:szCs w:val="20"/>
                <w:b w:val="1"/>
                <w:bCs w:val="1"/>
                <w:color w:val="auto"/>
              </w:rPr>
              <w:t>Rate</w:t>
            </w:r>
            <w:r>
              <w:rPr>
                <w:rFonts w:ascii="Times New Roman" w:cs="Times New Roman" w:eastAsia="Times New Roman" w:hAnsi="Times New Roman"/>
                <w:sz w:val="25"/>
                <w:szCs w:val="25"/>
                <w:b w:val="1"/>
                <w:bCs w:val="1"/>
                <w:color w:val="auto"/>
                <w:vertAlign w:val="superscript"/>
              </w:rPr>
              <w:t>(2)</w:t>
            </w:r>
          </w:p>
        </w:tc>
        <w:tc>
          <w:tcPr>
            <w:tcW w:w="220" w:type="dxa"/>
            <w:vAlign w:val="bottom"/>
          </w:tcPr>
          <w:p>
            <w:pPr>
              <w:spacing w:after="0"/>
              <w:rPr>
                <w:sz w:val="21"/>
                <w:szCs w:val="21"/>
                <w:color w:val="auto"/>
              </w:rPr>
            </w:pPr>
          </w:p>
        </w:tc>
      </w:tr>
      <w:tr>
        <w:trPr>
          <w:trHeight w:val="236"/>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2025</w:t>
            </w:r>
          </w:p>
        </w:tc>
        <w:tc>
          <w:tcPr>
            <w:tcW w:w="380" w:type="dxa"/>
            <w:vAlign w:val="bottom"/>
          </w:tcPr>
          <w:p>
            <w:pPr>
              <w:spacing w:after="0"/>
              <w:rPr>
                <w:sz w:val="20"/>
                <w:szCs w:val="20"/>
                <w:color w:val="auto"/>
              </w:rPr>
            </w:pPr>
          </w:p>
        </w:tc>
        <w:tc>
          <w:tcPr>
            <w:tcW w:w="35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3.87%</w:t>
            </w:r>
          </w:p>
        </w:tc>
      </w:tr>
      <w:tr>
        <w:trPr>
          <w:trHeight w:val="241"/>
        </w:trPr>
        <w:tc>
          <w:tcPr>
            <w:tcW w:w="6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September 30, 2025</w:t>
            </w:r>
          </w:p>
        </w:tc>
        <w:tc>
          <w:tcPr>
            <w:tcW w:w="392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4.45%</w:t>
            </w:r>
          </w:p>
        </w:tc>
      </w:tr>
      <w:tr>
        <w:trPr>
          <w:trHeight w:val="24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June 30, 2025</w:t>
            </w:r>
          </w:p>
        </w:tc>
        <w:tc>
          <w:tcPr>
            <w:tcW w:w="39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4.45%</w:t>
            </w:r>
          </w:p>
        </w:tc>
      </w:tr>
      <w:tr>
        <w:trPr>
          <w:trHeight w:val="241"/>
        </w:trPr>
        <w:tc>
          <w:tcPr>
            <w:tcW w:w="6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March 31, 2025</w:t>
            </w:r>
          </w:p>
        </w:tc>
        <w:tc>
          <w:tcPr>
            <w:tcW w:w="392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4.41%</w:t>
            </w:r>
          </w:p>
        </w:tc>
      </w:tr>
      <w:tr>
        <w:trPr>
          <w:trHeight w:val="24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2024</w:t>
            </w:r>
          </w:p>
        </w:tc>
        <w:tc>
          <w:tcPr>
            <w:tcW w:w="39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4.49%</w:t>
            </w:r>
          </w:p>
        </w:tc>
      </w:tr>
      <w:tr>
        <w:trPr>
          <w:trHeight w:val="241"/>
        </w:trPr>
        <w:tc>
          <w:tcPr>
            <w:tcW w:w="6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September 30, 2024</w:t>
            </w:r>
          </w:p>
        </w:tc>
        <w:tc>
          <w:tcPr>
            <w:tcW w:w="392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4.96%</w:t>
            </w:r>
          </w:p>
        </w:tc>
      </w:tr>
      <w:tr>
        <w:trPr>
          <w:trHeight w:val="24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June 30, 2024</w:t>
            </w:r>
          </w:p>
        </w:tc>
        <w:tc>
          <w:tcPr>
            <w:tcW w:w="39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5.40%</w:t>
            </w:r>
          </w:p>
        </w:tc>
      </w:tr>
      <w:tr>
        <w:trPr>
          <w:trHeight w:val="241"/>
        </w:trPr>
        <w:tc>
          <w:tcPr>
            <w:tcW w:w="6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March 31, 2024</w:t>
            </w:r>
          </w:p>
        </w:tc>
        <w:tc>
          <w:tcPr>
            <w:tcW w:w="392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5.35%</w:t>
            </w:r>
          </w:p>
        </w:tc>
      </w:tr>
      <w:tr>
        <w:trPr>
          <w:trHeight w:val="25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2023</w:t>
            </w:r>
          </w:p>
        </w:tc>
        <w:tc>
          <w:tcPr>
            <w:tcW w:w="39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5.38%</w:t>
            </w:r>
          </w:p>
        </w:tc>
      </w:tr>
    </w:tbl>
    <w:p>
      <w:pPr>
        <w:spacing w:after="0"/>
        <w:rPr>
          <w:sz w:val="20"/>
          <w:szCs w:val="20"/>
          <w:color w:val="auto"/>
        </w:rPr>
      </w:pPr>
      <w:r>
        <w:rPr>
          <w:rFonts w:ascii="Times New Roman" w:cs="Times New Roman" w:eastAsia="Times New Roman" w:hAnsi="Times New Roman"/>
          <w:sz w:val="20"/>
          <w:szCs w:val="20"/>
          <w:color w:val="auto"/>
        </w:rPr>
        <w:t>(2) Rate obtained from the Federal Reserve Bank of New York's "Secured Overnight Financing Rate Data" table</w:t>
      </w:r>
    </w:p>
    <w:p>
      <w:pPr>
        <w:spacing w:after="0" w:line="167"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The below table summarizes the gross interest income derived from fixed and floating-rate loans during the years ended December 31, 2025 and 2024 based on portfolio composition as of the year end date.</w:t>
      </w:r>
    </w:p>
    <w:p>
      <w:pPr>
        <w:spacing w:after="0" w:line="14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17780</wp:posOffset>
                </wp:positionV>
                <wp:extent cx="638873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735" cy="4763"/>
                        </a:xfrm>
                        <a:prstGeom prst="line">
                          <a:avLst/>
                        </a:prstGeom>
                        <a:solidFill>
                          <a:srgbClr val="FFFFFF"/>
                        </a:solidFill>
                        <a:ln w="9382">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pt" to="503.45pt,1.4pt" o:allowincell="f" strokecolor="#000000" strokeweight="0.7387pt"/>
            </w:pict>
          </mc:Fallback>
        </mc:AlternateConten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Interest income</w:t>
            </w:r>
          </w:p>
        </w:tc>
        <w:tc>
          <w:tcPr>
            <w:tcW w:w="640" w:type="dxa"/>
            <w:vAlign w:val="bottom"/>
            <w:tcBorders>
              <w:bottom w:val="single" w:sz="8" w:color="E3E3E3"/>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Percentage of loans held for investment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Fixed-rate loans</w:t>
            </w:r>
          </w:p>
        </w:tc>
        <w:tc>
          <w:tcPr>
            <w:tcW w:w="300" w:type="dxa"/>
            <w:vAlign w:val="bottom"/>
            <w:shd w:val="clear" w:color="auto" w:fill="E3E3E3"/>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23,605,873</w:t>
            </w:r>
          </w:p>
        </w:tc>
        <w:tc>
          <w:tcPr>
            <w:tcW w:w="640" w:type="dxa"/>
            <w:vAlign w:val="bottom"/>
            <w:tcBorders>
              <w:right w:val="single" w:sz="8" w:color="E3E3E3"/>
            </w:tcBorders>
            <w:shd w:val="clear" w:color="auto" w:fill="E3E3E3"/>
          </w:tcPr>
          <w:p>
            <w:pPr>
              <w:spacing w:after="0"/>
              <w:rPr>
                <w:sz w:val="20"/>
                <w:szCs w:val="20"/>
                <w:color w:val="auto"/>
              </w:rPr>
            </w:pPr>
          </w:p>
        </w:tc>
        <w:tc>
          <w:tcPr>
            <w:tcW w:w="3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37.6%</w:t>
            </w:r>
          </w:p>
        </w:tc>
        <w:tc>
          <w:tcPr>
            <w:tcW w:w="0" w:type="dxa"/>
            <w:vAlign w:val="bottom"/>
          </w:tcPr>
          <w:p>
            <w:pPr>
              <w:spacing w:after="0"/>
              <w:rPr>
                <w:sz w:val="1"/>
                <w:szCs w:val="1"/>
                <w:color w:val="auto"/>
              </w:rPr>
            </w:pPr>
          </w:p>
        </w:tc>
      </w:tr>
      <w:tr>
        <w:trPr>
          <w:trHeight w:val="241"/>
        </w:trPr>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Floating-rate loans</w:t>
            </w:r>
          </w:p>
        </w:tc>
        <w:tc>
          <w:tcPr>
            <w:tcW w:w="3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39,330,167</w:t>
            </w:r>
          </w:p>
        </w:tc>
        <w:tc>
          <w:tcPr>
            <w:tcW w:w="640" w:type="dxa"/>
            <w:vAlign w:val="bottom"/>
          </w:tcPr>
          <w:p>
            <w:pPr>
              <w:spacing w:after="0"/>
              <w:rPr>
                <w:sz w:val="20"/>
                <w:szCs w:val="20"/>
                <w:color w:val="auto"/>
              </w:rPr>
            </w:pPr>
          </w:p>
        </w:tc>
        <w:tc>
          <w:tcPr>
            <w:tcW w:w="3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62.4%</w:t>
            </w: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E3E3E3"/>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640" w:type="dxa"/>
            <w:vAlign w:val="bottom"/>
            <w:gridSpan w:val="2"/>
            <w:vMerge w:val="continue"/>
            <w:shd w:val="clear" w:color="auto" w:fill="E3E3E3"/>
          </w:tcPr>
          <w:p>
            <w:pPr>
              <w:spacing w:after="0"/>
              <w:rPr>
                <w:sz w:val="22"/>
                <w:szCs w:val="22"/>
                <w:color w:val="auto"/>
              </w:rPr>
            </w:pPr>
          </w:p>
        </w:tc>
        <w:tc>
          <w:tcPr>
            <w:tcW w:w="300" w:type="dxa"/>
            <w:vAlign w:val="bottom"/>
            <w:shd w:val="clear" w:color="auto" w:fill="E3E3E3"/>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62,936,040</w:t>
            </w:r>
          </w:p>
        </w:tc>
        <w:tc>
          <w:tcPr>
            <w:tcW w:w="640" w:type="dxa"/>
            <w:vAlign w:val="bottom"/>
            <w:tcBorders>
              <w:right w:val="single" w:sz="8" w:color="E3E3E3"/>
            </w:tcBorders>
            <w:shd w:val="clear" w:color="auto" w:fill="E3E3E3"/>
          </w:tcPr>
          <w:p>
            <w:pPr>
              <w:spacing w:after="0"/>
              <w:rPr>
                <w:sz w:val="22"/>
                <w:szCs w:val="22"/>
                <w:color w:val="auto"/>
              </w:rPr>
            </w:pPr>
          </w:p>
        </w:tc>
        <w:tc>
          <w:tcPr>
            <w:tcW w:w="3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
        </w:trPr>
        <w:tc>
          <w:tcPr>
            <w:tcW w:w="3620" w:type="dxa"/>
            <w:vAlign w:val="bottom"/>
            <w:tcBorders>
              <w:top w:val="single" w:sz="8" w:color="E3E3E3"/>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E3E3E3"/>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4259580</wp:posOffset>
                </wp:positionH>
                <wp:positionV relativeFrom="paragraph">
                  <wp:posOffset>-496570</wp:posOffset>
                </wp:positionV>
                <wp:extent cx="2134870" cy="15303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153035"/>
                        </a:xfrm>
                        <a:prstGeom prst="rect">
                          <a:avLst/>
                        </a:prstGeom>
                        <a:solidFill>
                          <a:srgbClr val="E3E3E3"/>
                        </a:solidFill>
                      </wps:spPr>
                      <wps:bodyPr/>
                    </wps:wsp>
                  </a:graphicData>
                </a:graphic>
              </wp:anchor>
            </w:drawing>
          </mc:Choice>
          <mc:Fallback>
            <w:pict>
              <v:rect id="Shape 15" o:spid="_x0000_s1040" style="position:absolute;margin-left:335.4pt;margin-top:-39.0999pt;width:168.1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4259580</wp:posOffset>
                </wp:positionH>
                <wp:positionV relativeFrom="paragraph">
                  <wp:posOffset>-180975</wp:posOffset>
                </wp:positionV>
                <wp:extent cx="2134870" cy="15367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153670"/>
                        </a:xfrm>
                        <a:prstGeom prst="rect">
                          <a:avLst/>
                        </a:prstGeom>
                        <a:solidFill>
                          <a:srgbClr val="E3E3E3"/>
                        </a:solidFill>
                      </wps:spPr>
                      <wps:bodyPr/>
                    </wps:wsp>
                  </a:graphicData>
                </a:graphic>
              </wp:anchor>
            </w:drawing>
          </mc:Choice>
          <mc:Fallback>
            <w:pict>
              <v:rect id="Shape 16" o:spid="_x0000_s1041" style="position:absolute;margin-left:335.4pt;margin-top:-14.2499pt;width:168.1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16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17780</wp:posOffset>
                </wp:positionV>
                <wp:extent cx="638873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735" cy="4763"/>
                        </a:xfrm>
                        <a:prstGeom prst="line">
                          <a:avLst/>
                        </a:prstGeom>
                        <a:solidFill>
                          <a:srgbClr val="FFFFFF"/>
                        </a:solidFill>
                        <a:ln w="9382">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4pt" to="503.45pt,1.4pt" o:allowincell="f" strokecolor="#000000" strokeweight="0.7387pt"/>
            </w:pict>
          </mc:Fallback>
        </mc:AlternateConten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tcBorders>
              <w:bottom w:val="single" w:sz="8" w:color="E3E3E3"/>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Interest income</w:t>
            </w:r>
          </w:p>
        </w:tc>
        <w:tc>
          <w:tcPr>
            <w:tcW w:w="640" w:type="dxa"/>
            <w:vAlign w:val="bottom"/>
            <w:tcBorders>
              <w:bottom w:val="single" w:sz="8" w:color="E3E3E3"/>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Percentage of loans held for investment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Fixed-rate loans</w:t>
            </w:r>
          </w:p>
        </w:tc>
        <w:tc>
          <w:tcPr>
            <w:tcW w:w="320" w:type="dxa"/>
            <w:vAlign w:val="bottom"/>
            <w:shd w:val="clear" w:color="auto" w:fill="E3E3E3"/>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23,506,855</w:t>
            </w:r>
          </w:p>
        </w:tc>
        <w:tc>
          <w:tcPr>
            <w:tcW w:w="640" w:type="dxa"/>
            <w:vAlign w:val="bottom"/>
            <w:tcBorders>
              <w:right w:val="single" w:sz="8" w:color="E3E3E3"/>
            </w:tcBorders>
            <w:shd w:val="clear" w:color="auto" w:fill="E3E3E3"/>
          </w:tcPr>
          <w:p>
            <w:pPr>
              <w:spacing w:after="0"/>
              <w:rPr>
                <w:sz w:val="20"/>
                <w:szCs w:val="20"/>
                <w:color w:val="auto"/>
              </w:rPr>
            </w:pPr>
          </w:p>
        </w:tc>
        <w:tc>
          <w:tcPr>
            <w:tcW w:w="3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37.9%</w:t>
            </w: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Floating-rate loans</w:t>
            </w:r>
          </w:p>
        </w:tc>
        <w:tc>
          <w:tcPr>
            <w:tcW w:w="3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38,597,237</w:t>
            </w:r>
          </w:p>
        </w:tc>
        <w:tc>
          <w:tcPr>
            <w:tcW w:w="640" w:type="dxa"/>
            <w:vAlign w:val="bottom"/>
          </w:tcPr>
          <w:p>
            <w:pPr>
              <w:spacing w:after="0"/>
              <w:rPr>
                <w:sz w:val="20"/>
                <w:szCs w:val="20"/>
                <w:color w:val="auto"/>
              </w:rPr>
            </w:pPr>
          </w:p>
        </w:tc>
        <w:tc>
          <w:tcPr>
            <w:tcW w:w="3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62.1%</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E3E3E3"/>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620" w:type="dxa"/>
            <w:vAlign w:val="bottom"/>
            <w:vMerge w:val="continue"/>
            <w:shd w:val="clear" w:color="auto" w:fill="E3E3E3"/>
          </w:tcPr>
          <w:p>
            <w:pPr>
              <w:spacing w:after="0"/>
              <w:rPr>
                <w:sz w:val="22"/>
                <w:szCs w:val="22"/>
                <w:color w:val="auto"/>
              </w:rPr>
            </w:pPr>
          </w:p>
        </w:tc>
        <w:tc>
          <w:tcPr>
            <w:tcW w:w="320" w:type="dxa"/>
            <w:vAlign w:val="bottom"/>
            <w:shd w:val="clear" w:color="auto" w:fill="E3E3E3"/>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2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62,104,092</w:t>
            </w:r>
          </w:p>
        </w:tc>
        <w:tc>
          <w:tcPr>
            <w:tcW w:w="640" w:type="dxa"/>
            <w:vAlign w:val="bottom"/>
            <w:tcBorders>
              <w:right w:val="single" w:sz="8" w:color="E3E3E3"/>
            </w:tcBorders>
            <w:shd w:val="clear" w:color="auto" w:fill="E3E3E3"/>
          </w:tcPr>
          <w:p>
            <w:pPr>
              <w:spacing w:after="0"/>
              <w:rPr>
                <w:sz w:val="22"/>
                <w:szCs w:val="22"/>
                <w:color w:val="auto"/>
              </w:rPr>
            </w:pPr>
          </w:p>
        </w:tc>
        <w:tc>
          <w:tcPr>
            <w:tcW w:w="3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0"/>
        </w:trPr>
        <w:tc>
          <w:tcPr>
            <w:tcW w:w="3620" w:type="dxa"/>
            <w:vAlign w:val="bottom"/>
            <w:tcBorders>
              <w:top w:val="single" w:sz="8" w:color="E3E3E3"/>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E3E3E3"/>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4259580</wp:posOffset>
                </wp:positionH>
                <wp:positionV relativeFrom="paragraph">
                  <wp:posOffset>-496570</wp:posOffset>
                </wp:positionV>
                <wp:extent cx="2134870" cy="15303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153035"/>
                        </a:xfrm>
                        <a:prstGeom prst="rect">
                          <a:avLst/>
                        </a:prstGeom>
                        <a:solidFill>
                          <a:srgbClr val="E3E3E3"/>
                        </a:solidFill>
                      </wps:spPr>
                      <wps:bodyPr/>
                    </wps:wsp>
                  </a:graphicData>
                </a:graphic>
              </wp:anchor>
            </w:drawing>
          </mc:Choice>
          <mc:Fallback>
            <w:pict>
              <v:rect id="Shape 18" o:spid="_x0000_s1043" style="position:absolute;margin-left:335.4pt;margin-top:-39.0999pt;width:168.1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4259580</wp:posOffset>
                </wp:positionH>
                <wp:positionV relativeFrom="paragraph">
                  <wp:posOffset>-180975</wp:posOffset>
                </wp:positionV>
                <wp:extent cx="2134870" cy="15367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4870" cy="153670"/>
                        </a:xfrm>
                        <a:prstGeom prst="rect">
                          <a:avLst/>
                        </a:prstGeom>
                        <a:solidFill>
                          <a:srgbClr val="E3E3E3"/>
                        </a:solidFill>
                      </wps:spPr>
                      <wps:bodyPr/>
                    </wps:wsp>
                  </a:graphicData>
                </a:graphic>
              </wp:anchor>
            </w:drawing>
          </mc:Choice>
          <mc:Fallback>
            <w:pict>
              <v:rect id="Shape 19" o:spid="_x0000_s1044" style="position:absolute;margin-left:335.4pt;margin-top:-14.2499pt;width:168.1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Our primary operating expenses are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173" w:lineRule="exact"/>
        <w:rPr>
          <w:sz w:val="20"/>
          <w:szCs w:val="20"/>
          <w:color w:val="auto"/>
        </w:rPr>
      </w:pPr>
    </w:p>
    <w:p>
      <w:pPr>
        <w:ind w:left="720" w:hanging="357"/>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organizational and offering expenses;</w:t>
      </w:r>
    </w:p>
    <w:p>
      <w:pPr>
        <w:spacing w:after="0" w:line="208" w:lineRule="exact"/>
        <w:rPr>
          <w:rFonts w:ascii="Arial" w:cs="Arial" w:eastAsia="Arial" w:hAnsi="Arial"/>
          <w:sz w:val="20"/>
          <w:szCs w:val="20"/>
          <w:color w:val="auto"/>
        </w:rPr>
      </w:pPr>
    </w:p>
    <w:p>
      <w:pPr>
        <w:ind w:left="720" w:hanging="357"/>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quarterly valuation expenses;</w:t>
      </w:r>
    </w:p>
    <w:p>
      <w:pPr>
        <w:spacing w:after="0" w:line="208" w:lineRule="exact"/>
        <w:rPr>
          <w:rFonts w:ascii="Arial" w:cs="Arial" w:eastAsia="Arial" w:hAnsi="Arial"/>
          <w:sz w:val="20"/>
          <w:szCs w:val="20"/>
          <w:color w:val="auto"/>
        </w:rPr>
      </w:pPr>
    </w:p>
    <w:p>
      <w:pPr>
        <w:ind w:left="720" w:hanging="357"/>
        <w:spacing w:after="0" w:line="272" w:lineRule="auto"/>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fees payable to third parties relating to, or associated with, making loans and valuing loans (including third-party valuation firms);</w:t>
      </w:r>
    </w:p>
    <w:p>
      <w:pPr>
        <w:spacing w:after="0" w:line="144" w:lineRule="exact"/>
        <w:rPr>
          <w:rFonts w:ascii="Arial" w:cs="Arial" w:eastAsia="Arial" w:hAnsi="Arial"/>
          <w:sz w:val="20"/>
          <w:szCs w:val="20"/>
          <w:color w:val="auto"/>
        </w:rPr>
      </w:pPr>
    </w:p>
    <w:p>
      <w:pPr>
        <w:ind w:left="720" w:hanging="357"/>
        <w:spacing w:after="0" w:line="272" w:lineRule="auto"/>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fees and expenses associated with investor relations and marketing efforts (including attendance at investment conferences and similar events);</w:t>
      </w:r>
    </w:p>
    <w:p>
      <w:pPr>
        <w:spacing w:after="0" w:line="144" w:lineRule="exact"/>
        <w:rPr>
          <w:rFonts w:ascii="Arial" w:cs="Arial" w:eastAsia="Arial" w:hAnsi="Arial"/>
          <w:sz w:val="20"/>
          <w:szCs w:val="20"/>
          <w:color w:val="auto"/>
        </w:rPr>
      </w:pPr>
    </w:p>
    <w:p>
      <w:pPr>
        <w:ind w:left="720" w:hanging="357"/>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accounting and loan servicing fees from our third-party fund administrator;</w:t>
      </w:r>
    </w:p>
    <w:p>
      <w:pPr>
        <w:spacing w:after="0" w:line="208" w:lineRule="exact"/>
        <w:rPr>
          <w:rFonts w:ascii="Arial" w:cs="Arial" w:eastAsia="Arial" w:hAnsi="Arial"/>
          <w:sz w:val="20"/>
          <w:szCs w:val="20"/>
          <w:color w:val="auto"/>
        </w:rPr>
      </w:pPr>
    </w:p>
    <w:p>
      <w:pPr>
        <w:ind w:left="720" w:hanging="357"/>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audit and tax compliance fees and expenses from our independent registered public accounting firm;</w:t>
      </w:r>
    </w:p>
    <w:p>
      <w:pPr>
        <w:spacing w:after="0" w:line="208" w:lineRule="exact"/>
        <w:rPr>
          <w:rFonts w:ascii="Arial" w:cs="Arial" w:eastAsia="Arial" w:hAnsi="Arial"/>
          <w:sz w:val="20"/>
          <w:szCs w:val="20"/>
          <w:color w:val="auto"/>
        </w:rPr>
      </w:pPr>
    </w:p>
    <w:p>
      <w:pPr>
        <w:ind w:left="720" w:hanging="357"/>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federal and state registration fees;</w:t>
      </w:r>
    </w:p>
    <w:p>
      <w:pPr>
        <w:spacing w:after="0" w:line="208" w:lineRule="exact"/>
        <w:rPr>
          <w:rFonts w:ascii="Arial" w:cs="Arial" w:eastAsia="Arial" w:hAnsi="Arial"/>
          <w:sz w:val="20"/>
          <w:szCs w:val="20"/>
          <w:color w:val="auto"/>
        </w:rPr>
      </w:pPr>
    </w:p>
    <w:p>
      <w:pPr>
        <w:ind w:left="720" w:hanging="357"/>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any exchange listing fees;</w:t>
      </w:r>
    </w:p>
    <w:p>
      <w:pPr>
        <w:spacing w:after="0" w:line="208" w:lineRule="exact"/>
        <w:rPr>
          <w:rFonts w:ascii="Arial" w:cs="Arial" w:eastAsia="Arial" w:hAnsi="Arial"/>
          <w:sz w:val="20"/>
          <w:szCs w:val="20"/>
          <w:color w:val="auto"/>
        </w:rPr>
      </w:pPr>
    </w:p>
    <w:p>
      <w:pPr>
        <w:ind w:left="720" w:hanging="357"/>
        <w:spacing w:after="0"/>
        <w:tabs>
          <w:tab w:leader="none" w:pos="7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federal, state and local taxes;</w:t>
      </w:r>
    </w:p>
    <w:p>
      <w:pPr>
        <w:sectPr>
          <w:pgSz w:w="12240" w:h="15840" w:orient="portrait"/>
          <w:cols w:equalWidth="0" w:num="1">
            <w:col w:w="10280"/>
          </w:cols>
          <w:pgMar w:left="1160" w:top="1436" w:right="800" w:bottom="254"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80"/>
          </w:cols>
          <w:pgMar w:left="1160" w:top="1436" w:right="800" w:bottom="254" w:gutter="0" w:footer="0" w:header="0"/>
          <w:type w:val="continuous"/>
        </w:sectPr>
      </w:pPr>
    </w:p>
    <w:bookmarkStart w:id="78" w:name="page79"/>
    <w:bookmarkEnd w:id="78"/>
    <w:p>
      <w:pPr>
        <w:ind w:left="720" w:hanging="357"/>
        <w:spacing w:after="0"/>
        <w:tabs>
          <w:tab w:leader="none" w:pos="7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independent directors’ fees and expenses;</w:t>
      </w:r>
    </w:p>
    <w:p>
      <w:pPr>
        <w:spacing w:after="0" w:line="208" w:lineRule="exact"/>
        <w:rPr>
          <w:rFonts w:ascii="Arial" w:cs="Arial" w:eastAsia="Arial" w:hAnsi="Arial"/>
          <w:sz w:val="20"/>
          <w:szCs w:val="20"/>
          <w:color w:val="auto"/>
        </w:rPr>
      </w:pPr>
    </w:p>
    <w:p>
      <w:pPr>
        <w:ind w:left="720" w:hanging="357"/>
        <w:spacing w:after="0"/>
        <w:tabs>
          <w:tab w:leader="none" w:pos="7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brokerage commissions;</w:t>
      </w:r>
    </w:p>
    <w:p>
      <w:pPr>
        <w:spacing w:after="0" w:line="208" w:lineRule="exact"/>
        <w:rPr>
          <w:rFonts w:ascii="Arial" w:cs="Arial" w:eastAsia="Arial" w:hAnsi="Arial"/>
          <w:sz w:val="20"/>
          <w:szCs w:val="20"/>
          <w:color w:val="auto"/>
        </w:rPr>
      </w:pPr>
    </w:p>
    <w:p>
      <w:pPr>
        <w:ind w:left="720" w:hanging="357"/>
        <w:spacing w:after="0"/>
        <w:tabs>
          <w:tab w:leader="none" w:pos="7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costs of proxy statements, stockholders’ reports and notices; and</w:t>
      </w:r>
    </w:p>
    <w:p>
      <w:pPr>
        <w:spacing w:after="0" w:line="208" w:lineRule="exact"/>
        <w:rPr>
          <w:rFonts w:ascii="Arial" w:cs="Arial" w:eastAsia="Arial" w:hAnsi="Arial"/>
          <w:sz w:val="20"/>
          <w:szCs w:val="20"/>
          <w:color w:val="auto"/>
        </w:rPr>
      </w:pPr>
    </w:p>
    <w:p>
      <w:pPr>
        <w:ind w:left="720" w:hanging="357"/>
        <w:spacing w:after="0"/>
        <w:tabs>
          <w:tab w:leader="none" w:pos="72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costs of preparing government filings, including periodic and current reports with the SEC.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We are a Maryland corporation that elected to be taxed as a REIT under the Code, commencing with the taxable year ended December 31, 2021. We believe that we have qualified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spacing w:after="0" w:line="153" w:lineRule="exact"/>
        <w:rPr>
          <w:sz w:val="20"/>
          <w:szCs w:val="20"/>
          <w:color w:val="auto"/>
        </w:rPr>
      </w:pPr>
    </w:p>
    <w:p>
      <w:pPr>
        <w:jc w:val="both"/>
        <w:ind w:firstLine="355"/>
        <w:spacing w:after="0" w:line="239" w:lineRule="auto"/>
        <w:rPr>
          <w:sz w:val="20"/>
          <w:szCs w:val="20"/>
          <w:color w:val="auto"/>
        </w:rPr>
      </w:pPr>
      <w:r>
        <w:rPr>
          <w:rFonts w:ascii="Times New Roman" w:cs="Times New Roman" w:eastAsia="Times New Roman" w:hAnsi="Times New Roman"/>
          <w:sz w:val="20"/>
          <w:szCs w:val="20"/>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years ended December 31, 2025 and 2024, we did not incur excise tax expense.</w:t>
      </w:r>
    </w:p>
    <w:p>
      <w:pPr>
        <w:spacing w:after="0" w:line="168"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December 31, 2025 and 2024. Based on our evaluation, there is no reserve for any uncertain income tax positions. Accrued interest and penalties, if any, are included within other liabilities in the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Portfolio Composition and Investment Activity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Portfolio Overview</w:t>
      </w:r>
    </w:p>
    <w:p>
      <w:pPr>
        <w:spacing w:after="0" w:line="193"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As of December 31, 2025, our loan portfolio is comprised of loans to 26 different portfolio companies, totaling approximately $411.1 million in principal outstanding, and approximately $31.1 million in unfunded commitments under delayed draw term loan facilities. Our loans are generally classified as held for investment and carried at amortized cost on the consolidated balance sheets. Such loans are generally secured by real estate, equipment, licenses, intellectual property and other assets of the borrowers to the extent permitted by the applicable laws and the regulations governing such borrowers. The below table summarizes the total outstanding principal and carrying value, net of current expected credit loss reserves as of December 31, 2025 and 2024:</w:t>
      </w:r>
    </w:p>
    <w:p>
      <w:pPr>
        <w:sectPr>
          <w:pgSz w:w="12240" w:h="15840" w:orient="portrait"/>
          <w:cols w:equalWidth="0" w:num="1">
            <w:col w:w="10280"/>
          </w:cols>
          <w:pgMar w:left="1160" w:top="1023"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80"/>
          </w:cols>
          <w:pgMar w:left="1160" w:top="1023" w:right="800" w:bottom="254"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51"/>
        </w:trPr>
        <w:tc>
          <w:tcPr>
            <w:tcW w:w="38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14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21"/>
              <w:spacing w:after="0" w:line="228" w:lineRule="exact"/>
              <w:rPr>
                <w:sz w:val="20"/>
                <w:szCs w:val="20"/>
                <w:color w:val="auto"/>
              </w:rPr>
            </w:pPr>
            <w:r>
              <w:rPr>
                <w:rFonts w:ascii="Times New Roman" w:cs="Times New Roman" w:eastAsia="Times New Roman" w:hAnsi="Times New Roman"/>
                <w:sz w:val="20"/>
                <w:szCs w:val="20"/>
                <w:b w:val="1"/>
                <w:bCs w:val="1"/>
                <w:color w:val="auto"/>
                <w:w w:val="99"/>
              </w:rPr>
              <w:t>Outstanding</w:t>
            </w:r>
          </w:p>
        </w:tc>
        <w:tc>
          <w:tcPr>
            <w:tcW w:w="260" w:type="dxa"/>
            <w:vAlign w:val="bottom"/>
          </w:tcPr>
          <w:p>
            <w:pPr>
              <w:spacing w:after="0"/>
              <w:rPr>
                <w:sz w:val="19"/>
                <w:szCs w:val="19"/>
                <w:color w:val="auto"/>
              </w:rPr>
            </w:pPr>
          </w:p>
        </w:tc>
        <w:tc>
          <w:tcPr>
            <w:tcW w:w="1540" w:type="dxa"/>
            <w:vAlign w:val="bottom"/>
            <w:gridSpan w:val="3"/>
          </w:tcPr>
          <w:p>
            <w:pPr>
              <w:jc w:val="center"/>
              <w:ind w:right="160"/>
              <w:spacing w:after="0" w:line="228" w:lineRule="exact"/>
              <w:rPr>
                <w:sz w:val="20"/>
                <w:szCs w:val="20"/>
                <w:color w:val="auto"/>
              </w:rPr>
            </w:pPr>
            <w:r>
              <w:rPr>
                <w:rFonts w:ascii="Times New Roman" w:cs="Times New Roman" w:eastAsia="Times New Roman" w:hAnsi="Times New Roman"/>
                <w:sz w:val="20"/>
                <w:szCs w:val="20"/>
                <w:b w:val="1"/>
                <w:bCs w:val="1"/>
                <w:color w:val="auto"/>
                <w:w w:val="97"/>
              </w:rPr>
              <w:t>Original Issue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460"/>
              <w:spacing w:after="0" w:line="228"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14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7"/>
              </w:rPr>
              <w:t>Remaining Life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7"/>
              </w:rPr>
              <w:t>Discount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1420" w:type="dxa"/>
            <w:vAlign w:val="bottom"/>
          </w:tcPr>
          <w:p>
            <w:pPr>
              <w:jc w:val="center"/>
              <w:spacing w:after="0" w:line="251" w:lineRule="exact"/>
              <w:rPr>
                <w:sz w:val="20"/>
                <w:szCs w:val="20"/>
                <w:color w:val="auto"/>
              </w:rPr>
            </w:pPr>
            <w:r>
              <w:rPr>
                <w:rFonts w:ascii="Times New Roman" w:cs="Times New Roman" w:eastAsia="Times New Roman" w:hAnsi="Times New Roman"/>
                <w:sz w:val="20"/>
                <w:szCs w:val="20"/>
                <w:b w:val="1"/>
                <w:bCs w:val="1"/>
                <w:color w:val="auto"/>
                <w:w w:val="93"/>
              </w:rPr>
              <w:t xml:space="preserve">(Years) </w:t>
            </w:r>
            <w:r>
              <w:rPr>
                <w:rFonts w:ascii="Times New Roman" w:cs="Times New Roman" w:eastAsia="Times New Roman" w:hAnsi="Times New Roman"/>
                <w:sz w:val="25"/>
                <w:szCs w:val="25"/>
                <w:b w:val="1"/>
                <w:bCs w:val="1"/>
                <w:color w:val="auto"/>
                <w:w w:val="93"/>
                <w:vertAlign w:val="superscript"/>
              </w:rPr>
              <w:t>(1)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80" w:type="dxa"/>
            <w:vAlign w:val="bottom"/>
            <w:tcBorders>
              <w:top w:val="single" w:sz="8" w:color="E3E3E3"/>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color w:val="auto"/>
              </w:rPr>
              <w:t>Loans held for investment</w:t>
            </w:r>
          </w:p>
        </w:tc>
        <w:tc>
          <w:tcPr>
            <w:tcW w:w="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3E3E3"/>
              </w:rPr>
              <w:t>$</w:t>
            </w:r>
          </w:p>
        </w:tc>
        <w:tc>
          <w:tcPr>
            <w:tcW w:w="12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411,075,088</w:t>
            </w:r>
          </w:p>
        </w:tc>
        <w:tc>
          <w:tcPr>
            <w:tcW w:w="260" w:type="dxa"/>
            <w:vAlign w:val="bottom"/>
            <w:tcBorders>
              <w:top w:val="single" w:sz="8" w:color="E3E3E3"/>
            </w:tcBorders>
            <w:shd w:val="clear" w:color="auto" w:fill="E3E3E3"/>
          </w:tcPr>
          <w:p>
            <w:pPr>
              <w:spacing w:after="0"/>
              <w:rPr>
                <w:sz w:val="19"/>
                <w:szCs w:val="19"/>
                <w:color w:val="auto"/>
              </w:rPr>
            </w:pPr>
          </w:p>
        </w:tc>
        <w:tc>
          <w:tcPr>
            <w:tcW w:w="220" w:type="dxa"/>
            <w:vAlign w:val="bottom"/>
            <w:tcBorders>
              <w:top w:val="single" w:sz="8" w:color="auto"/>
            </w:tcBorders>
            <w:shd w:val="clear" w:color="auto" w:fill="E3E3E3"/>
          </w:tcPr>
          <w:p>
            <w:pPr>
              <w:jc w:val="right"/>
              <w:ind w:right="21"/>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(2,119,521)</w:t>
            </w:r>
          </w:p>
        </w:tc>
        <w:tc>
          <w:tcPr>
            <w:tcW w:w="16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auto"/>
            </w:tcBorders>
            <w:shd w:val="clear" w:color="auto" w:fill="E3E3E3"/>
          </w:tcPr>
          <w:p>
            <w:pPr>
              <w:jc w:val="right"/>
              <w:ind w:right="1"/>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408,955,567</w:t>
            </w:r>
          </w:p>
        </w:tc>
        <w:tc>
          <w:tcPr>
            <w:tcW w:w="260" w:type="dxa"/>
            <w:vAlign w:val="bottom"/>
            <w:tcBorders>
              <w:top w:val="single" w:sz="8" w:color="E3E3E3"/>
            </w:tcBorders>
            <w:shd w:val="clear" w:color="auto" w:fill="E3E3E3"/>
          </w:tcPr>
          <w:p>
            <w:pPr>
              <w:spacing w:after="0"/>
              <w:rPr>
                <w:sz w:val="19"/>
                <w:szCs w:val="19"/>
                <w:color w:val="auto"/>
              </w:rPr>
            </w:pPr>
          </w:p>
        </w:tc>
        <w:tc>
          <w:tcPr>
            <w:tcW w:w="142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2.2</w:t>
            </w:r>
          </w:p>
        </w:tc>
        <w:tc>
          <w:tcPr>
            <w:tcW w:w="60" w:type="dxa"/>
            <w:vAlign w:val="bottom"/>
            <w:tcBorders>
              <w:top w:val="single" w:sz="8" w:color="E3E3E3"/>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tcBorders>
              <w:bottom w:val="single" w:sz="8" w:color="E3E3E3"/>
            </w:tcBorders>
          </w:tcPr>
          <w:p>
            <w:pPr>
              <w:spacing w:after="0" w:line="228" w:lineRule="exact"/>
              <w:rPr>
                <w:sz w:val="20"/>
                <w:szCs w:val="20"/>
                <w:color w:val="auto"/>
              </w:rPr>
            </w:pPr>
            <w:r>
              <w:rPr>
                <w:rFonts w:ascii="Times New Roman" w:cs="Times New Roman" w:eastAsia="Times New Roman" w:hAnsi="Times New Roman"/>
                <w:sz w:val="20"/>
                <w:szCs w:val="20"/>
                <w:color w:val="auto"/>
              </w:rPr>
              <w:t>Current expected credit loss reserve</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3E3E3"/>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(5,062,785)</w:t>
            </w:r>
          </w:p>
        </w:tc>
        <w:tc>
          <w:tcPr>
            <w:tcW w:w="260" w:type="dxa"/>
            <w:vAlign w:val="bottom"/>
            <w:tcBorders>
              <w:bottom w:val="single" w:sz="8" w:color="E3E3E3"/>
            </w:tcBorders>
          </w:tcPr>
          <w:p>
            <w:pPr>
              <w:spacing w:after="0"/>
              <w:rPr>
                <w:sz w:val="19"/>
                <w:szCs w:val="19"/>
                <w:color w:val="auto"/>
              </w:rPr>
            </w:pPr>
          </w:p>
        </w:tc>
        <w:tc>
          <w:tcPr>
            <w:tcW w:w="1420" w:type="dxa"/>
            <w:vAlign w:val="bottom"/>
            <w:tcBorders>
              <w:bottom w:val="single" w:sz="8" w:color="E3E3E3"/>
            </w:tcBorders>
          </w:tcPr>
          <w:p>
            <w:pPr>
              <w:spacing w:after="0"/>
              <w:rPr>
                <w:sz w:val="19"/>
                <w:szCs w:val="19"/>
                <w:color w:val="auto"/>
              </w:rPr>
            </w:pPr>
          </w:p>
        </w:tc>
        <w:tc>
          <w:tcPr>
            <w:tcW w:w="60" w:type="dxa"/>
            <w:vAlign w:val="bottom"/>
            <w:tcBorders>
              <w:bottom w:val="single" w:sz="8" w:color="E3E3E3"/>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80" w:type="dxa"/>
            <w:vAlign w:val="bottom"/>
            <w:tcBorders>
              <w:bottom w:val="single" w:sz="8" w:color="E3E3E3"/>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Total loans held at carrying value, net</w:t>
            </w:r>
          </w:p>
        </w:tc>
        <w:tc>
          <w:tcPr>
            <w:tcW w:w="1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E3E3E3"/>
              </w:rPr>
              <w:t>$</w:t>
            </w:r>
          </w:p>
        </w:tc>
        <w:tc>
          <w:tcPr>
            <w:tcW w:w="126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shd w:val="clear" w:color="auto" w:fill="E3E3E3"/>
              </w:rPr>
              <w:t>411,075,088</w:t>
            </w:r>
          </w:p>
        </w:tc>
        <w:tc>
          <w:tcPr>
            <w:tcW w:w="260" w:type="dxa"/>
            <w:vAlign w:val="bottom"/>
            <w:tcBorders>
              <w:bottom w:val="single" w:sz="8" w:color="E3E3E3"/>
            </w:tcBorders>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jc w:val="right"/>
              <w:ind w:right="21"/>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(2,119,521)</w:t>
            </w:r>
          </w:p>
        </w:tc>
        <w:tc>
          <w:tcPr>
            <w:tcW w:w="16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E3E3E3"/>
            </w:tcBorders>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jc w:val="right"/>
              <w:ind w:right="1"/>
              <w:spacing w:after="0" w:line="222" w:lineRule="exact"/>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8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shd w:val="clear" w:color="auto" w:fill="E3E3E3"/>
              </w:rPr>
              <w:t>403,892,782</w:t>
            </w:r>
          </w:p>
        </w:tc>
        <w:tc>
          <w:tcPr>
            <w:tcW w:w="260" w:type="dxa"/>
            <w:vAlign w:val="bottom"/>
            <w:tcBorders>
              <w:bottom w:val="single" w:sz="8" w:color="E3E3E3"/>
            </w:tcBorders>
            <w:shd w:val="clear" w:color="auto" w:fill="E3E3E3"/>
          </w:tcPr>
          <w:p>
            <w:pPr>
              <w:spacing w:after="0"/>
              <w:rPr>
                <w:sz w:val="21"/>
                <w:szCs w:val="21"/>
                <w:color w:val="auto"/>
              </w:rPr>
            </w:pPr>
          </w:p>
        </w:tc>
        <w:tc>
          <w:tcPr>
            <w:tcW w:w="1420" w:type="dxa"/>
            <w:vAlign w:val="bottom"/>
            <w:tcBorders>
              <w:bottom w:val="single" w:sz="8" w:color="E3E3E3"/>
            </w:tcBorders>
            <w:shd w:val="clear" w:color="auto" w:fill="E3E3E3"/>
          </w:tcPr>
          <w:p>
            <w:pPr>
              <w:spacing w:after="0"/>
              <w:rPr>
                <w:sz w:val="21"/>
                <w:szCs w:val="21"/>
                <w:color w:val="auto"/>
              </w:rPr>
            </w:pPr>
          </w:p>
        </w:tc>
        <w:tc>
          <w:tcPr>
            <w:tcW w:w="60" w:type="dxa"/>
            <w:vAlign w:val="bottom"/>
            <w:tcBorders>
              <w:bottom w:val="single" w:sz="8" w:color="E3E3E3"/>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restart"/>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260" w:type="dxa"/>
            <w:vAlign w:val="bottom"/>
          </w:tcPr>
          <w:p>
            <w:pPr>
              <w:spacing w:after="0"/>
              <w:rPr>
                <w:sz w:val="19"/>
                <w:szCs w:val="19"/>
                <w:color w:val="auto"/>
              </w:rPr>
            </w:pPr>
          </w:p>
        </w:tc>
        <w:tc>
          <w:tcPr>
            <w:tcW w:w="15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7"/>
              </w:rPr>
              <w:t>Original Issue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8"/>
              </w:rPr>
              <w:t>Carrying</w:t>
            </w:r>
          </w:p>
        </w:tc>
        <w:tc>
          <w:tcPr>
            <w:tcW w:w="14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4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7"/>
              </w:rPr>
              <w:t>Remaining Life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7"/>
              </w:rPr>
              <w:t>Discount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(Years) (1)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80" w:type="dxa"/>
            <w:vAlign w:val="bottom"/>
            <w:tcBorders>
              <w:top w:val="single" w:sz="8" w:color="E3E3E3"/>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color w:val="auto"/>
              </w:rPr>
              <w:t>Loans held for investment</w:t>
            </w:r>
          </w:p>
        </w:tc>
        <w:tc>
          <w:tcPr>
            <w:tcW w:w="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3E3E3"/>
              </w:rPr>
              <w:t>$</w:t>
            </w:r>
          </w:p>
        </w:tc>
        <w:tc>
          <w:tcPr>
            <w:tcW w:w="12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404,721,554</w:t>
            </w:r>
          </w:p>
        </w:tc>
        <w:tc>
          <w:tcPr>
            <w:tcW w:w="260" w:type="dxa"/>
            <w:vAlign w:val="bottom"/>
            <w:tcBorders>
              <w:top w:val="single" w:sz="8" w:color="E3E3E3"/>
            </w:tcBorders>
            <w:shd w:val="clear" w:color="auto" w:fill="E3E3E3"/>
          </w:tcPr>
          <w:p>
            <w:pPr>
              <w:spacing w:after="0"/>
              <w:rPr>
                <w:sz w:val="19"/>
                <w:szCs w:val="19"/>
                <w:color w:val="auto"/>
              </w:rPr>
            </w:pPr>
          </w:p>
        </w:tc>
        <w:tc>
          <w:tcPr>
            <w:tcW w:w="220" w:type="dxa"/>
            <w:vAlign w:val="bottom"/>
            <w:tcBorders>
              <w:top w:val="single" w:sz="8" w:color="auto"/>
            </w:tcBorders>
            <w:shd w:val="clear" w:color="auto" w:fill="E3E3E3"/>
          </w:tcPr>
          <w:p>
            <w:pPr>
              <w:jc w:val="right"/>
              <w:ind w:right="21"/>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(2,244,508)</w:t>
            </w:r>
          </w:p>
        </w:tc>
        <w:tc>
          <w:tcPr>
            <w:tcW w:w="16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auto"/>
            </w:tcBorders>
            <w:shd w:val="clear" w:color="auto" w:fill="E3E3E3"/>
          </w:tcPr>
          <w:p>
            <w:pPr>
              <w:jc w:val="right"/>
              <w:ind w:right="1"/>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402,477,046</w:t>
            </w:r>
          </w:p>
        </w:tc>
        <w:tc>
          <w:tcPr>
            <w:tcW w:w="260" w:type="dxa"/>
            <w:vAlign w:val="bottom"/>
            <w:tcBorders>
              <w:top w:val="single" w:sz="8" w:color="E3E3E3"/>
            </w:tcBorders>
            <w:shd w:val="clear" w:color="auto" w:fill="E3E3E3"/>
          </w:tcPr>
          <w:p>
            <w:pPr>
              <w:spacing w:after="0"/>
              <w:rPr>
                <w:sz w:val="19"/>
                <w:szCs w:val="19"/>
                <w:color w:val="auto"/>
              </w:rPr>
            </w:pPr>
          </w:p>
        </w:tc>
        <w:tc>
          <w:tcPr>
            <w:tcW w:w="142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2.2</w:t>
            </w:r>
          </w:p>
        </w:tc>
        <w:tc>
          <w:tcPr>
            <w:tcW w:w="60" w:type="dxa"/>
            <w:vAlign w:val="bottom"/>
            <w:tcBorders>
              <w:top w:val="single" w:sz="8" w:color="E3E3E3"/>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tcBorders>
              <w:bottom w:val="single" w:sz="8" w:color="E3E3E3"/>
            </w:tcBorders>
          </w:tcPr>
          <w:p>
            <w:pPr>
              <w:spacing w:after="0" w:line="228" w:lineRule="exact"/>
              <w:rPr>
                <w:sz w:val="20"/>
                <w:szCs w:val="20"/>
                <w:color w:val="auto"/>
              </w:rPr>
            </w:pPr>
            <w:r>
              <w:rPr>
                <w:rFonts w:ascii="Times New Roman" w:cs="Times New Roman" w:eastAsia="Times New Roman" w:hAnsi="Times New Roman"/>
                <w:sz w:val="20"/>
                <w:szCs w:val="20"/>
                <w:color w:val="auto"/>
              </w:rPr>
              <w:t>Current expected credit loss reserve</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3E3E3"/>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(4,346,869)</w:t>
            </w:r>
          </w:p>
        </w:tc>
        <w:tc>
          <w:tcPr>
            <w:tcW w:w="260" w:type="dxa"/>
            <w:vAlign w:val="bottom"/>
            <w:tcBorders>
              <w:bottom w:val="single" w:sz="8" w:color="E3E3E3"/>
            </w:tcBorders>
          </w:tcPr>
          <w:p>
            <w:pPr>
              <w:spacing w:after="0"/>
              <w:rPr>
                <w:sz w:val="19"/>
                <w:szCs w:val="19"/>
                <w:color w:val="auto"/>
              </w:rPr>
            </w:pPr>
          </w:p>
        </w:tc>
        <w:tc>
          <w:tcPr>
            <w:tcW w:w="1420" w:type="dxa"/>
            <w:vAlign w:val="bottom"/>
            <w:tcBorders>
              <w:bottom w:val="single" w:sz="8" w:color="E3E3E3"/>
            </w:tcBorders>
          </w:tcPr>
          <w:p>
            <w:pPr>
              <w:spacing w:after="0"/>
              <w:rPr>
                <w:sz w:val="19"/>
                <w:szCs w:val="19"/>
                <w:color w:val="auto"/>
              </w:rPr>
            </w:pPr>
          </w:p>
        </w:tc>
        <w:tc>
          <w:tcPr>
            <w:tcW w:w="60" w:type="dxa"/>
            <w:vAlign w:val="bottom"/>
            <w:tcBorders>
              <w:bottom w:val="single" w:sz="8" w:color="E3E3E3"/>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Total loans held at carrying value, net</w:t>
            </w:r>
          </w:p>
        </w:tc>
        <w:tc>
          <w:tcPr>
            <w:tcW w:w="1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E3E3E3"/>
              </w:rPr>
              <w:t>$</w:t>
            </w:r>
          </w:p>
        </w:tc>
        <w:tc>
          <w:tcPr>
            <w:tcW w:w="126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shd w:val="clear" w:color="auto" w:fill="E3E3E3"/>
              </w:rPr>
              <w:t>404,721,554</w:t>
            </w:r>
          </w:p>
        </w:tc>
        <w:tc>
          <w:tcPr>
            <w:tcW w:w="260" w:type="dxa"/>
            <w:vAlign w:val="bottom"/>
            <w:shd w:val="clear" w:color="auto" w:fill="E3E3E3"/>
          </w:tcPr>
          <w:p>
            <w:pPr>
              <w:spacing w:after="0"/>
              <w:rPr>
                <w:sz w:val="19"/>
                <w:szCs w:val="19"/>
                <w:color w:val="auto"/>
              </w:rPr>
            </w:pPr>
          </w:p>
        </w:tc>
        <w:tc>
          <w:tcPr>
            <w:tcW w:w="220" w:type="dxa"/>
            <w:vAlign w:val="bottom"/>
            <w:tcBorders>
              <w:bottom w:val="single" w:sz="8" w:color="auto"/>
            </w:tcBorders>
            <w:shd w:val="clear" w:color="auto" w:fill="E3E3E3"/>
          </w:tcPr>
          <w:p>
            <w:pPr>
              <w:jc w:val="right"/>
              <w:ind w:right="21"/>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(2,244,508)</w:t>
            </w:r>
          </w:p>
        </w:tc>
        <w:tc>
          <w:tcPr>
            <w:tcW w:w="1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0" w:type="dxa"/>
            <w:vAlign w:val="bottom"/>
            <w:tcBorders>
              <w:bottom w:val="single" w:sz="8" w:color="auto"/>
            </w:tcBorders>
            <w:shd w:val="clear" w:color="auto" w:fill="E3E3E3"/>
          </w:tcPr>
          <w:p>
            <w:pPr>
              <w:jc w:val="right"/>
              <w:ind w:right="1"/>
              <w:spacing w:after="0" w:line="222" w:lineRule="exact"/>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8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shd w:val="clear" w:color="auto" w:fill="E3E3E3"/>
              </w:rPr>
              <w:t>398,130,177</w:t>
            </w:r>
          </w:p>
        </w:tc>
        <w:tc>
          <w:tcPr>
            <w:tcW w:w="260" w:type="dxa"/>
            <w:vAlign w:val="bottom"/>
            <w:shd w:val="clear" w:color="auto" w:fill="E3E3E3"/>
          </w:tcPr>
          <w:p>
            <w:pPr>
              <w:spacing w:after="0"/>
              <w:rPr>
                <w:sz w:val="19"/>
                <w:szCs w:val="19"/>
                <w:color w:val="auto"/>
              </w:rPr>
            </w:pPr>
          </w:p>
        </w:tc>
        <w:tc>
          <w:tcPr>
            <w:tcW w:w="1420" w:type="dxa"/>
            <w:vAlign w:val="bottom"/>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firstLine="8"/>
        <w:spacing w:after="0" w:line="272" w:lineRule="auto"/>
        <w:tabs>
          <w:tab w:leader="none" w:pos="32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Weighted average remaining life is calculated on the carrying value of the loans as of December 31, 2025 and 2024, respectively.</w:t>
      </w:r>
    </w:p>
    <w:p>
      <w:pPr>
        <w:spacing w:after="0" w:line="131"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As of December 31, 2025, our loan portfolio had a weighted-average yield-to-maturity internal rate of return (“YTM IRR”) of 16.3%. The YTM IRR on our loans is designed to present the total annualized return anticipated on the loans if such loans are held until they mature, which is consistent with our operating strategy. YTM IRR summarizes various components of such return, such as cash interest, paid-in-kind interest, original issue discount, and exit fees, in one measure that is comparable across loans.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or amendment fees, which are not included in our YTM IRR calculations, but may increase YTM IRR if such extension options are exercised by borrowers.</w:t>
      </w:r>
    </w:p>
    <w:p>
      <w:pPr>
        <w:spacing w:after="0" w:line="162"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Our loans bear interest rates that are either fixed or determined periodically on the basis of Prime or SOFR plus a premium. Loans which bear interest on either Prime or SOFR are collectively referred to as "Floating-rate loans". The below table summarizes our portfolio of loans held for investment by rate type as of December 31,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4"/>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Total Principal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20"/>
              <w:spacing w:after="0" w:line="212" w:lineRule="exact"/>
              <w:rPr>
                <w:sz w:val="20"/>
                <w:szCs w:val="20"/>
                <w:color w:val="auto"/>
              </w:rPr>
            </w:pPr>
            <w:r>
              <w:rPr>
                <w:rFonts w:ascii="Times New Roman" w:cs="Times New Roman" w:eastAsia="Times New Roman" w:hAnsi="Times New Roman"/>
                <w:sz w:val="20"/>
                <w:szCs w:val="20"/>
                <w:b w:val="1"/>
                <w:bCs w:val="1"/>
                <w:color w:val="auto"/>
                <w:w w:val="97"/>
              </w:rPr>
              <w:t>Original Issue</w:t>
            </w:r>
          </w:p>
        </w:tc>
        <w:tc>
          <w:tcPr>
            <w:tcW w:w="140" w:type="dxa"/>
            <w:vAlign w:val="bottom"/>
          </w:tcPr>
          <w:p>
            <w:pPr>
              <w:spacing w:after="0"/>
              <w:rPr>
                <w:sz w:val="18"/>
                <w:szCs w:val="18"/>
                <w:color w:val="auto"/>
              </w:rPr>
            </w:pPr>
          </w:p>
        </w:tc>
        <w:tc>
          <w:tcPr>
            <w:tcW w:w="160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120" w:type="dxa"/>
            <w:vAlign w:val="bottom"/>
          </w:tcPr>
          <w:p>
            <w:pPr>
              <w:spacing w:after="0"/>
              <w:rPr>
                <w:sz w:val="18"/>
                <w:szCs w:val="18"/>
                <w:color w:val="auto"/>
              </w:rPr>
            </w:pPr>
          </w:p>
        </w:tc>
        <w:tc>
          <w:tcPr>
            <w:tcW w:w="1800" w:type="dxa"/>
            <w:vAlign w:val="bottom"/>
          </w:tcPr>
          <w:p>
            <w:pPr>
              <w:ind w:left="60"/>
              <w:spacing w:after="0" w:line="212" w:lineRule="exact"/>
              <w:rPr>
                <w:sz w:val="20"/>
                <w:szCs w:val="20"/>
                <w:color w:val="auto"/>
              </w:rPr>
            </w:pPr>
            <w:r>
              <w:rPr>
                <w:rFonts w:ascii="Times New Roman" w:cs="Times New Roman" w:eastAsia="Times New Roman" w:hAnsi="Times New Roman"/>
                <w:sz w:val="20"/>
                <w:szCs w:val="20"/>
                <w:b w:val="1"/>
                <w:bCs w:val="1"/>
                <w:color w:val="auto"/>
              </w:rPr>
              <w:t>Percentage of loans</w:t>
            </w: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100" w:type="dxa"/>
            <w:vAlign w:val="bottom"/>
            <w:tcBorders>
              <w:bottom w:val="single" w:sz="8" w:color="E3E3E3"/>
            </w:tcBorders>
          </w:tcPr>
          <w:p>
            <w:pPr>
              <w:spacing w:after="0"/>
              <w:rPr>
                <w:sz w:val="21"/>
                <w:szCs w:val="21"/>
                <w:color w:val="auto"/>
              </w:rPr>
            </w:pPr>
          </w:p>
        </w:tc>
        <w:tc>
          <w:tcPr>
            <w:tcW w:w="620" w:type="dxa"/>
            <w:vAlign w:val="bottom"/>
            <w:tcBorders>
              <w:bottom w:val="single" w:sz="8" w:color="E3E3E3"/>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E3E3E3"/>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7"/>
              </w:rPr>
              <w:t>Discount</w:t>
            </w:r>
          </w:p>
        </w:tc>
        <w:tc>
          <w:tcPr>
            <w:tcW w:w="120" w:type="dxa"/>
            <w:vAlign w:val="bottom"/>
            <w:tcBorders>
              <w:bottom w:val="single" w:sz="8" w:color="E3E3E3"/>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E3E3E3"/>
            </w:tcBorders>
          </w:tcPr>
          <w:p>
            <w:pPr>
              <w:spacing w:after="0"/>
              <w:rPr>
                <w:sz w:val="21"/>
                <w:szCs w:val="21"/>
                <w:color w:val="auto"/>
              </w:rPr>
            </w:pPr>
          </w:p>
        </w:tc>
        <w:tc>
          <w:tcPr>
            <w:tcW w:w="1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held for investment</w:t>
            </w:r>
          </w:p>
        </w:tc>
        <w:tc>
          <w:tcPr>
            <w:tcW w:w="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1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Fixed-rate loans</w:t>
            </w:r>
          </w:p>
        </w:tc>
        <w:tc>
          <w:tcPr>
            <w:tcW w:w="62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154,680,286</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(803,019)</w:t>
            </w:r>
          </w:p>
        </w:tc>
        <w:tc>
          <w:tcPr>
            <w:tcW w:w="120" w:type="dxa"/>
            <w:vAlign w:val="bottom"/>
            <w:tcBorders>
              <w:right w:val="single" w:sz="8" w:color="E3E3E3"/>
            </w:tcBorders>
            <w:shd w:val="clear" w:color="auto" w:fill="E3E3E3"/>
          </w:tcPr>
          <w:p>
            <w:pPr>
              <w:spacing w:after="0"/>
              <w:rPr>
                <w:sz w:val="20"/>
                <w:szCs w:val="20"/>
                <w:color w:val="auto"/>
              </w:rPr>
            </w:pPr>
          </w:p>
        </w:tc>
        <w:tc>
          <w:tcPr>
            <w:tcW w:w="14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153,877,267</w:t>
            </w:r>
          </w:p>
        </w:tc>
        <w:tc>
          <w:tcPr>
            <w:tcW w:w="120" w:type="dxa"/>
            <w:vAlign w:val="bottom"/>
            <w:tcBorders>
              <w:right w:val="single" w:sz="8" w:color="E3E3E3"/>
            </w:tcBorders>
            <w:shd w:val="clear" w:color="auto" w:fill="E3E3E3"/>
          </w:tcPr>
          <w:p>
            <w:pPr>
              <w:spacing w:after="0"/>
              <w:rPr>
                <w:sz w:val="20"/>
                <w:szCs w:val="20"/>
                <w:color w:val="auto"/>
              </w:rPr>
            </w:pP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37.6%</w:t>
            </w:r>
          </w:p>
        </w:tc>
        <w:tc>
          <w:tcPr>
            <w:tcW w:w="0" w:type="dxa"/>
            <w:vAlign w:val="bottom"/>
          </w:tcPr>
          <w:p>
            <w:pPr>
              <w:spacing w:after="0"/>
              <w:rPr>
                <w:sz w:val="1"/>
                <w:szCs w:val="1"/>
                <w:color w:val="auto"/>
              </w:rPr>
            </w:pPr>
          </w:p>
        </w:tc>
      </w:tr>
      <w:tr>
        <w:trPr>
          <w:trHeight w:val="241"/>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Floating-rate loans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256,394,802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(1,316,502)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255,078,300</w:t>
            </w:r>
          </w:p>
        </w:tc>
        <w:tc>
          <w:tcPr>
            <w:tcW w:w="120" w:type="dxa"/>
            <w:vAlign w:val="bottom"/>
          </w:tcPr>
          <w:p>
            <w:pPr>
              <w:spacing w:after="0"/>
              <w:rPr>
                <w:sz w:val="20"/>
                <w:szCs w:val="20"/>
                <w:color w:val="auto"/>
              </w:rPr>
            </w:pP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62.4%</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w:t>
            </w:r>
          </w:p>
        </w:tc>
        <w:tc>
          <w:tcPr>
            <w:tcW w:w="620" w:type="dxa"/>
            <w:vAlign w:val="bottom"/>
            <w:shd w:val="clear" w:color="auto" w:fill="E3E3E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E3E3E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E3E3E3"/>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00" w:type="dxa"/>
            <w:vAlign w:val="bottom"/>
            <w:vMerge w:val="continue"/>
            <w:shd w:val="clear" w:color="auto" w:fill="E3E3E3"/>
          </w:tcPr>
          <w:p>
            <w:pPr>
              <w:spacing w:after="0"/>
              <w:rPr>
                <w:sz w:val="20"/>
                <w:szCs w:val="20"/>
                <w:color w:val="auto"/>
              </w:rPr>
            </w:pPr>
          </w:p>
        </w:tc>
        <w:tc>
          <w:tcPr>
            <w:tcW w:w="62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6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411,075,088</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(2,119,521)</w:t>
            </w:r>
          </w:p>
        </w:tc>
        <w:tc>
          <w:tcPr>
            <w:tcW w:w="120" w:type="dxa"/>
            <w:vAlign w:val="bottom"/>
            <w:tcBorders>
              <w:right w:val="single" w:sz="8" w:color="E3E3E3"/>
            </w:tcBorders>
            <w:shd w:val="clear" w:color="auto" w:fill="E3E3E3"/>
          </w:tcPr>
          <w:p>
            <w:pPr>
              <w:spacing w:after="0"/>
              <w:rPr>
                <w:sz w:val="20"/>
                <w:szCs w:val="20"/>
                <w:color w:val="auto"/>
              </w:rPr>
            </w:pPr>
          </w:p>
        </w:tc>
        <w:tc>
          <w:tcPr>
            <w:tcW w:w="14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408,955,567</w:t>
            </w:r>
          </w:p>
        </w:tc>
        <w:tc>
          <w:tcPr>
            <w:tcW w:w="120" w:type="dxa"/>
            <w:vAlign w:val="bottom"/>
            <w:tcBorders>
              <w:right w:val="single" w:sz="8" w:color="E3E3E3"/>
            </w:tcBorders>
            <w:shd w:val="clear" w:color="auto" w:fill="E3E3E3"/>
          </w:tcPr>
          <w:p>
            <w:pPr>
              <w:spacing w:after="0"/>
              <w:rPr>
                <w:sz w:val="20"/>
                <w:szCs w:val="20"/>
                <w:color w:val="auto"/>
              </w:rPr>
            </w:pP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100.0%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Total Principal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20"/>
              <w:spacing w:after="0" w:line="212" w:lineRule="exact"/>
              <w:rPr>
                <w:sz w:val="20"/>
                <w:szCs w:val="20"/>
                <w:color w:val="auto"/>
              </w:rPr>
            </w:pPr>
            <w:r>
              <w:rPr>
                <w:rFonts w:ascii="Times New Roman" w:cs="Times New Roman" w:eastAsia="Times New Roman" w:hAnsi="Times New Roman"/>
                <w:sz w:val="20"/>
                <w:szCs w:val="20"/>
                <w:b w:val="1"/>
                <w:bCs w:val="1"/>
                <w:color w:val="auto"/>
                <w:w w:val="97"/>
              </w:rPr>
              <w:t>Original Issue</w:t>
            </w:r>
          </w:p>
        </w:tc>
        <w:tc>
          <w:tcPr>
            <w:tcW w:w="140" w:type="dxa"/>
            <w:vAlign w:val="bottom"/>
          </w:tcPr>
          <w:p>
            <w:pPr>
              <w:spacing w:after="0"/>
              <w:rPr>
                <w:sz w:val="18"/>
                <w:szCs w:val="18"/>
                <w:color w:val="auto"/>
              </w:rPr>
            </w:pPr>
          </w:p>
        </w:tc>
        <w:tc>
          <w:tcPr>
            <w:tcW w:w="160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120" w:type="dxa"/>
            <w:vAlign w:val="bottom"/>
          </w:tcPr>
          <w:p>
            <w:pPr>
              <w:spacing w:after="0"/>
              <w:rPr>
                <w:sz w:val="18"/>
                <w:szCs w:val="18"/>
                <w:color w:val="auto"/>
              </w:rPr>
            </w:pPr>
          </w:p>
        </w:tc>
        <w:tc>
          <w:tcPr>
            <w:tcW w:w="1800" w:type="dxa"/>
            <w:vAlign w:val="bottom"/>
          </w:tcPr>
          <w:p>
            <w:pPr>
              <w:ind w:left="60"/>
              <w:spacing w:after="0" w:line="212" w:lineRule="exact"/>
              <w:rPr>
                <w:sz w:val="20"/>
                <w:szCs w:val="20"/>
                <w:color w:val="auto"/>
              </w:rPr>
            </w:pPr>
            <w:r>
              <w:rPr>
                <w:rFonts w:ascii="Times New Roman" w:cs="Times New Roman" w:eastAsia="Times New Roman" w:hAnsi="Times New Roman"/>
                <w:sz w:val="20"/>
                <w:szCs w:val="20"/>
                <w:b w:val="1"/>
                <w:bCs w:val="1"/>
                <w:color w:val="auto"/>
              </w:rPr>
              <w:t>Percentage of loans</w:t>
            </w: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100" w:type="dxa"/>
            <w:vAlign w:val="bottom"/>
            <w:tcBorders>
              <w:bottom w:val="single" w:sz="8" w:color="E3E3E3"/>
            </w:tcBorders>
          </w:tcPr>
          <w:p>
            <w:pPr>
              <w:spacing w:after="0"/>
              <w:rPr>
                <w:sz w:val="21"/>
                <w:szCs w:val="21"/>
                <w:color w:val="auto"/>
              </w:rPr>
            </w:pPr>
          </w:p>
        </w:tc>
        <w:tc>
          <w:tcPr>
            <w:tcW w:w="620" w:type="dxa"/>
            <w:vAlign w:val="bottom"/>
            <w:tcBorders>
              <w:bottom w:val="single" w:sz="8" w:color="E3E3E3"/>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E3E3E3"/>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7"/>
              </w:rPr>
              <w:t>Discount</w:t>
            </w:r>
          </w:p>
        </w:tc>
        <w:tc>
          <w:tcPr>
            <w:tcW w:w="120" w:type="dxa"/>
            <w:vAlign w:val="bottom"/>
            <w:tcBorders>
              <w:bottom w:val="single" w:sz="8" w:color="E3E3E3"/>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E3E3E3"/>
            </w:tcBorders>
          </w:tcPr>
          <w:p>
            <w:pPr>
              <w:spacing w:after="0"/>
              <w:rPr>
                <w:sz w:val="21"/>
                <w:szCs w:val="21"/>
                <w:color w:val="auto"/>
              </w:rPr>
            </w:pPr>
          </w:p>
        </w:tc>
        <w:tc>
          <w:tcPr>
            <w:tcW w:w="1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held for investment</w:t>
            </w:r>
          </w:p>
        </w:tc>
        <w:tc>
          <w:tcPr>
            <w:tcW w:w="2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1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Fixed-rate loans</w:t>
            </w:r>
          </w:p>
        </w:tc>
        <w:tc>
          <w:tcPr>
            <w:tcW w:w="62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149,771,871</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(545,081)</w:t>
            </w:r>
          </w:p>
        </w:tc>
        <w:tc>
          <w:tcPr>
            <w:tcW w:w="120" w:type="dxa"/>
            <w:vAlign w:val="bottom"/>
            <w:tcBorders>
              <w:right w:val="single" w:sz="8" w:color="E3E3E3"/>
            </w:tcBorders>
            <w:shd w:val="clear" w:color="auto" w:fill="E3E3E3"/>
          </w:tcPr>
          <w:p>
            <w:pPr>
              <w:spacing w:after="0"/>
              <w:rPr>
                <w:sz w:val="20"/>
                <w:szCs w:val="20"/>
                <w:color w:val="auto"/>
              </w:rPr>
            </w:pPr>
          </w:p>
        </w:tc>
        <w:tc>
          <w:tcPr>
            <w:tcW w:w="14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149,226,790</w:t>
            </w:r>
          </w:p>
        </w:tc>
        <w:tc>
          <w:tcPr>
            <w:tcW w:w="120" w:type="dxa"/>
            <w:vAlign w:val="bottom"/>
            <w:tcBorders>
              <w:right w:val="single" w:sz="8" w:color="E3E3E3"/>
            </w:tcBorders>
            <w:shd w:val="clear" w:color="auto" w:fill="E3E3E3"/>
          </w:tcPr>
          <w:p>
            <w:pPr>
              <w:spacing w:after="0"/>
              <w:rPr>
                <w:sz w:val="20"/>
                <w:szCs w:val="20"/>
                <w:color w:val="auto"/>
              </w:rPr>
            </w:pP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37.1%</w:t>
            </w:r>
          </w:p>
        </w:tc>
        <w:tc>
          <w:tcPr>
            <w:tcW w:w="0" w:type="dxa"/>
            <w:vAlign w:val="bottom"/>
          </w:tcPr>
          <w:p>
            <w:pPr>
              <w:spacing w:after="0"/>
              <w:rPr>
                <w:sz w:val="1"/>
                <w:szCs w:val="1"/>
                <w:color w:val="auto"/>
              </w:rPr>
            </w:pPr>
          </w:p>
        </w:tc>
      </w:tr>
      <w:tr>
        <w:trPr>
          <w:trHeight w:val="241"/>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Floating-rate loans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254,949,683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(1,699,427)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253,250,256</w:t>
            </w:r>
          </w:p>
        </w:tc>
        <w:tc>
          <w:tcPr>
            <w:tcW w:w="120" w:type="dxa"/>
            <w:vAlign w:val="bottom"/>
          </w:tcPr>
          <w:p>
            <w:pPr>
              <w:spacing w:after="0"/>
              <w:rPr>
                <w:sz w:val="20"/>
                <w:szCs w:val="20"/>
                <w:color w:val="auto"/>
              </w:rPr>
            </w:pP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62.9%</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w:t>
            </w:r>
          </w:p>
        </w:tc>
        <w:tc>
          <w:tcPr>
            <w:tcW w:w="620" w:type="dxa"/>
            <w:vAlign w:val="bottom"/>
            <w:shd w:val="clear" w:color="auto" w:fill="E3E3E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E3E3E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E3E3E3"/>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00" w:type="dxa"/>
            <w:vAlign w:val="bottom"/>
            <w:vMerge w:val="continue"/>
            <w:shd w:val="clear" w:color="auto" w:fill="E3E3E3"/>
          </w:tcPr>
          <w:p>
            <w:pPr>
              <w:spacing w:after="0"/>
              <w:rPr>
                <w:sz w:val="20"/>
                <w:szCs w:val="20"/>
                <w:color w:val="auto"/>
              </w:rPr>
            </w:pPr>
          </w:p>
        </w:tc>
        <w:tc>
          <w:tcPr>
            <w:tcW w:w="62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6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404,721,554</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(2,244,508)</w:t>
            </w:r>
          </w:p>
        </w:tc>
        <w:tc>
          <w:tcPr>
            <w:tcW w:w="120" w:type="dxa"/>
            <w:vAlign w:val="bottom"/>
            <w:tcBorders>
              <w:right w:val="single" w:sz="8" w:color="E3E3E3"/>
            </w:tcBorders>
            <w:shd w:val="clear" w:color="auto" w:fill="E3E3E3"/>
          </w:tcPr>
          <w:p>
            <w:pPr>
              <w:spacing w:after="0"/>
              <w:rPr>
                <w:sz w:val="20"/>
                <w:szCs w:val="20"/>
                <w:color w:val="auto"/>
              </w:rPr>
            </w:pPr>
          </w:p>
        </w:tc>
        <w:tc>
          <w:tcPr>
            <w:tcW w:w="140" w:type="dxa"/>
            <w:vAlign w:val="bottom"/>
            <w:shd w:val="clear" w:color="auto" w:fill="E3E3E3"/>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402,477,046</w:t>
            </w:r>
          </w:p>
        </w:tc>
        <w:tc>
          <w:tcPr>
            <w:tcW w:w="120" w:type="dxa"/>
            <w:vAlign w:val="bottom"/>
            <w:tcBorders>
              <w:right w:val="single" w:sz="8" w:color="E3E3E3"/>
            </w:tcBorders>
            <w:shd w:val="clear" w:color="auto" w:fill="E3E3E3"/>
          </w:tcPr>
          <w:p>
            <w:pPr>
              <w:spacing w:after="0"/>
              <w:rPr>
                <w:sz w:val="20"/>
                <w:szCs w:val="20"/>
                <w:color w:val="auto"/>
              </w:rPr>
            </w:pP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100.0%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5248910</wp:posOffset>
                </wp:positionH>
                <wp:positionV relativeFrom="paragraph">
                  <wp:posOffset>-1588770</wp:posOffset>
                </wp:positionV>
                <wp:extent cx="1146810" cy="15303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6810" cy="153035"/>
                        </a:xfrm>
                        <a:prstGeom prst="rect">
                          <a:avLst/>
                        </a:prstGeom>
                        <a:solidFill>
                          <a:srgbClr val="E3E3E3"/>
                        </a:solidFill>
                      </wps:spPr>
                      <wps:bodyPr/>
                    </wps:wsp>
                  </a:graphicData>
                </a:graphic>
              </wp:anchor>
            </w:drawing>
          </mc:Choice>
          <mc:Fallback>
            <w:pict>
              <v:rect id="Shape 20" o:spid="_x0000_s1045" style="position:absolute;margin-left:413.3pt;margin-top:-125.0999pt;width:90.3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5248910</wp:posOffset>
                </wp:positionH>
                <wp:positionV relativeFrom="paragraph">
                  <wp:posOffset>-1273175</wp:posOffset>
                </wp:positionV>
                <wp:extent cx="1146810" cy="15303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6810" cy="153035"/>
                        </a:xfrm>
                        <a:prstGeom prst="rect">
                          <a:avLst/>
                        </a:prstGeom>
                        <a:solidFill>
                          <a:srgbClr val="E3E3E3"/>
                        </a:solidFill>
                      </wps:spPr>
                      <wps:bodyPr/>
                    </wps:wsp>
                  </a:graphicData>
                </a:graphic>
              </wp:anchor>
            </w:drawing>
          </mc:Choice>
          <mc:Fallback>
            <w:pict>
              <v:rect id="Shape 21" o:spid="_x0000_s1046" style="position:absolute;margin-left:413.3pt;margin-top:-100.2499pt;width:90.3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5248910</wp:posOffset>
                </wp:positionH>
                <wp:positionV relativeFrom="paragraph">
                  <wp:posOffset>-496570</wp:posOffset>
                </wp:positionV>
                <wp:extent cx="1146810" cy="15303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6810" cy="153035"/>
                        </a:xfrm>
                        <a:prstGeom prst="rect">
                          <a:avLst/>
                        </a:prstGeom>
                        <a:solidFill>
                          <a:srgbClr val="E3E3E3"/>
                        </a:solidFill>
                      </wps:spPr>
                      <wps:bodyPr/>
                    </wps:wsp>
                  </a:graphicData>
                </a:graphic>
              </wp:anchor>
            </w:drawing>
          </mc:Choice>
          <mc:Fallback>
            <w:pict>
              <v:rect id="Shape 22" o:spid="_x0000_s1047" style="position:absolute;margin-left:413.3pt;margin-top:-39.0999pt;width:90.3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5248910</wp:posOffset>
                </wp:positionH>
                <wp:positionV relativeFrom="paragraph">
                  <wp:posOffset>-180975</wp:posOffset>
                </wp:positionV>
                <wp:extent cx="1146810" cy="15367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6810" cy="153670"/>
                        </a:xfrm>
                        <a:prstGeom prst="rect">
                          <a:avLst/>
                        </a:prstGeom>
                        <a:solidFill>
                          <a:srgbClr val="E3E3E3"/>
                        </a:solidFill>
                      </wps:spPr>
                      <wps:bodyPr/>
                    </wps:wsp>
                  </a:graphicData>
                </a:graphic>
              </wp:anchor>
            </w:drawing>
          </mc:Choice>
          <mc:Fallback>
            <w:pict>
              <v:rect id="Shape 23" o:spid="_x0000_s1048" style="position:absolute;margin-left:413.3pt;margin-top:-14.2499pt;width:90.3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158"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As of December 31, 2025, none of our loans were held at fair value. As of December 31, 2024, we held one loan at fair value with a principal balance of $5.5 million, which bore a fixed rate.</w:t>
      </w:r>
    </w:p>
    <w:p>
      <w:pPr>
        <w:spacing w:after="0" w:line="131"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Our floating-rate loans typically include a Prime or SOFR interest rate floor that is generally set at the prevailing Prime or SOFR rate, as applicable, on the date of origination. As of December 31, 2025 and 2024 none of our loans were subject to an interest rate ceiling. We typically include an interest rate floor with our floating rate loans in order to provide us with protection against decreases in interest rates. As of December 31, 2025 and 2024, 58.2% and 56.8% of our loans were subject to an interest rate floor. As of December 31, 2025 and 2024, our portfolio had the following interest rate floors:</w:t>
      </w:r>
    </w:p>
    <w:p>
      <w:pPr>
        <w:sectPr>
          <w:pgSz w:w="12240" w:h="15840" w:orient="portrait"/>
          <w:cols w:equalWidth="0" w:num="1">
            <w:col w:w="10280"/>
          </w:cols>
          <w:pgMar w:left="1160" w:top="1005"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80"/>
          </w:cols>
          <w:pgMar w:left="1160" w:top="1005" w:right="800" w:bottom="254"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51"/>
        </w:trPr>
        <w:tc>
          <w:tcPr>
            <w:tcW w:w="1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6"/>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00" w:type="dxa"/>
            <w:vAlign w:val="bottom"/>
            <w:gridSpan w:val="9"/>
          </w:tcPr>
          <w:p>
            <w:pPr>
              <w:jc w:val="right"/>
              <w:ind w:right="120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center"/>
              <w:ind w:right="260"/>
              <w:spacing w:after="0" w:line="212" w:lineRule="exact"/>
              <w:rPr>
                <w:sz w:val="20"/>
                <w:szCs w:val="20"/>
                <w:color w:val="auto"/>
              </w:rPr>
            </w:pPr>
            <w:r>
              <w:rPr>
                <w:rFonts w:ascii="Times New Roman" w:cs="Times New Roman" w:eastAsia="Times New Roman" w:hAnsi="Times New Roman"/>
                <w:sz w:val="20"/>
                <w:szCs w:val="20"/>
                <w:b w:val="1"/>
                <w:bCs w:val="1"/>
                <w:color w:val="auto"/>
                <w:w w:val="97"/>
              </w:rPr>
              <w:t>Weighted</w:t>
            </w:r>
          </w:p>
        </w:tc>
        <w:tc>
          <w:tcPr>
            <w:tcW w:w="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jc w:val="center"/>
              <w:ind w:right="240"/>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center"/>
              <w:ind w:right="240"/>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21"/>
              <w:spacing w:after="0" w:line="228" w:lineRule="exact"/>
              <w:rPr>
                <w:sz w:val="20"/>
                <w:szCs w:val="20"/>
                <w:color w:val="auto"/>
              </w:rPr>
            </w:pPr>
            <w:r>
              <w:rPr>
                <w:rFonts w:ascii="Times New Roman" w:cs="Times New Roman" w:eastAsia="Times New Roman" w:hAnsi="Times New Roman"/>
                <w:sz w:val="20"/>
                <w:szCs w:val="20"/>
                <w:b w:val="1"/>
                <w:bCs w:val="1"/>
                <w:color w:val="auto"/>
                <w:w w:val="99"/>
              </w:rPr>
              <w:t>Outstanding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3"/>
          </w:tcPr>
          <w:p>
            <w:pPr>
              <w:jc w:val="center"/>
              <w:ind w:right="240"/>
              <w:spacing w:after="0" w:line="228" w:lineRule="exact"/>
              <w:rPr>
                <w:sz w:val="20"/>
                <w:szCs w:val="20"/>
                <w:color w:val="auto"/>
              </w:rPr>
            </w:pPr>
            <w:r>
              <w:rPr>
                <w:rFonts w:ascii="Times New Roman" w:cs="Times New Roman" w:eastAsia="Times New Roman" w:hAnsi="Times New Roman"/>
                <w:sz w:val="20"/>
                <w:szCs w:val="20"/>
                <w:b w:val="1"/>
                <w:bCs w:val="1"/>
                <w:color w:val="auto"/>
                <w:w w:val="96"/>
              </w:rPr>
              <w:t>Cash</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Percentage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right"/>
              <w:ind w:right="1"/>
              <w:spacing w:after="0" w:line="228" w:lineRule="exact"/>
              <w:rPr>
                <w:sz w:val="20"/>
                <w:szCs w:val="20"/>
                <w:color w:val="auto"/>
              </w:rPr>
            </w:pPr>
            <w:r>
              <w:rPr>
                <w:rFonts w:ascii="Times New Roman" w:cs="Times New Roman" w:eastAsia="Times New Roman" w:hAnsi="Times New Roman"/>
                <w:sz w:val="20"/>
                <w:szCs w:val="20"/>
                <w:b w:val="1"/>
                <w:bCs w:val="1"/>
                <w:color w:val="auto"/>
                <w:w w:val="99"/>
              </w:rPr>
              <w:t>Outstanding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center"/>
              <w:ind w:right="260"/>
              <w:spacing w:after="0" w:line="228" w:lineRule="exact"/>
              <w:rPr>
                <w:sz w:val="20"/>
                <w:szCs w:val="20"/>
                <w:color w:val="auto"/>
              </w:rPr>
            </w:pPr>
            <w:r>
              <w:rPr>
                <w:rFonts w:ascii="Times New Roman" w:cs="Times New Roman" w:eastAsia="Times New Roman" w:hAnsi="Times New Roman"/>
                <w:sz w:val="20"/>
                <w:szCs w:val="20"/>
                <w:b w:val="1"/>
                <w:bCs w:val="1"/>
                <w:color w:val="auto"/>
              </w:rPr>
              <w:t>Cash</w:t>
            </w:r>
          </w:p>
        </w:tc>
        <w:tc>
          <w:tcPr>
            <w:tcW w:w="20" w:type="dxa"/>
            <w:vAlign w:val="bottom"/>
          </w:tcPr>
          <w:p>
            <w:pPr>
              <w:spacing w:after="0"/>
              <w:rPr>
                <w:sz w:val="19"/>
                <w:szCs w:val="19"/>
                <w:color w:val="auto"/>
              </w:rPr>
            </w:pPr>
          </w:p>
        </w:tc>
        <w:tc>
          <w:tcPr>
            <w:tcW w:w="1620" w:type="dxa"/>
            <w:vAlign w:val="bottom"/>
            <w:gridSpan w:val="2"/>
          </w:tcPr>
          <w:p>
            <w:pPr>
              <w:jc w:val="right"/>
              <w:ind w:right="360"/>
              <w:spacing w:after="0" w:line="228" w:lineRule="exact"/>
              <w:rPr>
                <w:sz w:val="20"/>
                <w:szCs w:val="20"/>
                <w:color w:val="auto"/>
              </w:rPr>
            </w:pPr>
            <w:r>
              <w:rPr>
                <w:rFonts w:ascii="Times New Roman" w:cs="Times New Roman" w:eastAsia="Times New Roman" w:hAnsi="Times New Roman"/>
                <w:sz w:val="20"/>
                <w:szCs w:val="20"/>
                <w:b w:val="1"/>
                <w:bCs w:val="1"/>
                <w:color w:val="auto"/>
              </w:rPr>
              <w:t>Percentage of</w:t>
            </w:r>
          </w:p>
        </w:tc>
        <w:tc>
          <w:tcPr>
            <w:tcW w:w="0" w:type="dxa"/>
            <w:vAlign w:val="bottom"/>
          </w:tcPr>
          <w:p>
            <w:pPr>
              <w:spacing w:after="0"/>
              <w:rPr>
                <w:sz w:val="1"/>
                <w:szCs w:val="1"/>
                <w:color w:val="auto"/>
              </w:rPr>
            </w:pPr>
          </w:p>
        </w:tc>
      </w:tr>
      <w:tr>
        <w:trPr>
          <w:trHeight w:val="251"/>
        </w:trPr>
        <w:tc>
          <w:tcPr>
            <w:tcW w:w="1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Rate Floor</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Coupon</w:t>
            </w:r>
          </w:p>
        </w:tc>
        <w:tc>
          <w:tcPr>
            <w:tcW w:w="2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of Portfolio</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Coupon</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Portfolio</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8.50%</w:t>
            </w: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44,642,571</w:t>
            </w:r>
          </w:p>
        </w:tc>
        <w:tc>
          <w:tcPr>
            <w:tcW w:w="80" w:type="dxa"/>
            <w:vAlign w:val="bottom"/>
          </w:tcPr>
          <w:p>
            <w:pPr>
              <w:spacing w:after="0"/>
              <w:rPr>
                <w:sz w:val="20"/>
                <w:szCs w:val="20"/>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13.3%</w:t>
            </w:r>
          </w:p>
        </w:tc>
        <w:tc>
          <w:tcPr>
            <w:tcW w:w="20" w:type="dxa"/>
            <w:vAlign w:val="bottom"/>
          </w:tcPr>
          <w:p>
            <w:pPr>
              <w:spacing w:after="0"/>
              <w:rPr>
                <w:sz w:val="20"/>
                <w:szCs w:val="20"/>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10.9%</w:t>
            </w:r>
          </w:p>
        </w:tc>
        <w:tc>
          <w:tcPr>
            <w:tcW w:w="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51,068,629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13.6%</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41"/>
        </w:trPr>
        <w:tc>
          <w:tcPr>
            <w:tcW w:w="16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8.00%</w:t>
            </w:r>
          </w:p>
        </w:tc>
        <w:tc>
          <w:tcPr>
            <w:tcW w:w="16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0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1,380,000</w:t>
            </w:r>
          </w:p>
        </w:tc>
        <w:tc>
          <w:tcPr>
            <w:tcW w:w="140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15.5%</w:t>
            </w:r>
          </w:p>
        </w:tc>
        <w:tc>
          <w:tcPr>
            <w:tcW w:w="1420" w:type="dxa"/>
            <w:vAlign w:val="bottom"/>
            <w:gridSpan w:val="4"/>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0.3%</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8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7,620,000</w:t>
            </w:r>
          </w:p>
        </w:tc>
        <w:tc>
          <w:tcPr>
            <w:tcW w:w="138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14.7%</w:t>
            </w:r>
          </w:p>
        </w:tc>
        <w:tc>
          <w:tcPr>
            <w:tcW w:w="16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7.75%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14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16,880,308</w:t>
            </w: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18.1%</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41"/>
        </w:trPr>
        <w:tc>
          <w:tcPr>
            <w:tcW w:w="16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7.50%</w:t>
            </w:r>
          </w:p>
        </w:tc>
        <w:tc>
          <w:tcPr>
            <w:tcW w:w="16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0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62,121,045</w:t>
            </w:r>
          </w:p>
        </w:tc>
        <w:tc>
          <w:tcPr>
            <w:tcW w:w="140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14.1%</w:t>
            </w:r>
          </w:p>
        </w:tc>
        <w:tc>
          <w:tcPr>
            <w:tcW w:w="1420" w:type="dxa"/>
            <w:vAlign w:val="bottom"/>
            <w:gridSpan w:val="4"/>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15.1%</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8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42,839,358</w:t>
            </w:r>
          </w:p>
        </w:tc>
        <w:tc>
          <w:tcPr>
            <w:tcW w:w="138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14.4%</w:t>
            </w:r>
          </w:p>
        </w:tc>
        <w:tc>
          <w:tcPr>
            <w:tcW w:w="16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7.00%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89,852,341</w:t>
            </w:r>
          </w:p>
        </w:tc>
        <w:tc>
          <w:tcPr>
            <w:tcW w:w="14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10.7%</w:t>
            </w:r>
          </w:p>
        </w:tc>
        <w:tc>
          <w:tcPr>
            <w:tcW w:w="14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21.9%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75,902,295</w:t>
            </w: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11.1%</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18.8%</w:t>
            </w:r>
          </w:p>
        </w:tc>
        <w:tc>
          <w:tcPr>
            <w:tcW w:w="0" w:type="dxa"/>
            <w:vAlign w:val="bottom"/>
          </w:tcPr>
          <w:p>
            <w:pPr>
              <w:spacing w:after="0"/>
              <w:rPr>
                <w:sz w:val="1"/>
                <w:szCs w:val="1"/>
                <w:color w:val="auto"/>
              </w:rPr>
            </w:pPr>
          </w:p>
        </w:tc>
      </w:tr>
      <w:tr>
        <w:trPr>
          <w:trHeight w:val="241"/>
        </w:trPr>
        <w:tc>
          <w:tcPr>
            <w:tcW w:w="16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6.25%</w:t>
            </w:r>
          </w:p>
        </w:tc>
        <w:tc>
          <w:tcPr>
            <w:tcW w:w="16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0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15,771,067</w:t>
            </w:r>
          </w:p>
        </w:tc>
        <w:tc>
          <w:tcPr>
            <w:tcW w:w="140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13.3%</w:t>
            </w:r>
          </w:p>
        </w:tc>
        <w:tc>
          <w:tcPr>
            <w:tcW w:w="1420" w:type="dxa"/>
            <w:vAlign w:val="bottom"/>
            <w:gridSpan w:val="4"/>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3.8%</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8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19,324,557</w:t>
            </w:r>
          </w:p>
        </w:tc>
        <w:tc>
          <w:tcPr>
            <w:tcW w:w="138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14.0%</w:t>
            </w:r>
          </w:p>
        </w:tc>
        <w:tc>
          <w:tcPr>
            <w:tcW w:w="16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5.50%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14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580,000</w:t>
            </w: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18.0%</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41"/>
        </w:trPr>
        <w:tc>
          <w:tcPr>
            <w:tcW w:w="16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4.00%</w:t>
            </w:r>
          </w:p>
        </w:tc>
        <w:tc>
          <w:tcPr>
            <w:tcW w:w="16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0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20,427,778</w:t>
            </w:r>
          </w:p>
        </w:tc>
        <w:tc>
          <w:tcPr>
            <w:tcW w:w="140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12.5%</w:t>
            </w:r>
          </w:p>
        </w:tc>
        <w:tc>
          <w:tcPr>
            <w:tcW w:w="1420" w:type="dxa"/>
            <w:vAlign w:val="bottom"/>
            <w:gridSpan w:val="4"/>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8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16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3.72%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5,000,000</w:t>
            </w:r>
          </w:p>
        </w:tc>
        <w:tc>
          <w:tcPr>
            <w:tcW w:w="14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14.0%</w:t>
            </w:r>
          </w:p>
        </w:tc>
        <w:tc>
          <w:tcPr>
            <w:tcW w:w="14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1"/>
        </w:trPr>
        <w:tc>
          <w:tcPr>
            <w:tcW w:w="16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3.25%</w:t>
            </w:r>
          </w:p>
        </w:tc>
        <w:tc>
          <w:tcPr>
            <w:tcW w:w="16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0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1420" w:type="dxa"/>
            <w:vAlign w:val="bottom"/>
            <w:gridSpan w:val="4"/>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0.0%</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8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18,966,668</w:t>
            </w:r>
          </w:p>
        </w:tc>
        <w:tc>
          <w:tcPr>
            <w:tcW w:w="138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27.1%</w:t>
            </w:r>
          </w:p>
        </w:tc>
        <w:tc>
          <w:tcPr>
            <w:tcW w:w="16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17,200,000</w:t>
            </w:r>
          </w:p>
        </w:tc>
        <w:tc>
          <w:tcPr>
            <w:tcW w:w="14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13.3%</w:t>
            </w:r>
          </w:p>
        </w:tc>
        <w:tc>
          <w:tcPr>
            <w:tcW w:w="14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17,400,000</w:t>
            </w: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14.0%</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41"/>
        </w:trPr>
        <w:tc>
          <w:tcPr>
            <w:tcW w:w="17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Fixed-rate</w:t>
            </w: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0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154,680,286</w:t>
            </w:r>
          </w:p>
        </w:tc>
        <w:tc>
          <w:tcPr>
            <w:tcW w:w="100" w:type="dxa"/>
            <w:vAlign w:val="bottom"/>
            <w:gridSpan w:val="2"/>
            <w:shd w:val="clear" w:color="auto" w:fill="E3E3E3"/>
          </w:tcPr>
          <w:p>
            <w:pPr>
              <w:spacing w:after="0"/>
              <w:rPr>
                <w:sz w:val="20"/>
                <w:szCs w:val="20"/>
                <w:color w:val="auto"/>
              </w:rPr>
            </w:pPr>
          </w:p>
        </w:tc>
        <w:tc>
          <w:tcPr>
            <w:tcW w:w="130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11.9%</w:t>
            </w:r>
          </w:p>
        </w:tc>
        <w:tc>
          <w:tcPr>
            <w:tcW w:w="1420" w:type="dxa"/>
            <w:vAlign w:val="bottom"/>
            <w:gridSpan w:val="4"/>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37.6%</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80" w:type="dxa"/>
            <w:vAlign w:val="bottom"/>
            <w:tcBorders>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154,139,739</w:t>
            </w:r>
          </w:p>
        </w:tc>
        <w:tc>
          <w:tcPr>
            <w:tcW w:w="138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12.4%</w:t>
            </w:r>
          </w:p>
        </w:tc>
        <w:tc>
          <w:tcPr>
            <w:tcW w:w="16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38.1%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411,075,088</w:t>
            </w:r>
          </w:p>
        </w:tc>
        <w:tc>
          <w:tcPr>
            <w:tcW w:w="100" w:type="dxa"/>
            <w:vAlign w:val="bottom"/>
            <w:gridSpan w:val="2"/>
            <w:vMerge w:val="continue"/>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12.3%</w:t>
            </w:r>
          </w:p>
        </w:tc>
        <w:tc>
          <w:tcPr>
            <w:tcW w:w="40" w:type="dxa"/>
            <w:vAlign w:val="bottom"/>
            <w:gridSpan w:val="2"/>
            <w:vMerge w:val="continue"/>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100.0%</w:t>
            </w:r>
          </w:p>
        </w:tc>
        <w:tc>
          <w:tcPr>
            <w:tcW w:w="4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404,721,554</w:t>
            </w:r>
          </w:p>
        </w:tc>
        <w:tc>
          <w:tcPr>
            <w:tcW w:w="80" w:type="dxa"/>
            <w:vAlign w:val="bottom"/>
            <w:vMerge w:val="continue"/>
          </w:tcPr>
          <w:p>
            <w:pPr>
              <w:spacing w:after="0"/>
              <w:rPr>
                <w:sz w:val="20"/>
                <w:szCs w:val="20"/>
                <w:color w:val="auto"/>
              </w:rPr>
            </w:pPr>
          </w:p>
        </w:tc>
        <w:tc>
          <w:tcPr>
            <w:tcW w:w="40" w:type="dxa"/>
            <w:vAlign w:val="bottom"/>
            <w:gridSpan w:val="2"/>
            <w:vMerge w:val="continue"/>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13.6%</w:t>
            </w:r>
          </w:p>
        </w:tc>
        <w:tc>
          <w:tcPr>
            <w:tcW w:w="20" w:type="dxa"/>
            <w:vAlign w:val="bottom"/>
            <w:vMerge w:val="continue"/>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100.0%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tables present changes in loans held for investment at carrying value as of and for the years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7"/>
            <w:vMerge w:val="restart"/>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40" w:type="dxa"/>
            <w:vAlign w:val="bottom"/>
          </w:tcPr>
          <w:p>
            <w:pPr>
              <w:spacing w:after="0"/>
              <w:rPr>
                <w:sz w:val="19"/>
                <w:szCs w:val="19"/>
                <w:color w:val="auto"/>
              </w:rPr>
            </w:pPr>
          </w:p>
        </w:tc>
        <w:tc>
          <w:tcPr>
            <w:tcW w:w="1380" w:type="dxa"/>
            <w:vAlign w:val="bottom"/>
            <w:gridSpan w:val="6"/>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7"/>
              </w:rPr>
              <w:t>Current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7"/>
            <w:vMerge w:val="continue"/>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6"/>
          </w:tcPr>
          <w:p>
            <w:pPr>
              <w:jc w:val="center"/>
              <w:ind w:right="380"/>
              <w:spacing w:after="0" w:line="228" w:lineRule="exact"/>
              <w:rPr>
                <w:sz w:val="20"/>
                <w:szCs w:val="20"/>
                <w:color w:val="auto"/>
              </w:rPr>
            </w:pPr>
            <w:r>
              <w:rPr>
                <w:rFonts w:ascii="Times New Roman" w:cs="Times New Roman" w:eastAsia="Times New Roman" w:hAnsi="Times New Roman"/>
                <w:sz w:val="20"/>
                <w:szCs w:val="20"/>
                <w:b w:val="1"/>
                <w:bCs w:val="1"/>
                <w:color w:val="auto"/>
                <w:w w:val="96"/>
              </w:rPr>
              <w:t>Expected</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7"/>
          </w:tcPr>
          <w:p>
            <w:pPr>
              <w:jc w:val="center"/>
              <w:ind w:right="480"/>
              <w:spacing w:after="0" w:line="228" w:lineRule="exact"/>
              <w:rPr>
                <w:sz w:val="20"/>
                <w:szCs w:val="20"/>
                <w:color w:val="auto"/>
              </w:rPr>
            </w:pPr>
            <w:r>
              <w:rPr>
                <w:rFonts w:ascii="Times New Roman" w:cs="Times New Roman" w:eastAsia="Times New Roman" w:hAnsi="Times New Roman"/>
                <w:sz w:val="20"/>
                <w:szCs w:val="20"/>
                <w:b w:val="1"/>
                <w:bCs w:val="1"/>
                <w:color w:val="auto"/>
              </w:rPr>
              <w:t>Issue</w:t>
            </w:r>
          </w:p>
        </w:tc>
        <w:tc>
          <w:tcPr>
            <w:tcW w:w="40" w:type="dxa"/>
            <w:vAlign w:val="bottom"/>
          </w:tcPr>
          <w:p>
            <w:pPr>
              <w:spacing w:after="0"/>
              <w:rPr>
                <w:sz w:val="19"/>
                <w:szCs w:val="19"/>
                <w:color w:val="auto"/>
              </w:rPr>
            </w:pPr>
          </w:p>
        </w:tc>
        <w:tc>
          <w:tcPr>
            <w:tcW w:w="1380" w:type="dxa"/>
            <w:vAlign w:val="bottom"/>
            <w:gridSpan w:val="6"/>
          </w:tcPr>
          <w:p>
            <w:pPr>
              <w:jc w:val="center"/>
              <w:ind w:right="400"/>
              <w:spacing w:after="0" w:line="228" w:lineRule="exact"/>
              <w:rPr>
                <w:sz w:val="20"/>
                <w:szCs w:val="20"/>
                <w:color w:val="auto"/>
              </w:rPr>
            </w:pPr>
            <w:r>
              <w:rPr>
                <w:rFonts w:ascii="Times New Roman" w:cs="Times New Roman" w:eastAsia="Times New Roman" w:hAnsi="Times New Roman"/>
                <w:sz w:val="20"/>
                <w:szCs w:val="20"/>
                <w:b w:val="1"/>
                <w:bCs w:val="1"/>
                <w:color w:val="auto"/>
                <w:w w:val="98"/>
              </w:rPr>
              <w:t>Credit Loss</w:t>
            </w:r>
          </w:p>
        </w:tc>
        <w:tc>
          <w:tcPr>
            <w:tcW w:w="100" w:type="dxa"/>
            <w:vAlign w:val="bottom"/>
          </w:tcPr>
          <w:p>
            <w:pPr>
              <w:spacing w:after="0"/>
              <w:rPr>
                <w:sz w:val="19"/>
                <w:szCs w:val="19"/>
                <w:color w:val="auto"/>
              </w:rPr>
            </w:pPr>
          </w:p>
        </w:tc>
        <w:tc>
          <w:tcPr>
            <w:tcW w:w="118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w w:val="96"/>
              </w:rPr>
              <w:t>Carrying</w:t>
            </w:r>
          </w:p>
        </w:tc>
        <w:tc>
          <w:tcPr>
            <w:tcW w:w="0" w:type="dxa"/>
            <w:vAlign w:val="bottom"/>
          </w:tcPr>
          <w:p>
            <w:pPr>
              <w:spacing w:after="0"/>
              <w:rPr>
                <w:sz w:val="1"/>
                <w:szCs w:val="1"/>
                <w:color w:val="auto"/>
              </w:rPr>
            </w:pPr>
          </w:p>
        </w:tc>
      </w:tr>
      <w:tr>
        <w:trPr>
          <w:trHeight w:val="251"/>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160" w:type="dxa"/>
            <w:vAlign w:val="bottom"/>
          </w:tcPr>
          <w:p>
            <w:pPr>
              <w:spacing w:after="0"/>
              <w:rPr>
                <w:sz w:val="21"/>
                <w:szCs w:val="21"/>
                <w:color w:val="auto"/>
              </w:rPr>
            </w:pPr>
          </w:p>
        </w:tc>
        <w:tc>
          <w:tcPr>
            <w:tcW w:w="1360" w:type="dxa"/>
            <w:vAlign w:val="bottom"/>
            <w:gridSpan w:val="7"/>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40" w:type="dxa"/>
            <w:vAlign w:val="bottom"/>
          </w:tcPr>
          <w:p>
            <w:pPr>
              <w:spacing w:after="0"/>
              <w:rPr>
                <w:sz w:val="21"/>
                <w:szCs w:val="21"/>
                <w:color w:val="auto"/>
              </w:rPr>
            </w:pPr>
          </w:p>
        </w:tc>
        <w:tc>
          <w:tcPr>
            <w:tcW w:w="1380" w:type="dxa"/>
            <w:vAlign w:val="bottom"/>
            <w:gridSpan w:val="6"/>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Reserve</w:t>
            </w:r>
          </w:p>
        </w:tc>
        <w:tc>
          <w:tcPr>
            <w:tcW w:w="10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5"/>
              </w:rPr>
              <w:t>Value</w:t>
            </w:r>
          </w:p>
        </w:tc>
        <w:tc>
          <w:tcPr>
            <w:tcW w:w="0" w:type="dxa"/>
            <w:vAlign w:val="bottom"/>
          </w:tcPr>
          <w:p>
            <w:pPr>
              <w:spacing w:after="0"/>
              <w:rPr>
                <w:sz w:val="1"/>
                <w:szCs w:val="1"/>
                <w:color w:val="auto"/>
              </w:rPr>
            </w:pPr>
          </w:p>
        </w:tc>
      </w:tr>
      <w:tr>
        <w:trPr>
          <w:trHeight w:val="236"/>
        </w:trPr>
        <w:tc>
          <w:tcPr>
            <w:tcW w:w="4660" w:type="dxa"/>
            <w:vAlign w:val="bottom"/>
            <w:tcBorders>
              <w:top w:val="single" w:sz="8" w:color="E3E3E3"/>
            </w:tcBorders>
            <w:gridSpan w:val="4"/>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5"/>
                <w:szCs w:val="5"/>
                <w:b w:val="1"/>
                <w:bCs w:val="1"/>
                <w:color w:val="auto"/>
                <w:w w:val="78"/>
                <w:shd w:val="clear" w:color="auto" w:fill="E3E3E3"/>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404,721,554</w:t>
            </w:r>
          </w:p>
        </w:tc>
        <w:tc>
          <w:tcPr>
            <w:tcW w:w="24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0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(2,244,508</w:t>
            </w:r>
          </w:p>
        </w:tc>
        <w:tc>
          <w:tcPr>
            <w:tcW w:w="20" w:type="dxa"/>
            <w:vAlign w:val="bottom"/>
            <w:tcBorders>
              <w:top w:val="single" w:sz="8" w:color="auto"/>
            </w:tcBorders>
            <w:shd w:val="clear" w:color="auto" w:fill="E3E3E3"/>
          </w:tcPr>
          <w:p>
            <w:pPr>
              <w:spacing w:after="0"/>
              <w:rPr>
                <w:sz w:val="20"/>
                <w:szCs w:val="20"/>
                <w:color w:val="auto"/>
              </w:rPr>
            </w:pPr>
          </w:p>
        </w:tc>
        <w:tc>
          <w:tcPr>
            <w:tcW w:w="20" w:type="dxa"/>
            <w:vAlign w:val="bottom"/>
            <w:tcBorders>
              <w:top w:val="single" w:sz="8" w:color="auto"/>
            </w:tcBorders>
            <w:shd w:val="clear" w:color="auto" w:fill="E3E3E3"/>
          </w:tcPr>
          <w:p>
            <w:pPr>
              <w:spacing w:after="0"/>
              <w:rPr>
                <w:sz w:val="20"/>
                <w:szCs w:val="20"/>
                <w:color w:val="auto"/>
              </w:rPr>
            </w:pPr>
          </w:p>
        </w:tc>
        <w:tc>
          <w:tcPr>
            <w:tcW w:w="200" w:type="dxa"/>
            <w:vAlign w:val="bottom"/>
            <w:tcBorders>
              <w:top w:val="single" w:sz="8" w:color="E3E3E3"/>
            </w:tcBorders>
            <w:shd w:val="clear" w:color="auto" w:fill="E3E3E3"/>
          </w:tcPr>
          <w:p>
            <w:pPr>
              <w:jc w:val="right"/>
              <w:ind w:right="1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4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5"/>
                <w:szCs w:val="5"/>
                <w:b w:val="1"/>
                <w:bCs w:val="1"/>
                <w:color w:val="auto"/>
                <w:w w:val="78"/>
                <w:shd w:val="clear" w:color="auto" w:fill="E3E3E3"/>
              </w:rPr>
              <w:t>$</w:t>
            </w:r>
          </w:p>
        </w:tc>
        <w:tc>
          <w:tcPr>
            <w:tcW w:w="1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(4,346,869</w:t>
            </w:r>
          </w:p>
        </w:tc>
        <w:tc>
          <w:tcPr>
            <w:tcW w:w="20" w:type="dxa"/>
            <w:vAlign w:val="bottom"/>
            <w:tcBorders>
              <w:top w:val="single" w:sz="8" w:color="auto"/>
            </w:tcBorders>
            <w:shd w:val="clear" w:color="auto" w:fill="E3E3E3"/>
          </w:tcPr>
          <w:p>
            <w:pPr>
              <w:spacing w:after="0"/>
              <w:rPr>
                <w:sz w:val="20"/>
                <w:szCs w:val="20"/>
                <w:color w:val="auto"/>
              </w:rPr>
            </w:pPr>
          </w:p>
        </w:tc>
        <w:tc>
          <w:tcPr>
            <w:tcW w:w="20" w:type="dxa"/>
            <w:vAlign w:val="bottom"/>
            <w:tcBorders>
              <w:top w:val="single" w:sz="8" w:color="auto"/>
            </w:tcBorders>
            <w:shd w:val="clear" w:color="auto" w:fill="E3E3E3"/>
          </w:tcPr>
          <w:p>
            <w:pPr>
              <w:spacing w:after="0"/>
              <w:rPr>
                <w:sz w:val="20"/>
                <w:szCs w:val="20"/>
                <w:color w:val="auto"/>
              </w:rPr>
            </w:pPr>
          </w:p>
        </w:tc>
        <w:tc>
          <w:tcPr>
            <w:tcW w:w="20" w:type="dxa"/>
            <w:vAlign w:val="bottom"/>
            <w:tcBorders>
              <w:top w:val="single" w:sz="8" w:color="auto"/>
            </w:tcBorders>
            <w:shd w:val="clear" w:color="auto" w:fill="E3E3E3"/>
          </w:tcPr>
          <w:p>
            <w:pPr>
              <w:spacing w:after="0"/>
              <w:rPr>
                <w:sz w:val="20"/>
                <w:szCs w:val="20"/>
                <w:color w:val="auto"/>
              </w:rPr>
            </w:pPr>
          </w:p>
        </w:tc>
        <w:tc>
          <w:tcPr>
            <w:tcW w:w="180" w:type="dxa"/>
            <w:vAlign w:val="bottom"/>
            <w:tcBorders>
              <w:top w:val="single" w:sz="8" w:color="E3E3E3"/>
            </w:tcBorders>
            <w:shd w:val="clear" w:color="auto" w:fill="E3E3E3"/>
          </w:tcPr>
          <w:p>
            <w:pPr>
              <w:jc w:val="right"/>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top w:val="single" w:sz="8" w:color="E3E3E3"/>
            </w:tcBorders>
            <w:shd w:val="clear" w:color="auto" w:fill="E3E3E3"/>
          </w:tcPr>
          <w:p>
            <w:pPr>
              <w:spacing w:after="0"/>
              <w:rPr>
                <w:sz w:val="20"/>
                <w:szCs w:val="20"/>
                <w:color w:val="auto"/>
              </w:rPr>
            </w:pPr>
          </w:p>
        </w:tc>
        <w:tc>
          <w:tcPr>
            <w:tcW w:w="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E3E3E3"/>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398,130,177</w:t>
            </w:r>
          </w:p>
        </w:tc>
        <w:tc>
          <w:tcPr>
            <w:tcW w:w="8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Purchase of investments</w:t>
            </w:r>
          </w:p>
        </w:tc>
        <w:tc>
          <w:tcPr>
            <w:tcW w:w="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79,412,079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(2,062,541)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77,349,538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Principal repayment of loans</w:t>
            </w:r>
          </w:p>
        </w:tc>
        <w:tc>
          <w:tcPr>
            <w:tcW w:w="60" w:type="dxa"/>
            <w:vAlign w:val="bottom"/>
            <w:shd w:val="clear" w:color="auto" w:fill="E3E3E3"/>
          </w:tcPr>
          <w:p>
            <w:pPr>
              <w:spacing w:after="0"/>
              <w:rPr>
                <w:sz w:val="20"/>
                <w:szCs w:val="20"/>
                <w:color w:val="auto"/>
              </w:rPr>
            </w:pPr>
          </w:p>
        </w:tc>
        <w:tc>
          <w:tcPr>
            <w:tcW w:w="1340" w:type="dxa"/>
            <w:vAlign w:val="bottom"/>
            <w:gridSpan w:val="2"/>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(79,221,108)</w:t>
            </w:r>
          </w:p>
        </w:tc>
        <w:tc>
          <w:tcPr>
            <w:tcW w:w="16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18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(79,221,108)</w:t>
            </w:r>
          </w:p>
        </w:tc>
        <w:tc>
          <w:tcPr>
            <w:tcW w:w="0" w:type="dxa"/>
            <w:vAlign w:val="bottom"/>
          </w:tcPr>
          <w:p>
            <w:pPr>
              <w:spacing w:after="0"/>
              <w:rPr>
                <w:sz w:val="1"/>
                <w:szCs w:val="1"/>
                <w:color w:val="auto"/>
              </w:rPr>
            </w:pPr>
          </w:p>
        </w:tc>
      </w:tr>
      <w:tr>
        <w:trPr>
          <w:trHeight w:val="241"/>
        </w:trPr>
        <w:tc>
          <w:tcPr>
            <w:tcW w:w="46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Accretion of original issue discount</w:t>
            </w:r>
          </w:p>
        </w:tc>
        <w:tc>
          <w:tcPr>
            <w:tcW w:w="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2,187,528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2,187,528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Capitalized PIK Interest</w:t>
            </w:r>
          </w:p>
        </w:tc>
        <w:tc>
          <w:tcPr>
            <w:tcW w:w="6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6,162,563</w:t>
            </w:r>
          </w:p>
        </w:tc>
        <w:tc>
          <w:tcPr>
            <w:tcW w:w="24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6,162,563</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60" w:type="dxa"/>
            <w:vAlign w:val="bottom"/>
            <w:gridSpan w:val="4"/>
          </w:tcPr>
          <w:p>
            <w:pPr>
              <w:ind w:left="200"/>
              <w:spacing w:after="0" w:line="222" w:lineRule="exact"/>
              <w:rPr>
                <w:sz w:val="20"/>
                <w:szCs w:val="20"/>
                <w:color w:val="auto"/>
              </w:rPr>
            </w:pPr>
            <w:r>
              <w:rPr>
                <w:rFonts w:ascii="Times New Roman" w:cs="Times New Roman" w:eastAsia="Times New Roman" w:hAnsi="Times New Roman"/>
                <w:sz w:val="20"/>
                <w:szCs w:val="20"/>
                <w:color w:val="auto"/>
              </w:rPr>
              <w:t>Increase in provision for current expected credit</w:t>
            </w:r>
          </w:p>
        </w:tc>
        <w:tc>
          <w:tcPr>
            <w:tcW w:w="6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5"/>
            <w:vMerge w:val="restart"/>
          </w:tcPr>
          <w:p>
            <w:pPr>
              <w:jc w:val="right"/>
              <w:ind w:right="142"/>
              <w:spacing w:after="0"/>
              <w:rPr>
                <w:sz w:val="20"/>
                <w:szCs w:val="20"/>
                <w:color w:val="auto"/>
              </w:rPr>
            </w:pPr>
            <w:r>
              <w:rPr>
                <w:rFonts w:ascii="Times New Roman" w:cs="Times New Roman" w:eastAsia="Times New Roman" w:hAnsi="Times New Roman"/>
                <w:sz w:val="20"/>
                <w:szCs w:val="20"/>
                <w:color w:val="auto"/>
              </w:rPr>
              <w:t>(715,916)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(715,916)</w:t>
            </w:r>
          </w:p>
        </w:tc>
        <w:tc>
          <w:tcPr>
            <w:tcW w:w="0" w:type="dxa"/>
            <w:vAlign w:val="bottom"/>
          </w:tcPr>
          <w:p>
            <w:pPr>
              <w:spacing w:after="0"/>
              <w:rPr>
                <w:sz w:val="1"/>
                <w:szCs w:val="1"/>
                <w:color w:val="auto"/>
              </w:rPr>
            </w:pPr>
          </w:p>
        </w:tc>
      </w:tr>
      <w:tr>
        <w:trPr>
          <w:trHeight w:val="247"/>
        </w:trPr>
        <w:tc>
          <w:tcPr>
            <w:tcW w:w="46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losses</w:t>
            </w:r>
          </w:p>
        </w:tc>
        <w:tc>
          <w:tcPr>
            <w:tcW w:w="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gridSpan w:val="5"/>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tcBorders>
              <w:top w:val="single" w:sz="8" w:color="E3E3E3"/>
            </w:tcBorders>
            <w:gridSpan w:val="4"/>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5"/>
                <w:szCs w:val="5"/>
                <w:b w:val="1"/>
                <w:bCs w:val="1"/>
                <w:color w:val="auto"/>
                <w:w w:val="78"/>
                <w:shd w:val="clear" w:color="auto" w:fill="E3E3E3"/>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411,075,088</w:t>
            </w:r>
          </w:p>
        </w:tc>
        <w:tc>
          <w:tcPr>
            <w:tcW w:w="24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(2,119,521</w:t>
            </w:r>
          </w:p>
        </w:tc>
        <w:tc>
          <w:tcPr>
            <w:tcW w:w="20" w:type="dxa"/>
            <w:vAlign w:val="bottom"/>
            <w:tcBorders>
              <w:top w:val="single" w:sz="8" w:color="auto"/>
            </w:tcBorders>
            <w:shd w:val="clear" w:color="auto" w:fill="E3E3E3"/>
          </w:tcPr>
          <w:p>
            <w:pPr>
              <w:spacing w:after="0"/>
              <w:rPr>
                <w:sz w:val="20"/>
                <w:szCs w:val="20"/>
                <w:color w:val="auto"/>
              </w:rPr>
            </w:pPr>
          </w:p>
        </w:tc>
        <w:tc>
          <w:tcPr>
            <w:tcW w:w="220" w:type="dxa"/>
            <w:vAlign w:val="bottom"/>
            <w:tcBorders>
              <w:top w:val="single" w:sz="8" w:color="E3E3E3"/>
            </w:tcBorders>
            <w:gridSpan w:val="2"/>
            <w:shd w:val="clear" w:color="auto" w:fill="E3E3E3"/>
          </w:tcPr>
          <w:p>
            <w:pPr>
              <w:jc w:val="right"/>
              <w:ind w:right="17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4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(5,062,785</w:t>
            </w:r>
          </w:p>
        </w:tc>
        <w:tc>
          <w:tcPr>
            <w:tcW w:w="20" w:type="dxa"/>
            <w:vAlign w:val="bottom"/>
            <w:tcBorders>
              <w:top w:val="single" w:sz="8" w:color="auto"/>
            </w:tcBorders>
            <w:shd w:val="clear" w:color="auto" w:fill="E3E3E3"/>
          </w:tcPr>
          <w:p>
            <w:pPr>
              <w:spacing w:after="0"/>
              <w:rPr>
                <w:sz w:val="20"/>
                <w:szCs w:val="20"/>
                <w:color w:val="auto"/>
              </w:rPr>
            </w:pPr>
          </w:p>
        </w:tc>
        <w:tc>
          <w:tcPr>
            <w:tcW w:w="20" w:type="dxa"/>
            <w:vAlign w:val="bottom"/>
            <w:tcBorders>
              <w:top w:val="single" w:sz="8" w:color="auto"/>
            </w:tcBorders>
            <w:shd w:val="clear" w:color="auto" w:fill="E3E3E3"/>
          </w:tcPr>
          <w:p>
            <w:pPr>
              <w:spacing w:after="0"/>
              <w:rPr>
                <w:sz w:val="20"/>
                <w:szCs w:val="20"/>
                <w:color w:val="auto"/>
              </w:rPr>
            </w:pPr>
          </w:p>
        </w:tc>
        <w:tc>
          <w:tcPr>
            <w:tcW w:w="200" w:type="dxa"/>
            <w:vAlign w:val="bottom"/>
            <w:tcBorders>
              <w:top w:val="single" w:sz="8" w:color="E3E3E3"/>
            </w:tcBorders>
            <w:gridSpan w:val="2"/>
            <w:shd w:val="clear" w:color="auto" w:fill="E3E3E3"/>
          </w:tcPr>
          <w:p>
            <w:pPr>
              <w:jc w:val="right"/>
              <w:ind w:right="142"/>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20" w:type="dxa"/>
            <w:vAlign w:val="bottom"/>
            <w:tcBorders>
              <w:top w:val="single" w:sz="8" w:color="E3E3E3"/>
            </w:tcBorders>
            <w:shd w:val="clear" w:color="auto" w:fill="E3E3E3"/>
          </w:tcPr>
          <w:p>
            <w:pPr>
              <w:spacing w:after="0"/>
              <w:rPr>
                <w:sz w:val="20"/>
                <w:szCs w:val="20"/>
                <w:color w:val="auto"/>
              </w:rPr>
            </w:pPr>
          </w:p>
        </w:tc>
        <w:tc>
          <w:tcPr>
            <w:tcW w:w="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E3E3E3"/>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403,892,782</w:t>
            </w:r>
          </w:p>
        </w:tc>
        <w:tc>
          <w:tcPr>
            <w:tcW w:w="8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7"/>
            <w:vMerge w:val="restart"/>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40" w:type="dxa"/>
            <w:vAlign w:val="bottom"/>
          </w:tcPr>
          <w:p>
            <w:pPr>
              <w:spacing w:after="0"/>
              <w:rPr>
                <w:sz w:val="24"/>
                <w:szCs w:val="24"/>
                <w:color w:val="auto"/>
              </w:rPr>
            </w:pPr>
          </w:p>
        </w:tc>
        <w:tc>
          <w:tcPr>
            <w:tcW w:w="1380" w:type="dxa"/>
            <w:vAlign w:val="bottom"/>
            <w:gridSpan w:val="6"/>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7"/>
              </w:rPr>
              <w:t>Current</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7"/>
            <w:vMerge w:val="continue"/>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6"/>
          </w:tcPr>
          <w:p>
            <w:pPr>
              <w:jc w:val="center"/>
              <w:ind w:right="380"/>
              <w:spacing w:after="0" w:line="228" w:lineRule="exact"/>
              <w:rPr>
                <w:sz w:val="20"/>
                <w:szCs w:val="20"/>
                <w:color w:val="auto"/>
              </w:rPr>
            </w:pPr>
            <w:r>
              <w:rPr>
                <w:rFonts w:ascii="Times New Roman" w:cs="Times New Roman" w:eastAsia="Times New Roman" w:hAnsi="Times New Roman"/>
                <w:sz w:val="20"/>
                <w:szCs w:val="20"/>
                <w:b w:val="1"/>
                <w:bCs w:val="1"/>
                <w:color w:val="auto"/>
                <w:w w:val="96"/>
              </w:rPr>
              <w:t>Expected</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7"/>
          </w:tcPr>
          <w:p>
            <w:pPr>
              <w:jc w:val="center"/>
              <w:ind w:right="480"/>
              <w:spacing w:after="0" w:line="228" w:lineRule="exact"/>
              <w:rPr>
                <w:sz w:val="20"/>
                <w:szCs w:val="20"/>
                <w:color w:val="auto"/>
              </w:rPr>
            </w:pPr>
            <w:r>
              <w:rPr>
                <w:rFonts w:ascii="Times New Roman" w:cs="Times New Roman" w:eastAsia="Times New Roman" w:hAnsi="Times New Roman"/>
                <w:sz w:val="20"/>
                <w:szCs w:val="20"/>
                <w:b w:val="1"/>
                <w:bCs w:val="1"/>
                <w:color w:val="auto"/>
              </w:rPr>
              <w:t>Issue</w:t>
            </w:r>
          </w:p>
        </w:tc>
        <w:tc>
          <w:tcPr>
            <w:tcW w:w="40" w:type="dxa"/>
            <w:vAlign w:val="bottom"/>
          </w:tcPr>
          <w:p>
            <w:pPr>
              <w:spacing w:after="0"/>
              <w:rPr>
                <w:sz w:val="19"/>
                <w:szCs w:val="19"/>
                <w:color w:val="auto"/>
              </w:rPr>
            </w:pPr>
          </w:p>
        </w:tc>
        <w:tc>
          <w:tcPr>
            <w:tcW w:w="1380" w:type="dxa"/>
            <w:vAlign w:val="bottom"/>
            <w:gridSpan w:val="6"/>
          </w:tcPr>
          <w:p>
            <w:pPr>
              <w:jc w:val="center"/>
              <w:ind w:right="400"/>
              <w:spacing w:after="0" w:line="228" w:lineRule="exact"/>
              <w:rPr>
                <w:sz w:val="20"/>
                <w:szCs w:val="20"/>
                <w:color w:val="auto"/>
              </w:rPr>
            </w:pPr>
            <w:r>
              <w:rPr>
                <w:rFonts w:ascii="Times New Roman" w:cs="Times New Roman" w:eastAsia="Times New Roman" w:hAnsi="Times New Roman"/>
                <w:sz w:val="20"/>
                <w:szCs w:val="20"/>
                <w:b w:val="1"/>
                <w:bCs w:val="1"/>
                <w:color w:val="auto"/>
                <w:w w:val="98"/>
              </w:rPr>
              <w:t>Credit Loss</w:t>
            </w:r>
          </w:p>
        </w:tc>
        <w:tc>
          <w:tcPr>
            <w:tcW w:w="100" w:type="dxa"/>
            <w:vAlign w:val="bottom"/>
          </w:tcPr>
          <w:p>
            <w:pPr>
              <w:spacing w:after="0"/>
              <w:rPr>
                <w:sz w:val="19"/>
                <w:szCs w:val="19"/>
                <w:color w:val="auto"/>
              </w:rPr>
            </w:pPr>
          </w:p>
        </w:tc>
        <w:tc>
          <w:tcPr>
            <w:tcW w:w="118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w w:val="96"/>
              </w:rPr>
              <w:t>Carrying</w:t>
            </w:r>
          </w:p>
        </w:tc>
        <w:tc>
          <w:tcPr>
            <w:tcW w:w="0" w:type="dxa"/>
            <w:vAlign w:val="bottom"/>
          </w:tcPr>
          <w:p>
            <w:pPr>
              <w:spacing w:after="0"/>
              <w:rPr>
                <w:sz w:val="1"/>
                <w:szCs w:val="1"/>
                <w:color w:val="auto"/>
              </w:rPr>
            </w:pPr>
          </w:p>
        </w:tc>
      </w:tr>
      <w:tr>
        <w:trPr>
          <w:trHeight w:val="251"/>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160" w:type="dxa"/>
            <w:vAlign w:val="bottom"/>
          </w:tcPr>
          <w:p>
            <w:pPr>
              <w:spacing w:after="0"/>
              <w:rPr>
                <w:sz w:val="21"/>
                <w:szCs w:val="21"/>
                <w:color w:val="auto"/>
              </w:rPr>
            </w:pPr>
          </w:p>
        </w:tc>
        <w:tc>
          <w:tcPr>
            <w:tcW w:w="1360" w:type="dxa"/>
            <w:vAlign w:val="bottom"/>
            <w:gridSpan w:val="7"/>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40" w:type="dxa"/>
            <w:vAlign w:val="bottom"/>
          </w:tcPr>
          <w:p>
            <w:pPr>
              <w:spacing w:after="0"/>
              <w:rPr>
                <w:sz w:val="21"/>
                <w:szCs w:val="21"/>
                <w:color w:val="auto"/>
              </w:rPr>
            </w:pPr>
          </w:p>
        </w:tc>
        <w:tc>
          <w:tcPr>
            <w:tcW w:w="1380" w:type="dxa"/>
            <w:vAlign w:val="bottom"/>
            <w:gridSpan w:val="6"/>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Reserve</w:t>
            </w:r>
          </w:p>
        </w:tc>
        <w:tc>
          <w:tcPr>
            <w:tcW w:w="10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5"/>
              </w:rPr>
              <w:t>Value</w:t>
            </w:r>
          </w:p>
        </w:tc>
        <w:tc>
          <w:tcPr>
            <w:tcW w:w="0" w:type="dxa"/>
            <w:vAlign w:val="bottom"/>
          </w:tcPr>
          <w:p>
            <w:pPr>
              <w:spacing w:after="0"/>
              <w:rPr>
                <w:sz w:val="1"/>
                <w:szCs w:val="1"/>
                <w:color w:val="auto"/>
              </w:rPr>
            </w:pPr>
          </w:p>
        </w:tc>
      </w:tr>
      <w:tr>
        <w:trPr>
          <w:trHeight w:val="236"/>
        </w:trPr>
        <w:tc>
          <w:tcPr>
            <w:tcW w:w="4640" w:type="dxa"/>
            <w:vAlign w:val="bottom"/>
            <w:tcBorders>
              <w:top w:val="single" w:sz="8" w:color="E3E3E3"/>
            </w:tcBorders>
            <w:gridSpan w:val="3"/>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20" w:type="dxa"/>
            <w:vAlign w:val="bottom"/>
            <w:tcBorders>
              <w:top w:val="single" w:sz="8" w:color="auto"/>
            </w:tcBorders>
            <w:shd w:val="clear" w:color="auto" w:fill="E3E3E3"/>
          </w:tcPr>
          <w:p>
            <w:pPr>
              <w:spacing w:after="0"/>
              <w:rPr>
                <w:sz w:val="20"/>
                <w:szCs w:val="20"/>
                <w:color w:val="auto"/>
              </w:rPr>
            </w:pPr>
          </w:p>
        </w:tc>
        <w:tc>
          <w:tcPr>
            <w:tcW w:w="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5"/>
                <w:szCs w:val="5"/>
                <w:b w:val="1"/>
                <w:bCs w:val="1"/>
                <w:color w:val="auto"/>
                <w:w w:val="78"/>
                <w:shd w:val="clear" w:color="auto" w:fill="E3E3E3"/>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355,745,305</w:t>
            </w:r>
          </w:p>
        </w:tc>
        <w:tc>
          <w:tcPr>
            <w:tcW w:w="24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0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(2,104,695</w:t>
            </w:r>
          </w:p>
        </w:tc>
        <w:tc>
          <w:tcPr>
            <w:tcW w:w="20" w:type="dxa"/>
            <w:vAlign w:val="bottom"/>
            <w:tcBorders>
              <w:top w:val="single" w:sz="8" w:color="auto"/>
            </w:tcBorders>
            <w:shd w:val="clear" w:color="auto" w:fill="E3E3E3"/>
          </w:tcPr>
          <w:p>
            <w:pPr>
              <w:spacing w:after="0"/>
              <w:rPr>
                <w:sz w:val="20"/>
                <w:szCs w:val="20"/>
                <w:color w:val="auto"/>
              </w:rPr>
            </w:pPr>
          </w:p>
        </w:tc>
        <w:tc>
          <w:tcPr>
            <w:tcW w:w="220" w:type="dxa"/>
            <w:vAlign w:val="bottom"/>
            <w:tcBorders>
              <w:top w:val="single" w:sz="8" w:color="E3E3E3"/>
            </w:tcBorders>
            <w:gridSpan w:val="2"/>
            <w:shd w:val="clear" w:color="auto" w:fill="E3E3E3"/>
          </w:tcPr>
          <w:p>
            <w:pPr>
              <w:jc w:val="right"/>
              <w:ind w:right="175"/>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auto"/>
            </w:tcBorders>
            <w:shd w:val="clear" w:color="auto" w:fill="E3E3E3"/>
          </w:tcPr>
          <w:p>
            <w:pPr>
              <w:spacing w:after="0"/>
              <w:rPr>
                <w:sz w:val="20"/>
                <w:szCs w:val="20"/>
                <w:color w:val="auto"/>
              </w:rPr>
            </w:pPr>
          </w:p>
        </w:tc>
        <w:tc>
          <w:tcPr>
            <w:tcW w:w="4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5"/>
                <w:szCs w:val="5"/>
                <w:b w:val="1"/>
                <w:bCs w:val="1"/>
                <w:color w:val="auto"/>
                <w:w w:val="78"/>
                <w:shd w:val="clear" w:color="auto" w:fill="E3E3E3"/>
              </w:rPr>
              <w:t>$</w:t>
            </w:r>
          </w:p>
        </w:tc>
        <w:tc>
          <w:tcPr>
            <w:tcW w:w="1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(4,972,647</w:t>
            </w:r>
          </w:p>
        </w:tc>
        <w:tc>
          <w:tcPr>
            <w:tcW w:w="20" w:type="dxa"/>
            <w:vAlign w:val="bottom"/>
            <w:tcBorders>
              <w:top w:val="single" w:sz="8" w:color="auto"/>
            </w:tcBorders>
            <w:shd w:val="clear" w:color="auto" w:fill="E3E3E3"/>
          </w:tcPr>
          <w:p>
            <w:pPr>
              <w:spacing w:after="0"/>
              <w:rPr>
                <w:sz w:val="20"/>
                <w:szCs w:val="20"/>
                <w:color w:val="auto"/>
              </w:rPr>
            </w:pPr>
          </w:p>
        </w:tc>
        <w:tc>
          <w:tcPr>
            <w:tcW w:w="20" w:type="dxa"/>
            <w:vAlign w:val="bottom"/>
            <w:tcBorders>
              <w:top w:val="single" w:sz="8" w:color="auto"/>
            </w:tcBorders>
            <w:shd w:val="clear" w:color="auto" w:fill="E3E3E3"/>
          </w:tcPr>
          <w:p>
            <w:pPr>
              <w:spacing w:after="0"/>
              <w:rPr>
                <w:sz w:val="20"/>
                <w:szCs w:val="20"/>
                <w:color w:val="auto"/>
              </w:rPr>
            </w:pPr>
          </w:p>
        </w:tc>
        <w:tc>
          <w:tcPr>
            <w:tcW w:w="200" w:type="dxa"/>
            <w:vAlign w:val="bottom"/>
            <w:tcBorders>
              <w:top w:val="single" w:sz="8" w:color="E3E3E3"/>
            </w:tcBorders>
            <w:gridSpan w:val="2"/>
            <w:shd w:val="clear" w:color="auto" w:fill="E3E3E3"/>
          </w:tcPr>
          <w:p>
            <w:pPr>
              <w:jc w:val="right"/>
              <w:ind w:right="142"/>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20" w:type="dxa"/>
            <w:vAlign w:val="bottom"/>
            <w:tcBorders>
              <w:top w:val="single" w:sz="8" w:color="E3E3E3"/>
            </w:tcBorders>
            <w:shd w:val="clear" w:color="auto" w:fill="E3E3E3"/>
          </w:tcPr>
          <w:p>
            <w:pPr>
              <w:spacing w:after="0"/>
              <w:rPr>
                <w:sz w:val="20"/>
                <w:szCs w:val="20"/>
                <w:color w:val="auto"/>
              </w:rPr>
            </w:pPr>
          </w:p>
        </w:tc>
        <w:tc>
          <w:tcPr>
            <w:tcW w:w="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E3E3E3"/>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348,667,963</w:t>
            </w:r>
          </w:p>
        </w:tc>
        <w:tc>
          <w:tcPr>
            <w:tcW w:w="8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Purchase of investments</w:t>
            </w:r>
          </w:p>
        </w:tc>
        <w:tc>
          <w:tcPr>
            <w:tcW w:w="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161,289,523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(1,836,952)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159,452,571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Principal repayment of loans</w:t>
            </w:r>
          </w:p>
        </w:tc>
        <w:tc>
          <w:tcPr>
            <w:tcW w:w="60" w:type="dxa"/>
            <w:vAlign w:val="bottom"/>
            <w:shd w:val="clear" w:color="auto" w:fill="E3E3E3"/>
          </w:tcPr>
          <w:p>
            <w:pPr>
              <w:spacing w:after="0"/>
              <w:rPr>
                <w:sz w:val="20"/>
                <w:szCs w:val="20"/>
                <w:color w:val="auto"/>
              </w:rPr>
            </w:pPr>
          </w:p>
        </w:tc>
        <w:tc>
          <w:tcPr>
            <w:tcW w:w="1340" w:type="dxa"/>
            <w:vAlign w:val="bottom"/>
            <w:gridSpan w:val="2"/>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(102,461,111)</w:t>
            </w:r>
          </w:p>
        </w:tc>
        <w:tc>
          <w:tcPr>
            <w:tcW w:w="16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18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(102,461,111)</w:t>
            </w:r>
          </w:p>
        </w:tc>
        <w:tc>
          <w:tcPr>
            <w:tcW w:w="0" w:type="dxa"/>
            <w:vAlign w:val="bottom"/>
          </w:tcPr>
          <w:p>
            <w:pPr>
              <w:spacing w:after="0"/>
              <w:rPr>
                <w:sz w:val="1"/>
                <w:szCs w:val="1"/>
                <w:color w:val="auto"/>
              </w:rPr>
            </w:pPr>
          </w:p>
        </w:tc>
      </w:tr>
      <w:tr>
        <w:trPr>
          <w:trHeight w:val="241"/>
        </w:trPr>
        <w:tc>
          <w:tcPr>
            <w:tcW w:w="46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Accretion of original issue discount</w:t>
            </w:r>
          </w:p>
        </w:tc>
        <w:tc>
          <w:tcPr>
            <w:tcW w:w="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1,697,139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60" w:type="dxa"/>
            <w:vAlign w:val="bottom"/>
            <w:gridSpan w:val="4"/>
            <w:shd w:val="clear" w:color="auto" w:fill="E3E3E3"/>
          </w:tcPr>
          <w:p>
            <w:pPr>
              <w:ind w:left="200"/>
              <w:spacing w:after="0" w:line="222" w:lineRule="exact"/>
              <w:rPr>
                <w:sz w:val="20"/>
                <w:szCs w:val="20"/>
                <w:color w:val="auto"/>
              </w:rPr>
            </w:pPr>
            <w:r>
              <w:rPr>
                <w:rFonts w:ascii="Times New Roman" w:cs="Times New Roman" w:eastAsia="Times New Roman" w:hAnsi="Times New Roman"/>
                <w:sz w:val="20"/>
                <w:szCs w:val="20"/>
                <w:color w:val="auto"/>
              </w:rPr>
              <w:t>Transfer of loan held for investment to loan held for</w:t>
            </w:r>
          </w:p>
        </w:tc>
        <w:tc>
          <w:tcPr>
            <w:tcW w:w="60" w:type="dxa"/>
            <w:vAlign w:val="bottom"/>
            <w:shd w:val="clear" w:color="auto" w:fill="E3E3E3"/>
          </w:tcPr>
          <w:p>
            <w:pPr>
              <w:spacing w:after="0"/>
              <w:rPr>
                <w:sz w:val="19"/>
                <w:szCs w:val="19"/>
                <w:color w:val="auto"/>
              </w:rPr>
            </w:pPr>
          </w:p>
        </w:tc>
        <w:tc>
          <w:tcPr>
            <w:tcW w:w="1340" w:type="dxa"/>
            <w:vAlign w:val="bottom"/>
            <w:gridSpan w:val="2"/>
            <w:vMerge w:val="restart"/>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(19,000,000)</w:t>
            </w:r>
          </w:p>
        </w:tc>
        <w:tc>
          <w:tcPr>
            <w:tcW w:w="16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40" w:type="dxa"/>
            <w:vAlign w:val="bottom"/>
            <w:shd w:val="clear" w:color="auto" w:fill="E3E3E3"/>
          </w:tcPr>
          <w:p>
            <w:pPr>
              <w:spacing w:after="0"/>
              <w:rPr>
                <w:sz w:val="19"/>
                <w:szCs w:val="19"/>
                <w:color w:val="auto"/>
              </w:rPr>
            </w:pPr>
          </w:p>
        </w:tc>
        <w:tc>
          <w:tcPr>
            <w:tcW w:w="11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213,913</w:t>
            </w: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180" w:type="dxa"/>
            <w:vAlign w:val="bottom"/>
            <w:gridSpan w:val="2"/>
            <w:vMerge w:val="restart"/>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(18,786,087)</w:t>
            </w:r>
          </w:p>
        </w:tc>
        <w:tc>
          <w:tcPr>
            <w:tcW w:w="0" w:type="dxa"/>
            <w:vAlign w:val="bottom"/>
          </w:tcPr>
          <w:p>
            <w:pPr>
              <w:spacing w:after="0"/>
              <w:rPr>
                <w:sz w:val="1"/>
                <w:szCs w:val="1"/>
                <w:color w:val="auto"/>
              </w:rPr>
            </w:pPr>
          </w:p>
        </w:tc>
      </w:tr>
      <w:tr>
        <w:trPr>
          <w:trHeight w:val="247"/>
        </w:trPr>
        <w:tc>
          <w:tcPr>
            <w:tcW w:w="46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sale</w:t>
            </w:r>
          </w:p>
        </w:tc>
        <w:tc>
          <w:tcPr>
            <w:tcW w:w="60" w:type="dxa"/>
            <w:vAlign w:val="bottom"/>
            <w:shd w:val="clear" w:color="auto" w:fill="E3E3E3"/>
          </w:tcPr>
          <w:p>
            <w:pPr>
              <w:spacing w:after="0"/>
              <w:rPr>
                <w:sz w:val="21"/>
                <w:szCs w:val="21"/>
                <w:color w:val="auto"/>
              </w:rPr>
            </w:pPr>
          </w:p>
        </w:tc>
        <w:tc>
          <w:tcPr>
            <w:tcW w:w="1340" w:type="dxa"/>
            <w:vAlign w:val="bottom"/>
            <w:gridSpan w:val="2"/>
            <w:vMerge w:val="continue"/>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6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40" w:type="dxa"/>
            <w:vAlign w:val="bottom"/>
            <w:shd w:val="clear" w:color="auto" w:fill="E3E3E3"/>
          </w:tcPr>
          <w:p>
            <w:pPr>
              <w:spacing w:after="0"/>
              <w:rPr>
                <w:sz w:val="21"/>
                <w:szCs w:val="21"/>
                <w:color w:val="auto"/>
              </w:rPr>
            </w:pPr>
          </w:p>
        </w:tc>
        <w:tc>
          <w:tcPr>
            <w:tcW w:w="1120" w:type="dxa"/>
            <w:vAlign w:val="bottom"/>
            <w:vMerge w:val="continue"/>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180" w:type="dxa"/>
            <w:vAlign w:val="bottom"/>
            <w:gridSpan w:val="2"/>
            <w:vMerge w:val="continue"/>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6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Capitalized PIK Interest</w:t>
            </w:r>
          </w:p>
        </w:tc>
        <w:tc>
          <w:tcPr>
            <w:tcW w:w="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9,147,837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9,147,837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60" w:type="dxa"/>
            <w:vAlign w:val="bottom"/>
            <w:gridSpan w:val="4"/>
            <w:shd w:val="clear" w:color="auto" w:fill="E3E3E3"/>
          </w:tcPr>
          <w:p>
            <w:pPr>
              <w:ind w:left="200"/>
              <w:spacing w:after="0" w:line="222" w:lineRule="exact"/>
              <w:rPr>
                <w:sz w:val="20"/>
                <w:szCs w:val="20"/>
                <w:color w:val="auto"/>
              </w:rPr>
            </w:pPr>
            <w:r>
              <w:rPr>
                <w:rFonts w:ascii="Times New Roman" w:cs="Times New Roman" w:eastAsia="Times New Roman" w:hAnsi="Times New Roman"/>
                <w:sz w:val="20"/>
                <w:szCs w:val="20"/>
                <w:color w:val="auto"/>
              </w:rPr>
              <w:t>Increase in provision for current expected credit</w:t>
            </w:r>
          </w:p>
        </w:tc>
        <w:tc>
          <w:tcPr>
            <w:tcW w:w="6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40" w:type="dxa"/>
            <w:vAlign w:val="bottom"/>
            <w:shd w:val="clear" w:color="auto" w:fill="E3E3E3"/>
          </w:tcPr>
          <w:p>
            <w:pPr>
              <w:spacing w:after="0"/>
              <w:rPr>
                <w:sz w:val="19"/>
                <w:szCs w:val="19"/>
                <w:color w:val="auto"/>
              </w:rPr>
            </w:pPr>
          </w:p>
        </w:tc>
        <w:tc>
          <w:tcPr>
            <w:tcW w:w="11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losses</w:t>
            </w:r>
          </w:p>
        </w:tc>
        <w:tc>
          <w:tcPr>
            <w:tcW w:w="6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4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411,865</w:t>
            </w: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411,865</w:t>
            </w: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40" w:type="dxa"/>
            <w:vAlign w:val="bottom"/>
            <w:tcBorders>
              <w:top w:val="single" w:sz="8" w:color="auto"/>
            </w:tcBorders>
            <w:gridSpan w:val="2"/>
          </w:tcPr>
          <w:p>
            <w:pPr>
              <w:spacing w:after="0"/>
              <w:rPr>
                <w:sz w:val="20"/>
                <w:szCs w:val="20"/>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404,721,554</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(2,244,508</w:t>
            </w:r>
          </w:p>
        </w:tc>
        <w:tc>
          <w:tcPr>
            <w:tcW w:w="240" w:type="dxa"/>
            <w:vAlign w:val="bottom"/>
            <w:gridSpan w:val="3"/>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(4,346,869</w:t>
            </w:r>
          </w:p>
        </w:tc>
        <w:tc>
          <w:tcPr>
            <w:tcW w:w="20" w:type="dxa"/>
            <w:vAlign w:val="bottom"/>
            <w:tcBorders>
              <w:top w:val="single" w:sz="8" w:color="auto"/>
            </w:tcBorders>
          </w:tcPr>
          <w:p>
            <w:pPr>
              <w:spacing w:after="0"/>
              <w:rPr>
                <w:sz w:val="20"/>
                <w:szCs w:val="20"/>
                <w:color w:val="auto"/>
              </w:rPr>
            </w:pPr>
          </w:p>
        </w:tc>
        <w:tc>
          <w:tcPr>
            <w:tcW w:w="220" w:type="dxa"/>
            <w:vAlign w:val="bottom"/>
            <w:gridSpan w:val="3"/>
          </w:tcPr>
          <w:p>
            <w:pPr>
              <w:jc w:val="right"/>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398,130,177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Portfolio Asset Quality</w:t>
      </w:r>
    </w:p>
    <w:p>
      <w:pPr>
        <w:spacing w:after="0" w:line="22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Our Manager uses an ongoing investment risk rating system to characterize and monitor our outstanding loans. The Manager's investment committee, with input from the portfolio management team, assesses the risk factors of each loan, and assigns a risk rating based on a variety of factors, including, without limitation, payment history, real estate collateral coverage, property type, geographic and local market dynamics, financial performance, enterprise value of the portfolio company, loan</w:t>
      </w:r>
    </w:p>
    <w:p>
      <w:pPr>
        <w:sectPr>
          <w:pgSz w:w="12240" w:h="15840" w:orient="portrait"/>
          <w:cols w:equalWidth="0" w:num="1">
            <w:col w:w="10280"/>
          </w:cols>
          <w:pgMar w:left="1160" w:top="1019" w:right="800" w:bottom="254"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80"/>
          </w:cols>
          <w:pgMar w:left="1160" w:top="1019" w:right="800" w:bottom="254" w:gutter="0" w:footer="0" w:header="0"/>
          <w:type w:val="continuous"/>
        </w:sectPr>
      </w:pPr>
    </w:p>
    <w:bookmarkStart w:id="81" w:name="page82"/>
    <w:bookmarkEnd w:id="81"/>
    <w:p>
      <w:pPr>
        <w:spacing w:after="0" w:line="272" w:lineRule="auto"/>
        <w:rPr>
          <w:sz w:val="20"/>
          <w:szCs w:val="20"/>
          <w:color w:val="auto"/>
        </w:rPr>
      </w:pPr>
      <w:r>
        <w:rPr>
          <w:rFonts w:ascii="Times New Roman" w:cs="Times New Roman" w:eastAsia="Times New Roman" w:hAnsi="Times New Roman"/>
          <w:sz w:val="20"/>
          <w:szCs w:val="20"/>
          <w:color w:val="auto"/>
        </w:rPr>
        <w:t>structure and exit strategy, and project sponsorship. This review is performed quarterly. Based on a 5-point scale, our loans are rated “1” through “5,” from less risk to greater risk, which ratings are defined as follows:</w:t>
      </w:r>
    </w:p>
    <w:p>
      <w:pPr>
        <w:spacing w:after="0" w:line="171" w:lineRule="exact"/>
        <w:rPr>
          <w:sz w:val="20"/>
          <w:szCs w:val="20"/>
          <w:color w:val="auto"/>
        </w:rPr>
      </w:pPr>
    </w:p>
    <w:p>
      <w:pPr>
        <w:ind w:left="80"/>
        <w:spacing w:after="0"/>
        <w:tabs>
          <w:tab w:leader="none" w:pos="5100" w:val="left"/>
        </w:tabs>
        <w:rPr>
          <w:sz w:val="20"/>
          <w:szCs w:val="20"/>
          <w:color w:val="auto"/>
        </w:rPr>
      </w:pPr>
      <w:r>
        <w:rPr>
          <w:rFonts w:ascii="Times New Roman" w:cs="Times New Roman" w:eastAsia="Times New Roman" w:hAnsi="Times New Roman"/>
          <w:sz w:val="20"/>
          <w:szCs w:val="20"/>
          <w:b w:val="1"/>
          <w:bCs w:val="1"/>
          <w:color w:val="auto"/>
        </w:rPr>
        <w:t>Rating</w:t>
      </w:r>
      <w:r>
        <w:rPr>
          <w:sz w:val="20"/>
          <w:szCs w:val="20"/>
          <w:color w:val="auto"/>
        </w:rPr>
        <w:tab/>
      </w:r>
      <w:r>
        <w:rPr>
          <w:rFonts w:ascii="Times New Roman" w:cs="Times New Roman" w:eastAsia="Times New Roman" w:hAnsi="Times New Roman"/>
          <w:sz w:val="20"/>
          <w:szCs w:val="20"/>
          <w:b w:val="1"/>
          <w:bCs w:val="1"/>
          <w:color w:val="auto"/>
        </w:rPr>
        <w:t>Definition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15875</wp:posOffset>
                </wp:positionV>
                <wp:extent cx="45656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6565"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25pt" to="36.35pt,1.25pt" o:allowincell="f" strokecolor="#000000" strokeweight="0.4921pt"/>
            </w:pict>
          </mc:Fallback>
        </mc:AlternateContent>
        <mc:AlternateContent>
          <mc:Choice Requires="wps">
            <w:drawing>
              <wp:anchor simplePos="0" relativeHeight="251657728" behindDoc="1" locked="0" layoutInCell="0" allowOverlap="1">
                <wp:simplePos x="0" y="0"/>
                <wp:positionH relativeFrom="column">
                  <wp:posOffset>527050</wp:posOffset>
                </wp:positionH>
                <wp:positionV relativeFrom="paragraph">
                  <wp:posOffset>15875</wp:posOffset>
                </wp:positionV>
                <wp:extent cx="600075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0"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pt,1.25pt" to="514pt,1.25pt" o:allowincell="f" strokecolor="#000000" strokeweight="0.4921pt"/>
            </w:pict>
          </mc:Fallback>
        </mc:AlternateContent>
      </w:r>
    </w:p>
    <w:p>
      <w:pPr>
        <w:ind w:left="720" w:hanging="408"/>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1"/>
          <w:szCs w:val="1"/>
          <w:color w:val="auto"/>
        </w:rPr>
        <w:drawing>
          <wp:inline distT="0" distB="0" distL="0" distR="0">
            <wp:extent cx="65405" cy="1428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extLst>
                    </a:blip>
                    <a:srcRect/>
                    <a:stretch>
                      <a:fillRect/>
                    </a:stretch>
                  </pic:blipFill>
                  <pic:spPr bwMode="auto">
                    <a:xfrm>
                      <a:off x="0" y="0"/>
                      <a:ext cx="65405" cy="142875"/>
                    </a:xfrm>
                    <a:prstGeom prst="rect">
                      <a:avLst/>
                    </a:prstGeom>
                    <a:noFill/>
                    <a:ln>
                      <a:noFill/>
                    </a:ln>
                  </pic:spPr>
                </pic:pic>
              </a:graphicData>
            </a:graphic>
          </wp:inline>
        </w:drawing>
      </w:r>
      <w:r>
        <w:rPr>
          <w:rFonts w:ascii="Times New Roman" w:cs="Times New Roman" w:eastAsia="Times New Roman" w:hAnsi="Times New Roman"/>
          <w:sz w:val="20"/>
          <w:szCs w:val="20"/>
          <w:color w:val="auto"/>
        </w:rPr>
        <w:t>Very low risk</w:t>
      </w:r>
    </w:p>
    <w:p>
      <w:pPr>
        <w:spacing w:after="0" w:line="21" w:lineRule="exact"/>
        <w:rPr>
          <w:rFonts w:ascii="Times New Roman" w:cs="Times New Roman" w:eastAsia="Times New Roman" w:hAnsi="Times New Roman"/>
          <w:sz w:val="20"/>
          <w:szCs w:val="20"/>
          <w:color w:val="auto"/>
        </w:rPr>
      </w:pPr>
    </w:p>
    <w:p>
      <w:pPr>
        <w:ind w:left="840" w:hanging="528"/>
        <w:spacing w:after="0"/>
        <w:tabs>
          <w:tab w:leader="none" w:pos="8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 risk</w:t>
      </w:r>
    </w:p>
    <w:p>
      <w:pPr>
        <w:spacing w:after="0" w:line="11" w:lineRule="exact"/>
        <w:rPr>
          <w:rFonts w:ascii="Times New Roman" w:cs="Times New Roman" w:eastAsia="Times New Roman" w:hAnsi="Times New Roman"/>
          <w:sz w:val="20"/>
          <w:szCs w:val="20"/>
          <w:color w:val="auto"/>
        </w:rPr>
      </w:pPr>
    </w:p>
    <w:p>
      <w:pPr>
        <w:ind w:left="840" w:hanging="528"/>
        <w:spacing w:after="0"/>
        <w:tabs>
          <w:tab w:leader="none" w:pos="8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Moderate/average risk</w:t>
      </w:r>
    </w:p>
    <w:p>
      <w:pPr>
        <w:spacing w:after="0" w:line="11" w:lineRule="exact"/>
        <w:rPr>
          <w:rFonts w:ascii="Times New Roman" w:cs="Times New Roman" w:eastAsia="Times New Roman" w:hAnsi="Times New Roman"/>
          <w:sz w:val="20"/>
          <w:szCs w:val="20"/>
          <w:color w:val="auto"/>
        </w:rPr>
      </w:pPr>
    </w:p>
    <w:p>
      <w:pPr>
        <w:ind w:left="840" w:hanging="528"/>
        <w:spacing w:after="0"/>
        <w:tabs>
          <w:tab w:leader="none" w:pos="8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risk/potential for loss: a loan that has a risk of realizing a principal loss</w:t>
      </w:r>
    </w:p>
    <w:p>
      <w:pPr>
        <w:spacing w:after="0" w:line="11" w:lineRule="exact"/>
        <w:rPr>
          <w:rFonts w:ascii="Times New Roman" w:cs="Times New Roman" w:eastAsia="Times New Roman" w:hAnsi="Times New Roman"/>
          <w:sz w:val="20"/>
          <w:szCs w:val="20"/>
          <w:color w:val="auto"/>
        </w:rPr>
      </w:pPr>
    </w:p>
    <w:p>
      <w:pPr>
        <w:ind w:left="840" w:right="120" w:hanging="528"/>
        <w:spacing w:after="0" w:line="249" w:lineRule="auto"/>
        <w:tabs>
          <w:tab w:leader="none" w:pos="8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-925830</wp:posOffset>
                </wp:positionV>
                <wp:extent cx="456565" cy="15303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6565" cy="153035"/>
                        </a:xfrm>
                        <a:prstGeom prst="rect">
                          <a:avLst/>
                        </a:prstGeom>
                        <a:solidFill>
                          <a:srgbClr val="E3E3E3"/>
                        </a:solidFill>
                      </wps:spPr>
                      <wps:bodyPr/>
                    </wps:wsp>
                  </a:graphicData>
                </a:graphic>
              </wp:anchor>
            </w:drawing>
          </mc:Choice>
          <mc:Fallback>
            <w:pict>
              <v:rect id="Shape 27" o:spid="_x0000_s1052" style="position:absolute;margin-left:0.4pt;margin-top:-72.8999pt;width:35.9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527050</wp:posOffset>
                </wp:positionH>
                <wp:positionV relativeFrom="paragraph">
                  <wp:posOffset>-925830</wp:posOffset>
                </wp:positionV>
                <wp:extent cx="6001385" cy="15303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1385" cy="153035"/>
                        </a:xfrm>
                        <a:prstGeom prst="rect">
                          <a:avLst/>
                        </a:prstGeom>
                        <a:solidFill>
                          <a:srgbClr val="E3E3E3"/>
                        </a:solidFill>
                      </wps:spPr>
                      <wps:bodyPr/>
                    </wps:wsp>
                  </a:graphicData>
                </a:graphic>
              </wp:anchor>
            </w:drawing>
          </mc:Choice>
          <mc:Fallback>
            <w:pict>
              <v:rect id="Shape 28" o:spid="_x0000_s1053" style="position:absolute;margin-left:41.5pt;margin-top:-72.8999pt;width:472.5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-619760</wp:posOffset>
                </wp:positionV>
                <wp:extent cx="6523355" cy="15303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3355" cy="153035"/>
                        </a:xfrm>
                        <a:prstGeom prst="rect">
                          <a:avLst/>
                        </a:prstGeom>
                        <a:solidFill>
                          <a:srgbClr val="E3E3E3"/>
                        </a:solidFill>
                      </wps:spPr>
                      <wps:bodyPr/>
                    </wps:wsp>
                  </a:graphicData>
                </a:graphic>
              </wp:anchor>
            </w:drawing>
          </mc:Choice>
          <mc:Fallback>
            <w:pict>
              <v:rect id="Shape 29" o:spid="_x0000_s1054" style="position:absolute;margin-left:0.4pt;margin-top:-48.7999pt;width:513.6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-313055</wp:posOffset>
                </wp:positionV>
                <wp:extent cx="6523355" cy="29718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3355" cy="297180"/>
                        </a:xfrm>
                        <a:prstGeom prst="rect">
                          <a:avLst/>
                        </a:prstGeom>
                        <a:solidFill>
                          <a:srgbClr val="E3E3E3"/>
                        </a:solidFill>
                      </wps:spPr>
                      <wps:bodyPr/>
                    </wps:wsp>
                  </a:graphicData>
                </a:graphic>
              </wp:anchor>
            </w:drawing>
          </mc:Choice>
          <mc:Fallback>
            <w:pict>
              <v:rect id="Shape 30" o:spid="_x0000_s1055" style="position:absolute;margin-left:0.4pt;margin-top:-24.6499pt;width:513.65pt;height:2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162"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The risk ratings are primarily determined based on current and historical performance metrics specific to each portfolio company, as well as consideration of future economic conditions and each borrower’s estimated ability to meet debt service requirements. The risk ratings shown in the following table as of December 31, 2025 and 2024 consider borrower specific credit history and performance and reflect a quarterly re-evaluation of overall current macroeconomic conditions affecting the Company’s borrowers, specifically those designated as held for investment. The below table presents the categorization of our loan portfolio on the above rating scale, at carrying value as of December 31, 2025 and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80" w:type="dxa"/>
            <w:vAlign w:val="bottom"/>
            <w:gridSpan w:val="6"/>
          </w:tcPr>
          <w:p>
            <w:pPr>
              <w:ind w:left="52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6"/>
          </w:tcPr>
          <w:p>
            <w:pPr>
              <w:jc w:val="right"/>
              <w:ind w:right="104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0" w:type="dxa"/>
            <w:vAlign w:val="bottom"/>
          </w:tcPr>
          <w:p>
            <w:pPr>
              <w:spacing w:after="0"/>
              <w:rPr>
                <w:sz w:val="1"/>
                <w:szCs w:val="1"/>
                <w:color w:val="auto"/>
              </w:rPr>
            </w:pPr>
          </w:p>
        </w:tc>
      </w:tr>
      <w:tr>
        <w:trPr>
          <w:trHeight w:val="212"/>
        </w:trPr>
        <w:tc>
          <w:tcPr>
            <w:tcW w:w="2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Risk Rating</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auto"/>
                <w:w w:val="98"/>
              </w:rPr>
              <w:t>Percentage of</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vMerge w:val="restart"/>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auto"/>
                <w:w w:val="98"/>
              </w:rPr>
              <w:t>Percentage of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Portfolio</w:t>
            </w:r>
          </w:p>
        </w:tc>
        <w:tc>
          <w:tcPr>
            <w:tcW w:w="6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Portfolio</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17,200,000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42,737,017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41"/>
        </w:trPr>
        <w:tc>
          <w:tcPr>
            <w:tcW w:w="2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1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170,771,521</w:t>
            </w:r>
          </w:p>
        </w:tc>
        <w:tc>
          <w:tcPr>
            <w:tcW w:w="2160" w:type="dxa"/>
            <w:vAlign w:val="bottom"/>
            <w:gridSpan w:val="4"/>
            <w:shd w:val="clear" w:color="auto" w:fill="E3E3E3"/>
          </w:tcPr>
          <w:p>
            <w:pPr>
              <w:jc w:val="right"/>
              <w:ind w:right="420"/>
              <w:spacing w:after="0"/>
              <w:rPr>
                <w:sz w:val="20"/>
                <w:szCs w:val="20"/>
                <w:color w:val="auto"/>
              </w:rPr>
            </w:pPr>
            <w:r>
              <w:rPr>
                <w:rFonts w:ascii="Times New Roman" w:cs="Times New Roman" w:eastAsia="Times New Roman" w:hAnsi="Times New Roman"/>
                <w:sz w:val="20"/>
                <w:szCs w:val="20"/>
                <w:color w:val="auto"/>
              </w:rPr>
              <w:t>41.8%</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243,834,247</w:t>
            </w:r>
          </w:p>
        </w:tc>
        <w:tc>
          <w:tcPr>
            <w:tcW w:w="210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60.6%</w:t>
            </w:r>
          </w:p>
        </w:tc>
        <w:tc>
          <w:tcPr>
            <w:tcW w:w="0" w:type="dxa"/>
            <w:vAlign w:val="bottom"/>
          </w:tcPr>
          <w:p>
            <w:pPr>
              <w:spacing w:after="0"/>
              <w:rPr>
                <w:sz w:val="1"/>
                <w:szCs w:val="1"/>
                <w:color w:val="auto"/>
              </w:rPr>
            </w:pPr>
          </w:p>
        </w:tc>
      </w:tr>
      <w:tr>
        <w:trPr>
          <w:trHeight w:val="241"/>
        </w:trPr>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201,201,645</w:t>
            </w:r>
          </w:p>
        </w:tc>
        <w:tc>
          <w:tcPr>
            <w:tcW w:w="2160" w:type="dxa"/>
            <w:vAlign w:val="bottom"/>
            <w:gridSpan w:val="4"/>
          </w:tcPr>
          <w:p>
            <w:pPr>
              <w:jc w:val="right"/>
              <w:ind w:right="420"/>
              <w:spacing w:after="0"/>
              <w:rPr>
                <w:sz w:val="20"/>
                <w:szCs w:val="20"/>
                <w:color w:val="auto"/>
              </w:rPr>
            </w:pPr>
            <w:r>
              <w:rPr>
                <w:rFonts w:ascii="Times New Roman" w:cs="Times New Roman" w:eastAsia="Times New Roman" w:hAnsi="Times New Roman"/>
                <w:sz w:val="20"/>
                <w:szCs w:val="20"/>
                <w:color w:val="auto"/>
              </w:rPr>
              <w:t>49.2%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77,918,362</w:t>
            </w:r>
          </w:p>
        </w:tc>
        <w:tc>
          <w:tcPr>
            <w:tcW w:w="21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19.4%</w:t>
            </w:r>
          </w:p>
        </w:tc>
        <w:tc>
          <w:tcPr>
            <w:tcW w:w="0" w:type="dxa"/>
            <w:vAlign w:val="bottom"/>
          </w:tcPr>
          <w:p>
            <w:pPr>
              <w:spacing w:after="0"/>
              <w:rPr>
                <w:sz w:val="1"/>
                <w:szCs w:val="1"/>
                <w:color w:val="auto"/>
              </w:rPr>
            </w:pPr>
          </w:p>
        </w:tc>
      </w:tr>
      <w:tr>
        <w:trPr>
          <w:trHeight w:val="241"/>
        </w:trPr>
        <w:tc>
          <w:tcPr>
            <w:tcW w:w="20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1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19,782,401</w:t>
            </w:r>
          </w:p>
        </w:tc>
        <w:tc>
          <w:tcPr>
            <w:tcW w:w="2160" w:type="dxa"/>
            <w:vAlign w:val="bottom"/>
            <w:gridSpan w:val="4"/>
            <w:shd w:val="clear" w:color="auto" w:fill="E3E3E3"/>
          </w:tcPr>
          <w:p>
            <w:pPr>
              <w:jc w:val="right"/>
              <w:ind w:right="420"/>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37,987,420</w:t>
            </w:r>
          </w:p>
        </w:tc>
        <w:tc>
          <w:tcPr>
            <w:tcW w:w="2100" w:type="dxa"/>
            <w:vAlign w:val="bottom"/>
            <w:gridSpan w:val="5"/>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64"/>
        </w:trPr>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60" w:type="dxa"/>
            <w:vAlign w:val="bottom"/>
            <w:gridSpan w:val="4"/>
          </w:tcPr>
          <w:p>
            <w:pPr>
              <w:jc w:val="right"/>
              <w:ind w:right="420"/>
              <w:spacing w:after="0"/>
              <w:rPr>
                <w:sz w:val="20"/>
                <w:szCs w:val="20"/>
                <w:color w:val="auto"/>
              </w:rPr>
            </w:pPr>
            <w:r>
              <w:rPr>
                <w:rFonts w:ascii="Times New Roman" w:cs="Times New Roman" w:eastAsia="Times New Roman" w:hAnsi="Times New Roman"/>
                <w:sz w:val="20"/>
                <w:szCs w:val="20"/>
                <w:color w:val="auto"/>
              </w:rPr>
              <w:t>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1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408,955,567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402,477,046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Collateral Overview</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Our loans to cannabis operators are secured by various types of assets of our borrowers, including real property and certain personal property, including licenses, equipment, receivables, intellectual property and other assets to the extent permitted by applicable laws and the regulations governing our borrowers. As such, we do not have liens on cannabis inventory and cannot foreclose on liens on state licenses as they are generally not transferable. See “</w:t>
      </w:r>
      <w:r>
        <w:rPr>
          <w:rFonts w:ascii="Times New Roman" w:cs="Times New Roman" w:eastAsia="Times New Roman" w:hAnsi="Times New Roman"/>
          <w:sz w:val="20"/>
          <w:szCs w:val="20"/>
          <w:i w:val="1"/>
          <w:iCs w:val="1"/>
          <w:color w:val="auto"/>
        </w:rPr>
        <w:t>Risk Factors — Certain assets of our borrowers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may not be used as collateral or transferred to us due to applicable state laws and regulations governing the cannabis industry, and such restrictions could negatively impact our profitability.</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The table below represents the real estate collateral securing our loans as of December 31, 2025. The real estate collateral values in the table below were determined based on the most recent third-party appraisal available at such time. The real estate that secures our loans is generally appraised by a third party at least once a year, or more frequently as needed.</w:t>
      </w:r>
    </w:p>
    <w:p>
      <w:pPr>
        <w:spacing w:after="0" w:line="147" w:lineRule="exact"/>
        <w:rPr>
          <w:sz w:val="20"/>
          <w:szCs w:val="20"/>
          <w:color w:val="auto"/>
        </w:rPr>
      </w:pPr>
    </w:p>
    <w:p>
      <w:pPr>
        <w:jc w:val="both"/>
        <w:ind w:firstLine="355"/>
        <w:spacing w:after="0" w:line="258" w:lineRule="auto"/>
        <w:rPr>
          <w:sz w:val="20"/>
          <w:szCs w:val="20"/>
          <w:color w:val="auto"/>
        </w:rPr>
      </w:pPr>
      <w:r>
        <w:rPr>
          <w:rFonts w:ascii="Times New Roman" w:cs="Times New Roman" w:eastAsia="Times New Roman" w:hAnsi="Times New Roman"/>
          <w:sz w:val="19"/>
          <w:szCs w:val="19"/>
          <w:color w:val="auto"/>
        </w:rPr>
        <w:t>In the event that a borrower defaults on its loan, we have a number of potential remedies that we may pursue, depending on the nature of the default, the size of the loan, the value of the underlying collateral and the financial condition of the borrower. We may seek to sell the loan to a third party, provide consent to allow the borrower to sell the real estate to a third party, institute a foreclosure proceeding to have the real estate sold or evict the tenant, have the cannabis operations removed from the property and take title to the underlying real estate. We believe the appraised value of the real estate underlying our loans impacts the amount of the recovery we would receive in each such scenario. However, the amount of any such recovery will likely be less than the appraised value of the real estate and may not be sufficient to pay off the remaining balance on the defaulted loan.</w:t>
      </w:r>
    </w:p>
    <w:p>
      <w:pPr>
        <w:spacing w:after="0" w:line="145"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9"/>
          <w:szCs w:val="19"/>
          <w:color w:val="auto"/>
        </w:rPr>
        <w:t>We may pursue a sale of a defaulted loan if we believe that such sale would yield higher proceeds or that the sale could be accomplished more quickly than through a foreclosure proceeding while yielding proceeds comparable to what would be expected from a foreclosure sale. To the extent that we determine that the proceeds are more likely to be maximized through instituting a foreclosure sale or through taking title to the underlying property, we will be subject to the rules and regulations under state law that govern foreclosure sales and NASDAQ listing standards that do not permit us to take title to real estate while it is being used to conduct cannabis -related activities. If we foreclose on properties securing our loans, we may have difficulty selling such properties and may be forced to sell a property to a lower quality operator or to a party outside of the cannabis industry. Therefore, appraisal-based real estate collateral values shown in the table below may not equal the value of such real</w:t>
      </w:r>
    </w:p>
    <w:p>
      <w:pPr>
        <w:sectPr>
          <w:pgSz w:w="12240" w:h="15840" w:orient="portrait"/>
          <w:cols w:equalWidth="0" w:num="1">
            <w:col w:w="10280"/>
          </w:cols>
          <w:pgMar w:left="1160" w:top="1009" w:right="800" w:bottom="254"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80"/>
          </w:cols>
          <w:pgMar w:left="1160" w:top="1009" w:right="800" w:bottom="254" w:gutter="0" w:footer="0" w:header="0"/>
          <w:type w:val="continuous"/>
        </w:sectPr>
      </w:pPr>
    </w:p>
    <w:bookmarkStart w:id="82" w:name="page83"/>
    <w:bookmarkEnd w:id="82"/>
    <w:p>
      <w:pPr>
        <w:jc w:val="both"/>
        <w:spacing w:after="0" w:line="242" w:lineRule="auto"/>
        <w:rPr>
          <w:sz w:val="20"/>
          <w:szCs w:val="20"/>
          <w:color w:val="auto"/>
        </w:rPr>
      </w:pPr>
      <w:r>
        <w:rPr>
          <w:rFonts w:ascii="Times New Roman" w:cs="Times New Roman" w:eastAsia="Times New Roman" w:hAnsi="Times New Roman"/>
          <w:sz w:val="20"/>
          <w:szCs w:val="20"/>
          <w:color w:val="auto"/>
        </w:rPr>
        <w:t>estate if it were to be sold to a third party in a foreclosure or similar proceeding. We may seek to sell a defaulted loan prior to commencing a foreclosure proceeding or during a foreclosure proceeding to a purchaser that is not required to comply with NASDAQ listing standards. We believe a third-party purchaser that is not subject to NASDAQ listing standards may be able to realize greater value from real estate and other collateral securing our loans. However, we can provide no assurances that a third party would buy such loans or that the sales price of such loans would be sufficient to recover the outstanding principal balance, accrued interest, and fees. See “</w:t>
      </w:r>
      <w:r>
        <w:rPr>
          <w:rFonts w:ascii="Times New Roman" w:cs="Times New Roman" w:eastAsia="Times New Roman" w:hAnsi="Times New Roman"/>
          <w:sz w:val="20"/>
          <w:szCs w:val="20"/>
          <w:i w:val="1"/>
          <w:iCs w:val="1"/>
          <w:color w:val="auto"/>
        </w:rPr>
        <w:t>Risk Factors — We will not own real estate as long as it is used in cannabis-related operations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due to current statutory prohibitions and exchange listing standards, which may delay or limit our remedies in the event that any of our borrowers default under the terms of their mortgage loans with us</w:t>
      </w:r>
      <w:r>
        <w:rPr>
          <w:rFonts w:ascii="Times New Roman" w:cs="Times New Roman" w:eastAsia="Times New Roman" w:hAnsi="Times New Roman"/>
          <w:sz w:val="20"/>
          <w:szCs w:val="20"/>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Our Real Estate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Principal Balance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41"/>
              <w:spacing w:after="0" w:line="182" w:lineRule="exact"/>
              <w:rPr>
                <w:sz w:val="20"/>
                <w:szCs w:val="20"/>
                <w:color w:val="auto"/>
              </w:rPr>
            </w:pPr>
            <w:r>
              <w:rPr>
                <w:rFonts w:ascii="Times New Roman" w:cs="Times New Roman" w:eastAsia="Times New Roman" w:hAnsi="Times New Roman"/>
                <w:sz w:val="16"/>
                <w:szCs w:val="16"/>
                <w:b w:val="1"/>
                <w:bCs w:val="1"/>
                <w:color w:val="auto"/>
                <w:w w:val="97"/>
              </w:rPr>
              <w:t>Collateral Coverage</w:t>
            </w: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w w:val="97"/>
              </w:rPr>
              <w:t>as of December 31,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21"/>
              <w:spacing w:after="0" w:line="182" w:lineRule="exact"/>
              <w:rPr>
                <w:sz w:val="20"/>
                <w:szCs w:val="20"/>
                <w:color w:val="auto"/>
              </w:rPr>
            </w:pPr>
            <w:r>
              <w:rPr>
                <w:rFonts w:ascii="Times New Roman" w:cs="Times New Roman" w:eastAsia="Times New Roman" w:hAnsi="Times New Roman"/>
                <w:sz w:val="16"/>
                <w:szCs w:val="16"/>
                <w:b w:val="1"/>
                <w:bCs w:val="1"/>
                <w:color w:val="auto"/>
                <w:w w:val="97"/>
              </w:rPr>
              <w:t>Implied Real Estate</w:t>
            </w:r>
          </w:p>
        </w:tc>
        <w:tc>
          <w:tcPr>
            <w:tcW w:w="200" w:type="dxa"/>
            <w:vAlign w:val="bottom"/>
          </w:tcPr>
          <w:p>
            <w:pPr>
              <w:spacing w:after="0"/>
              <w:rPr>
                <w:sz w:val="15"/>
                <w:szCs w:val="15"/>
                <w:color w:val="auto"/>
              </w:rPr>
            </w:pPr>
          </w:p>
        </w:tc>
        <w:tc>
          <w:tcPr>
            <w:tcW w:w="1620" w:type="dxa"/>
            <w:vAlign w:val="bottom"/>
            <w:gridSpan w:val="2"/>
          </w:tcPr>
          <w:p>
            <w:pPr>
              <w:jc w:val="center"/>
              <w:ind w:right="41"/>
              <w:spacing w:after="0" w:line="182" w:lineRule="exact"/>
              <w:rPr>
                <w:sz w:val="20"/>
                <w:szCs w:val="20"/>
                <w:color w:val="auto"/>
              </w:rPr>
            </w:pPr>
            <w:r>
              <w:rPr>
                <w:rFonts w:ascii="Times New Roman" w:cs="Times New Roman" w:eastAsia="Times New Roman" w:hAnsi="Times New Roman"/>
                <w:sz w:val="16"/>
                <w:szCs w:val="16"/>
                <w:b w:val="1"/>
                <w:bCs w:val="1"/>
                <w:color w:val="auto"/>
                <w:w w:val="97"/>
              </w:rPr>
              <w:t>as of December 31,</w:t>
            </w:r>
          </w:p>
        </w:tc>
        <w:tc>
          <w:tcPr>
            <w:tcW w:w="0" w:type="dxa"/>
            <w:vAlign w:val="bottom"/>
          </w:tcPr>
          <w:p>
            <w:pPr>
              <w:spacing w:after="0"/>
              <w:rPr>
                <w:sz w:val="1"/>
                <w:szCs w:val="1"/>
                <w:color w:val="auto"/>
              </w:rPr>
            </w:pPr>
          </w:p>
        </w:tc>
      </w:tr>
      <w:tr>
        <w:trPr>
          <w:trHeight w:val="201"/>
        </w:trPr>
        <w:tc>
          <w:tcPr>
            <w:tcW w:w="4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Loan</w:t>
            </w:r>
          </w:p>
        </w:tc>
        <w:tc>
          <w:tcPr>
            <w:tcW w:w="140" w:type="dxa"/>
            <w:vAlign w:val="bottom"/>
          </w:tcPr>
          <w:p>
            <w:pPr>
              <w:spacing w:after="0"/>
              <w:rPr>
                <w:sz w:val="17"/>
                <w:szCs w:val="17"/>
                <w:color w:val="auto"/>
              </w:rPr>
            </w:pPr>
          </w:p>
        </w:tc>
        <w:tc>
          <w:tcPr>
            <w:tcW w:w="2340" w:type="dxa"/>
            <w:vAlign w:val="bottom"/>
          </w:tcPr>
          <w:p>
            <w:pPr>
              <w:ind w:left="720"/>
              <w:spacing w:after="0" w:line="201" w:lineRule="exact"/>
              <w:rPr>
                <w:sz w:val="20"/>
                <w:szCs w:val="20"/>
                <w:color w:val="auto"/>
              </w:rPr>
            </w:pPr>
            <w:r>
              <w:rPr>
                <w:rFonts w:ascii="Times New Roman" w:cs="Times New Roman" w:eastAsia="Times New Roman" w:hAnsi="Times New Roman"/>
                <w:sz w:val="16"/>
                <w:szCs w:val="16"/>
                <w:b w:val="1"/>
                <w:bCs w:val="1"/>
                <w:color w:val="auto"/>
              </w:rPr>
              <w:t xml:space="preserve">Loan Type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7"/>
                <w:szCs w:val="17"/>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4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Property Type</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5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6"/>
                <w:szCs w:val="16"/>
                <w:b w:val="1"/>
                <w:bCs w:val="1"/>
                <w:color w:val="auto"/>
                <w:w w:val="96"/>
              </w:rPr>
              <w:t>Collateral for REIT</w:t>
            </w:r>
            <w:r>
              <w:rPr>
                <w:rFonts w:ascii="Times New Roman" w:cs="Times New Roman" w:eastAsia="Times New Roman" w:hAnsi="Times New Roman"/>
                <w:sz w:val="19"/>
                <w:szCs w:val="19"/>
                <w:b w:val="1"/>
                <w:bCs w:val="1"/>
                <w:color w:val="auto"/>
                <w:w w:val="96"/>
                <w:vertAlign w:val="superscript"/>
              </w:rPr>
              <w:t>(2)</w:t>
            </w:r>
          </w:p>
        </w:tc>
        <w:tc>
          <w:tcPr>
            <w:tcW w:w="1720" w:type="dxa"/>
            <w:vAlign w:val="bottom"/>
            <w:gridSpan w:val="2"/>
          </w:tcPr>
          <w:p>
            <w:pPr>
              <w:jc w:val="center"/>
              <w:ind w:left="101"/>
              <w:spacing w:after="0" w:line="201" w:lineRule="exact"/>
              <w:rPr>
                <w:sz w:val="20"/>
                <w:szCs w:val="20"/>
                <w:color w:val="auto"/>
              </w:rPr>
            </w:pPr>
            <w:r>
              <w:rPr>
                <w:rFonts w:ascii="Times New Roman" w:cs="Times New Roman" w:eastAsia="Times New Roman" w:hAnsi="Times New Roman"/>
                <w:sz w:val="16"/>
                <w:szCs w:val="16"/>
                <w:b w:val="1"/>
                <w:bCs w:val="1"/>
                <w:color w:val="auto"/>
                <w:w w:val="90"/>
              </w:rPr>
              <w:t xml:space="preserve">2025 </w:t>
            </w:r>
            <w:r>
              <w:rPr>
                <w:rFonts w:ascii="Times New Roman" w:cs="Times New Roman" w:eastAsia="Times New Roman" w:hAnsi="Times New Roman"/>
                <w:sz w:val="19"/>
                <w:szCs w:val="19"/>
                <w:b w:val="1"/>
                <w:bCs w:val="1"/>
                <w:color w:val="auto"/>
                <w:w w:val="90"/>
                <w:vertAlign w:val="superscript"/>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0" w:type="dxa"/>
            <w:vAlign w:val="bottom"/>
            <w:tcBorders>
              <w:top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40" w:type="dxa"/>
            <w:vAlign w:val="bottom"/>
            <w:tcBorders>
              <w:top w:val="single" w:sz="8" w:color="E3E3E3"/>
            </w:tcBorders>
            <w:shd w:val="clear" w:color="auto" w:fill="E3E3E3"/>
          </w:tcPr>
          <w:p>
            <w:pPr>
              <w:spacing w:after="0"/>
              <w:rPr>
                <w:sz w:val="16"/>
                <w:szCs w:val="16"/>
                <w:color w:val="auto"/>
              </w:rPr>
            </w:pPr>
          </w:p>
        </w:tc>
        <w:tc>
          <w:tcPr>
            <w:tcW w:w="2340" w:type="dxa"/>
            <w:vAlign w:val="bottom"/>
            <w:tcBorders>
              <w:top w:val="single" w:sz="8" w:color="auto"/>
            </w:tcBorders>
            <w:shd w:val="clear" w:color="auto" w:fill="E3E3E3"/>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tcBorders>
              <w:top w:val="single" w:sz="8" w:color="E3E3E3"/>
            </w:tcBorders>
            <w:shd w:val="clear" w:color="auto" w:fill="E3E3E3"/>
          </w:tcPr>
          <w:p>
            <w:pPr>
              <w:spacing w:after="0"/>
              <w:rPr>
                <w:sz w:val="16"/>
                <w:szCs w:val="16"/>
                <w:color w:val="auto"/>
              </w:rPr>
            </w:pPr>
          </w:p>
        </w:tc>
        <w:tc>
          <w:tcPr>
            <w:tcW w:w="1020" w:type="dxa"/>
            <w:vAlign w:val="bottom"/>
            <w:tcBorders>
              <w:top w:val="single" w:sz="8" w:color="auto"/>
            </w:tcBorders>
            <w:shd w:val="clear" w:color="auto" w:fill="E3E3E3"/>
          </w:tcPr>
          <w:p>
            <w:pPr>
              <w:spacing w:after="0"/>
              <w:rPr>
                <w:sz w:val="20"/>
                <w:szCs w:val="20"/>
                <w:color w:val="auto"/>
              </w:rPr>
            </w:pPr>
            <w:r>
              <w:rPr>
                <w:rFonts w:ascii="Times New Roman" w:cs="Times New Roman" w:eastAsia="Times New Roman" w:hAnsi="Times New Roman"/>
                <w:sz w:val="16"/>
                <w:szCs w:val="16"/>
                <w:color w:val="auto"/>
              </w:rPr>
              <w:t>Multi-State</w:t>
            </w:r>
          </w:p>
        </w:tc>
        <w:tc>
          <w:tcPr>
            <w:tcW w:w="140" w:type="dxa"/>
            <w:vAlign w:val="bottom"/>
            <w:tcBorders>
              <w:top w:val="single" w:sz="8" w:color="E3E3E3"/>
            </w:tcBorders>
            <w:shd w:val="clear" w:color="auto" w:fill="E3E3E3"/>
          </w:tcPr>
          <w:p>
            <w:pPr>
              <w:spacing w:after="0"/>
              <w:rPr>
                <w:sz w:val="16"/>
                <w:szCs w:val="16"/>
                <w:color w:val="auto"/>
              </w:rPr>
            </w:pPr>
          </w:p>
        </w:tc>
        <w:tc>
          <w:tcPr>
            <w:tcW w:w="1100" w:type="dxa"/>
            <w:vAlign w:val="bottom"/>
            <w:tcBorders>
              <w:top w:val="single" w:sz="8" w:color="auto"/>
            </w:tcBorders>
            <w:shd w:val="clear" w:color="auto" w:fill="E3E3E3"/>
          </w:tcPr>
          <w:p>
            <w:pPr>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Borders>
              <w:top w:val="single" w:sz="8" w:color="E3E3E3"/>
            </w:tcBorders>
            <w:shd w:val="clear" w:color="auto" w:fill="E3E3E3"/>
          </w:tcPr>
          <w:p>
            <w:pPr>
              <w:spacing w:after="0"/>
              <w:rPr>
                <w:sz w:val="16"/>
                <w:szCs w:val="16"/>
                <w:color w:val="auto"/>
              </w:rPr>
            </w:pPr>
          </w:p>
        </w:tc>
        <w:tc>
          <w:tcPr>
            <w:tcW w:w="280" w:type="dxa"/>
            <w:vAlign w:val="bottom"/>
            <w:tcBorders>
              <w:top w:val="single" w:sz="8" w:color="auto"/>
            </w:tcBorders>
            <w:shd w:val="clear" w:color="auto" w:fill="E3E3E3"/>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15,771,067</w:t>
            </w:r>
          </w:p>
        </w:tc>
        <w:tc>
          <w:tcPr>
            <w:tcW w:w="200" w:type="dxa"/>
            <w:vAlign w:val="bottom"/>
            <w:tcBorders>
              <w:top w:val="single" w:sz="8" w:color="E3E3E3"/>
            </w:tcBorders>
            <w:shd w:val="clear" w:color="auto" w:fill="E3E3E3"/>
          </w:tcPr>
          <w:p>
            <w:pPr>
              <w:spacing w:after="0"/>
              <w:rPr>
                <w:sz w:val="16"/>
                <w:szCs w:val="16"/>
                <w:color w:val="auto"/>
              </w:rPr>
            </w:pPr>
          </w:p>
        </w:tc>
        <w:tc>
          <w:tcPr>
            <w:tcW w:w="8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753,969</w:t>
            </w:r>
          </w:p>
        </w:tc>
        <w:tc>
          <w:tcPr>
            <w:tcW w:w="200" w:type="dxa"/>
            <w:vAlign w:val="bottom"/>
            <w:tcBorders>
              <w:top w:val="single" w:sz="8" w:color="E3E3E3"/>
            </w:tcBorders>
            <w:shd w:val="clear" w:color="auto" w:fill="E3E3E3"/>
          </w:tcPr>
          <w:p>
            <w:pPr>
              <w:spacing w:after="0"/>
              <w:rPr>
                <w:sz w:val="16"/>
                <w:szCs w:val="16"/>
                <w:color w:val="auto"/>
              </w:rPr>
            </w:pPr>
          </w:p>
        </w:tc>
        <w:tc>
          <w:tcPr>
            <w:tcW w:w="1520" w:type="dxa"/>
            <w:vAlign w:val="bottom"/>
            <w:tcBorders>
              <w:top w:val="single" w:sz="8" w:color="auto"/>
            </w:tcBorders>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w w:val="99"/>
              </w:rPr>
              <w:t>0.05</w:t>
            </w:r>
          </w:p>
        </w:tc>
        <w:tc>
          <w:tcPr>
            <w:tcW w:w="10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16"/>
                <w:szCs w:val="16"/>
                <w:color w:val="auto"/>
                <w:w w:val="99"/>
                <w:shd w:val="clear" w:color="auto" w:fill="E3E3E3"/>
              </w:rPr>
              <w:t>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2a</w:t>
            </w:r>
          </w:p>
        </w:tc>
        <w:tc>
          <w:tcPr>
            <w:tcW w:w="140" w:type="dxa"/>
            <w:vAlign w:val="bottom"/>
          </w:tcPr>
          <w:p>
            <w:pPr>
              <w:spacing w:after="0"/>
              <w:rPr>
                <w:sz w:val="17"/>
                <w:szCs w:val="17"/>
                <w:color w:val="auto"/>
              </w:rPr>
            </w:pPr>
          </w:p>
        </w:tc>
        <w:tc>
          <w:tcPr>
            <w:tcW w:w="234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w w:val="99"/>
              </w:rPr>
              <w:t xml:space="preserve">Senior Delayed Draw Term Loan </w:t>
            </w:r>
            <w:r>
              <w:rPr>
                <w:rFonts w:ascii="Times New Roman" w:cs="Times New Roman" w:eastAsia="Times New Roman" w:hAnsi="Times New Roman"/>
                <w:sz w:val="19"/>
                <w:szCs w:val="19"/>
                <w:color w:val="auto"/>
                <w:w w:val="99"/>
                <w:vertAlign w:val="superscript"/>
              </w:rPr>
              <w:t>(3)</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Michigan</w:t>
            </w:r>
          </w:p>
        </w:tc>
        <w:tc>
          <w:tcPr>
            <w:tcW w:w="14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Retail/Industrial</w:t>
            </w:r>
          </w:p>
        </w:tc>
        <w:tc>
          <w:tcPr>
            <w:tcW w:w="1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27,110,506</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54,920,760</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2.03x</w:t>
            </w:r>
          </w:p>
        </w:tc>
        <w:tc>
          <w:tcPr>
            <w:tcW w:w="0" w:type="dxa"/>
            <w:vAlign w:val="bottom"/>
          </w:tcPr>
          <w:p>
            <w:pPr>
              <w:spacing w:after="0"/>
              <w:rPr>
                <w:sz w:val="1"/>
                <w:szCs w:val="1"/>
                <w:color w:val="auto"/>
              </w:rPr>
            </w:pPr>
          </w:p>
        </w:tc>
      </w:tr>
      <w:tr>
        <w:trPr>
          <w:trHeight w:val="18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2b</w:t>
            </w:r>
          </w:p>
        </w:tc>
        <w:tc>
          <w:tcPr>
            <w:tcW w:w="140" w:type="dxa"/>
            <w:vAlign w:val="bottom"/>
            <w:shd w:val="clear" w:color="auto" w:fill="E3E3E3"/>
          </w:tcPr>
          <w:p>
            <w:pPr>
              <w:spacing w:after="0"/>
              <w:rPr>
                <w:sz w:val="16"/>
                <w:szCs w:val="16"/>
                <w:color w:val="auto"/>
              </w:rPr>
            </w:pPr>
          </w:p>
        </w:tc>
        <w:tc>
          <w:tcPr>
            <w:tcW w:w="2340" w:type="dxa"/>
            <w:vAlign w:val="bottom"/>
            <w:shd w:val="clear" w:color="auto" w:fill="E3E3E3"/>
          </w:tcPr>
          <w:p>
            <w:pPr>
              <w:spacing w:after="0" w:line="186" w:lineRule="exact"/>
              <w:rPr>
                <w:sz w:val="20"/>
                <w:szCs w:val="20"/>
                <w:color w:val="auto"/>
              </w:rPr>
            </w:pPr>
            <w:r>
              <w:rPr>
                <w:rFonts w:ascii="Times New Roman" w:cs="Times New Roman" w:eastAsia="Times New Roman" w:hAnsi="Times New Roman"/>
                <w:sz w:val="16"/>
                <w:szCs w:val="16"/>
                <w:color w:val="auto"/>
                <w:w w:val="99"/>
              </w:rPr>
              <w:t xml:space="preserve">Senior Delayed Draw Term Loan </w:t>
            </w:r>
            <w:r>
              <w:rPr>
                <w:rFonts w:ascii="Times New Roman" w:cs="Times New Roman" w:eastAsia="Times New Roman" w:hAnsi="Times New Roman"/>
                <w:sz w:val="19"/>
                <w:szCs w:val="19"/>
                <w:color w:val="auto"/>
                <w:w w:val="99"/>
                <w:vertAlign w:val="superscript"/>
              </w:rPr>
              <w:t>(3)</w:t>
            </w:r>
          </w:p>
        </w:tc>
        <w:tc>
          <w:tcPr>
            <w:tcW w:w="100" w:type="dxa"/>
            <w:vAlign w:val="bottom"/>
            <w:shd w:val="clear" w:color="auto" w:fill="E3E3E3"/>
          </w:tcPr>
          <w:p>
            <w:pPr>
              <w:spacing w:after="0"/>
              <w:rPr>
                <w:sz w:val="16"/>
                <w:szCs w:val="16"/>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Michigan</w:t>
            </w:r>
          </w:p>
        </w:tc>
        <w:tc>
          <w:tcPr>
            <w:tcW w:w="1240" w:type="dxa"/>
            <w:vAlign w:val="bottom"/>
            <w:gridSpan w:val="2"/>
            <w:vMerge w:val="restart"/>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Retail/Industrial</w:t>
            </w:r>
          </w:p>
        </w:tc>
        <w:tc>
          <w:tcPr>
            <w:tcW w:w="420" w:type="dxa"/>
            <w:vAlign w:val="bottom"/>
            <w:gridSpan w:val="2"/>
            <w:vMerge w:val="restart"/>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969,406</w:t>
            </w:r>
          </w:p>
        </w:tc>
        <w:tc>
          <w:tcPr>
            <w:tcW w:w="28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3E3E3"/>
          </w:tcPr>
          <w:p>
            <w:pPr>
              <w:spacing w:after="0"/>
              <w:rPr>
                <w:sz w:val="16"/>
                <w:szCs w:val="16"/>
                <w:color w:val="auto"/>
              </w:rPr>
            </w:pPr>
          </w:p>
        </w:tc>
        <w:tc>
          <w:tcPr>
            <w:tcW w:w="1620" w:type="dxa"/>
            <w:vAlign w:val="bottom"/>
            <w:gridSpan w:val="2"/>
            <w:vMerge w:val="restart"/>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0.00x</w:t>
            </w:r>
          </w:p>
        </w:tc>
        <w:tc>
          <w:tcPr>
            <w:tcW w:w="0" w:type="dxa"/>
            <w:vAlign w:val="bottom"/>
          </w:tcPr>
          <w:p>
            <w:pPr>
              <w:spacing w:after="0"/>
              <w:rPr>
                <w:sz w:val="1"/>
                <w:szCs w:val="1"/>
                <w:color w:val="auto"/>
              </w:rPr>
            </w:pPr>
          </w:p>
        </w:tc>
      </w:tr>
      <w:tr>
        <w:trPr>
          <w:trHeight w:val="192"/>
        </w:trPr>
        <w:tc>
          <w:tcPr>
            <w:tcW w:w="460" w:type="dxa"/>
            <w:vAlign w:val="bottom"/>
            <w:shd w:val="clear" w:color="auto" w:fill="E3E3E3"/>
          </w:tcPr>
          <w:p>
            <w:pPr>
              <w:spacing w:after="0"/>
              <w:rPr>
                <w:sz w:val="16"/>
                <w:szCs w:val="16"/>
                <w:color w:val="auto"/>
              </w:rPr>
            </w:pPr>
          </w:p>
        </w:tc>
        <w:tc>
          <w:tcPr>
            <w:tcW w:w="248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E3E3E3"/>
          </w:tcPr>
          <w:p>
            <w:pPr>
              <w:spacing w:after="0"/>
              <w:rPr>
                <w:sz w:val="16"/>
                <w:szCs w:val="16"/>
                <w:color w:val="auto"/>
              </w:rPr>
            </w:pPr>
          </w:p>
        </w:tc>
        <w:tc>
          <w:tcPr>
            <w:tcW w:w="1020" w:type="dxa"/>
            <w:vAlign w:val="bottom"/>
            <w:shd w:val="clear" w:color="auto" w:fill="E3E3E3"/>
          </w:tcPr>
          <w:p>
            <w:pPr>
              <w:spacing w:after="0"/>
              <w:rPr>
                <w:sz w:val="16"/>
                <w:szCs w:val="16"/>
                <w:color w:val="auto"/>
              </w:rPr>
            </w:pPr>
          </w:p>
        </w:tc>
        <w:tc>
          <w:tcPr>
            <w:tcW w:w="1240" w:type="dxa"/>
            <w:vAlign w:val="bottom"/>
            <w:gridSpan w:val="2"/>
            <w:vMerge w:val="continue"/>
            <w:shd w:val="clear" w:color="auto" w:fill="E3E3E3"/>
          </w:tcPr>
          <w:p>
            <w:pPr>
              <w:spacing w:after="0"/>
              <w:rPr>
                <w:sz w:val="16"/>
                <w:szCs w:val="16"/>
                <w:color w:val="auto"/>
              </w:rPr>
            </w:pPr>
          </w:p>
        </w:tc>
        <w:tc>
          <w:tcPr>
            <w:tcW w:w="420" w:type="dxa"/>
            <w:vAlign w:val="bottom"/>
            <w:gridSpan w:val="2"/>
            <w:vMerge w:val="continue"/>
            <w:shd w:val="clear" w:color="auto" w:fill="E3E3E3"/>
          </w:tcPr>
          <w:p>
            <w:pPr>
              <w:spacing w:after="0"/>
              <w:rPr>
                <w:sz w:val="16"/>
                <w:szCs w:val="16"/>
                <w:color w:val="auto"/>
              </w:rPr>
            </w:pPr>
          </w:p>
        </w:tc>
        <w:tc>
          <w:tcPr>
            <w:tcW w:w="1020" w:type="dxa"/>
            <w:vAlign w:val="bottom"/>
            <w:vMerge w:val="continue"/>
            <w:shd w:val="clear" w:color="auto" w:fill="E3E3E3"/>
          </w:tcPr>
          <w:p>
            <w:pPr>
              <w:spacing w:after="0"/>
              <w:rPr>
                <w:sz w:val="16"/>
                <w:szCs w:val="16"/>
                <w:color w:val="auto"/>
              </w:rPr>
            </w:pPr>
          </w:p>
        </w:tc>
        <w:tc>
          <w:tcPr>
            <w:tcW w:w="280" w:type="dxa"/>
            <w:vAlign w:val="bottom"/>
            <w:gridSpan w:val="2"/>
            <w:vMerge w:val="continue"/>
            <w:shd w:val="clear" w:color="auto" w:fill="E3E3E3"/>
          </w:tcPr>
          <w:p>
            <w:pPr>
              <w:spacing w:after="0"/>
              <w:rPr>
                <w:sz w:val="16"/>
                <w:szCs w:val="16"/>
                <w:color w:val="auto"/>
              </w:rPr>
            </w:pPr>
          </w:p>
        </w:tc>
        <w:tc>
          <w:tcPr>
            <w:tcW w:w="1440" w:type="dxa"/>
            <w:vAlign w:val="bottom"/>
            <w:vMerge w:val="continue"/>
            <w:shd w:val="clear" w:color="auto" w:fill="E3E3E3"/>
          </w:tcPr>
          <w:p>
            <w:pPr>
              <w:spacing w:after="0"/>
              <w:rPr>
                <w:sz w:val="16"/>
                <w:szCs w:val="16"/>
                <w:color w:val="auto"/>
              </w:rPr>
            </w:pPr>
          </w:p>
        </w:tc>
        <w:tc>
          <w:tcPr>
            <w:tcW w:w="200" w:type="dxa"/>
            <w:vAlign w:val="bottom"/>
            <w:shd w:val="clear" w:color="auto" w:fill="E3E3E3"/>
          </w:tcPr>
          <w:p>
            <w:pPr>
              <w:spacing w:after="0"/>
              <w:rPr>
                <w:sz w:val="16"/>
                <w:szCs w:val="16"/>
                <w:color w:val="auto"/>
              </w:rPr>
            </w:pPr>
          </w:p>
        </w:tc>
        <w:tc>
          <w:tcPr>
            <w:tcW w:w="1620" w:type="dxa"/>
            <w:vAlign w:val="bottom"/>
            <w:gridSpan w:val="2"/>
            <w:vMerge w:val="continue"/>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4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Arizona</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6,626,809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9,525,624</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1.44x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line="196" w:lineRule="exact"/>
              <w:rPr>
                <w:sz w:val="20"/>
                <w:szCs w:val="20"/>
                <w:color w:val="auto"/>
              </w:rPr>
            </w:pPr>
            <w:r>
              <w:rPr>
                <w:rFonts w:ascii="Times New Roman" w:cs="Times New Roman" w:eastAsia="Times New Roman" w:hAnsi="Times New Roman"/>
                <w:sz w:val="16"/>
                <w:szCs w:val="16"/>
                <w:color w:val="auto"/>
                <w:w w:val="99"/>
              </w:rPr>
              <w:t xml:space="preserve">Senior Delayed Draw Term Loan </w:t>
            </w:r>
            <w:r>
              <w:rPr>
                <w:rFonts w:ascii="Times New Roman" w:cs="Times New Roman" w:eastAsia="Times New Roman" w:hAnsi="Times New Roman"/>
                <w:sz w:val="19"/>
                <w:szCs w:val="19"/>
                <w:color w:val="auto"/>
                <w:w w:val="99"/>
                <w:vertAlign w:val="superscript"/>
              </w:rPr>
              <w:t>(3)</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Michigan</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Retail/Industrial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3,157,129</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13,200,000</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4.18x</w:t>
            </w:r>
          </w:p>
        </w:tc>
        <w:tc>
          <w:tcPr>
            <w:tcW w:w="0" w:type="dxa"/>
            <w:vAlign w:val="bottom"/>
          </w:tcPr>
          <w:p>
            <w:pPr>
              <w:spacing w:after="0"/>
              <w:rPr>
                <w:sz w:val="1"/>
                <w:szCs w:val="1"/>
                <w:color w:val="auto"/>
              </w:rPr>
            </w:pPr>
          </w:p>
        </w:tc>
      </w:tr>
      <w:tr>
        <w:trPr>
          <w:trHeight w:val="181"/>
        </w:trPr>
        <w:tc>
          <w:tcPr>
            <w:tcW w:w="4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7</w:t>
            </w:r>
          </w:p>
        </w:tc>
        <w:tc>
          <w:tcPr>
            <w:tcW w:w="140" w:type="dxa"/>
            <w:vAlign w:val="bottom"/>
          </w:tcPr>
          <w:p>
            <w:pPr>
              <w:spacing w:after="0"/>
              <w:rPr>
                <w:sz w:val="15"/>
                <w:szCs w:val="15"/>
                <w:color w:val="auto"/>
              </w:rPr>
            </w:pPr>
          </w:p>
        </w:tc>
        <w:tc>
          <w:tcPr>
            <w:tcW w:w="23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tcPr>
          <w:p>
            <w:pPr>
              <w:spacing w:after="0"/>
              <w:rPr>
                <w:sz w:val="15"/>
                <w:szCs w:val="15"/>
                <w:color w:val="auto"/>
              </w:rPr>
            </w:pPr>
          </w:p>
        </w:tc>
        <w:tc>
          <w:tcPr>
            <w:tcW w:w="1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Illinois,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Arizona</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36,130,667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52,609,187</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1.46x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West Virginia</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Retail/Industrial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8,491,943</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14,170,000</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1.67x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9a</w:t>
            </w:r>
          </w:p>
        </w:tc>
        <w:tc>
          <w:tcPr>
            <w:tcW w:w="140" w:type="dxa"/>
            <w:vAlign w:val="bottom"/>
          </w:tcPr>
          <w:p>
            <w:pPr>
              <w:spacing w:after="0"/>
              <w:rPr>
                <w:sz w:val="17"/>
                <w:szCs w:val="17"/>
                <w:color w:val="auto"/>
              </w:rPr>
            </w:pPr>
          </w:p>
        </w:tc>
        <w:tc>
          <w:tcPr>
            <w:tcW w:w="234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w w:val="99"/>
              </w:rPr>
              <w:t xml:space="preserve">Senior Delayed Draw Term Loan </w:t>
            </w:r>
            <w:r>
              <w:rPr>
                <w:rFonts w:ascii="Times New Roman" w:cs="Times New Roman" w:eastAsia="Times New Roman" w:hAnsi="Times New Roman"/>
                <w:sz w:val="19"/>
                <w:szCs w:val="19"/>
                <w:color w:val="auto"/>
                <w:w w:val="99"/>
                <w:vertAlign w:val="superscript"/>
              </w:rPr>
              <w:t>(3)</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Pennsylvania</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14,576,987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10,279,515</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0.71x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9b</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line="196" w:lineRule="exact"/>
              <w:rPr>
                <w:sz w:val="20"/>
                <w:szCs w:val="20"/>
                <w:color w:val="auto"/>
              </w:rPr>
            </w:pPr>
            <w:r>
              <w:rPr>
                <w:rFonts w:ascii="Times New Roman" w:cs="Times New Roman" w:eastAsia="Times New Roman" w:hAnsi="Times New Roman"/>
                <w:sz w:val="16"/>
                <w:szCs w:val="16"/>
                <w:color w:val="auto"/>
                <w:w w:val="99"/>
              </w:rPr>
              <w:t xml:space="preserve">Senior Delayed Draw Term Loan </w:t>
            </w:r>
            <w:r>
              <w:rPr>
                <w:rFonts w:ascii="Times New Roman" w:cs="Times New Roman" w:eastAsia="Times New Roman" w:hAnsi="Times New Roman"/>
                <w:sz w:val="19"/>
                <w:szCs w:val="19"/>
                <w:color w:val="auto"/>
                <w:w w:val="99"/>
                <w:vertAlign w:val="superscript"/>
              </w:rPr>
              <w:t>(3)</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Pennsylvania</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14,550,000</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10,260,485</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0.71x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40" w:type="dxa"/>
            <w:vAlign w:val="bottom"/>
          </w:tcPr>
          <w:p>
            <w:pPr>
              <w:spacing w:after="0"/>
              <w:rPr>
                <w:sz w:val="17"/>
                <w:szCs w:val="17"/>
                <w:color w:val="auto"/>
              </w:rPr>
            </w:pPr>
          </w:p>
        </w:tc>
        <w:tc>
          <w:tcPr>
            <w:tcW w:w="234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w w:val="99"/>
              </w:rPr>
              <w:t xml:space="preserve">Senior Delayed Draw Term Loan </w:t>
            </w:r>
            <w:r>
              <w:rPr>
                <w:rFonts w:ascii="Times New Roman" w:cs="Times New Roman" w:eastAsia="Times New Roman" w:hAnsi="Times New Roman"/>
                <w:sz w:val="19"/>
                <w:szCs w:val="19"/>
                <w:color w:val="auto"/>
                <w:w w:val="99"/>
                <w:vertAlign w:val="superscript"/>
              </w:rPr>
              <w:t>(3)</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Multi-State</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15,681,730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4,575,011</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0.29x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line="196" w:lineRule="exact"/>
              <w:rPr>
                <w:sz w:val="20"/>
                <w:szCs w:val="20"/>
                <w:color w:val="auto"/>
              </w:rPr>
            </w:pPr>
            <w:r>
              <w:rPr>
                <w:rFonts w:ascii="Times New Roman" w:cs="Times New Roman" w:eastAsia="Times New Roman" w:hAnsi="Times New Roman"/>
                <w:sz w:val="16"/>
                <w:szCs w:val="16"/>
                <w:color w:val="auto"/>
              </w:rPr>
              <w:t xml:space="preserve">Senior Loan </w:t>
            </w:r>
            <w:r>
              <w:rPr>
                <w:rFonts w:ascii="Times New Roman" w:cs="Times New Roman" w:eastAsia="Times New Roman" w:hAnsi="Times New Roman"/>
                <w:sz w:val="19"/>
                <w:szCs w:val="19"/>
                <w:color w:val="auto"/>
                <w:vertAlign w:val="superscript"/>
              </w:rPr>
              <w:t>(5)</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Florida</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None</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10,957,500</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0.00x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40" w:type="dxa"/>
            <w:vAlign w:val="bottom"/>
          </w:tcPr>
          <w:p>
            <w:pPr>
              <w:spacing w:after="0"/>
              <w:rPr>
                <w:sz w:val="17"/>
                <w:szCs w:val="17"/>
                <w:color w:val="auto"/>
              </w:rPr>
            </w:pPr>
          </w:p>
        </w:tc>
        <w:tc>
          <w:tcPr>
            <w:tcW w:w="234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w w:val="99"/>
              </w:rPr>
              <w:t xml:space="preserve">Senior Delayed Draw Term Loan </w:t>
            </w:r>
            <w:r>
              <w:rPr>
                <w:rFonts w:ascii="Times New Roman" w:cs="Times New Roman" w:eastAsia="Times New Roman" w:hAnsi="Times New Roman"/>
                <w:sz w:val="19"/>
                <w:szCs w:val="19"/>
                <w:color w:val="auto"/>
                <w:w w:val="99"/>
                <w:vertAlign w:val="superscript"/>
              </w:rPr>
              <w:t>(3)</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Ohio</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Retail/Industrial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47,164,373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40,640,000</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0.86x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Florida</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21,359,272</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14,687,807</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0.69x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4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Illinois</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Retail/Industrial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6,557,301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8,119,018</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1.24x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line="196" w:lineRule="exact"/>
              <w:rPr>
                <w:sz w:val="20"/>
                <w:szCs w:val="20"/>
                <w:color w:val="auto"/>
              </w:rPr>
            </w:pPr>
            <w:r>
              <w:rPr>
                <w:rFonts w:ascii="Times New Roman" w:cs="Times New Roman" w:eastAsia="Times New Roman" w:hAnsi="Times New Roman"/>
                <w:sz w:val="16"/>
                <w:szCs w:val="16"/>
                <w:color w:val="auto"/>
                <w:w w:val="99"/>
              </w:rPr>
              <w:t xml:space="preserve">Senior Delayed Draw Term Loan </w:t>
            </w:r>
            <w:r>
              <w:rPr>
                <w:rFonts w:ascii="Times New Roman" w:cs="Times New Roman" w:eastAsia="Times New Roman" w:hAnsi="Times New Roman"/>
                <w:sz w:val="19"/>
                <w:szCs w:val="19"/>
                <w:color w:val="auto"/>
                <w:w w:val="99"/>
                <w:vertAlign w:val="superscript"/>
              </w:rPr>
              <w:t>(3)</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Arizona</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Retail/Industrial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1,380,000</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1,048,529</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0.76x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4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New York</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22,068,401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31,264,217</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1.42x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Nebraska</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17,200,000</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54,100,000</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3.15x</w:t>
            </w:r>
          </w:p>
        </w:tc>
        <w:tc>
          <w:tcPr>
            <w:tcW w:w="0" w:type="dxa"/>
            <w:vAlign w:val="bottom"/>
          </w:tcPr>
          <w:p>
            <w:pPr>
              <w:spacing w:after="0"/>
              <w:rPr>
                <w:sz w:val="1"/>
                <w:szCs w:val="1"/>
                <w:color w:val="auto"/>
              </w:rPr>
            </w:pPr>
          </w:p>
        </w:tc>
      </w:tr>
      <w:tr>
        <w:trPr>
          <w:trHeight w:val="181"/>
        </w:trPr>
        <w:tc>
          <w:tcPr>
            <w:tcW w:w="4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30</w:t>
            </w:r>
          </w:p>
        </w:tc>
        <w:tc>
          <w:tcPr>
            <w:tcW w:w="140" w:type="dxa"/>
            <w:vAlign w:val="bottom"/>
          </w:tcPr>
          <w:p>
            <w:pPr>
              <w:spacing w:after="0"/>
              <w:rPr>
                <w:sz w:val="15"/>
                <w:szCs w:val="15"/>
                <w:color w:val="auto"/>
              </w:rPr>
            </w:pPr>
          </w:p>
        </w:tc>
        <w:tc>
          <w:tcPr>
            <w:tcW w:w="23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Senior Delayed Draw Term Loan</w:t>
            </w:r>
          </w:p>
        </w:tc>
        <w:tc>
          <w:tcPr>
            <w:tcW w:w="100" w:type="dxa"/>
            <w:vAlign w:val="bottom"/>
          </w:tcPr>
          <w:p>
            <w:pPr>
              <w:spacing w:after="0"/>
              <w:rPr>
                <w:sz w:val="15"/>
                <w:szCs w:val="15"/>
                <w:color w:val="auto"/>
              </w:rPr>
            </w:pPr>
          </w:p>
        </w:tc>
        <w:tc>
          <w:tcPr>
            <w:tcW w:w="1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Missouri,</w:t>
            </w: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Retail/Industrial</w:t>
            </w:r>
          </w:p>
        </w:tc>
        <w:tc>
          <w:tcPr>
            <w:tcW w:w="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14,374,936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10,388,865</w:t>
            </w:r>
          </w:p>
        </w:tc>
        <w:tc>
          <w:tcPr>
            <w:tcW w:w="200" w:type="dxa"/>
            <w:vAlign w:val="bottom"/>
          </w:tcPr>
          <w:p>
            <w:pPr>
              <w:spacing w:after="0"/>
              <w:rPr>
                <w:sz w:val="15"/>
                <w:szCs w:val="15"/>
                <w:color w:val="auto"/>
              </w:rPr>
            </w:pPr>
          </w:p>
        </w:tc>
        <w:tc>
          <w:tcPr>
            <w:tcW w:w="16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6"/>
                <w:szCs w:val="16"/>
                <w:color w:val="auto"/>
              </w:rPr>
              <w:t>0.72x</w:t>
            </w: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Arizona</w:t>
            </w:r>
          </w:p>
        </w:tc>
        <w:tc>
          <w:tcPr>
            <w:tcW w:w="1240" w:type="dxa"/>
            <w:vAlign w:val="bottom"/>
            <w:gridSpan w:val="2"/>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6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31</w:t>
            </w:r>
          </w:p>
        </w:tc>
        <w:tc>
          <w:tcPr>
            <w:tcW w:w="140" w:type="dxa"/>
            <w:vAlign w:val="bottom"/>
            <w:shd w:val="clear" w:color="auto" w:fill="E3E3E3"/>
          </w:tcPr>
          <w:p>
            <w:pPr>
              <w:spacing w:after="0"/>
              <w:rPr>
                <w:sz w:val="15"/>
                <w:szCs w:val="15"/>
                <w:color w:val="auto"/>
              </w:rPr>
            </w:pPr>
          </w:p>
        </w:tc>
        <w:tc>
          <w:tcPr>
            <w:tcW w:w="2340" w:type="dxa"/>
            <w:vAlign w:val="bottom"/>
            <w:shd w:val="clear" w:color="auto" w:fill="E3E3E3"/>
          </w:tcPr>
          <w:p>
            <w:pPr>
              <w:spacing w:after="0" w:line="181" w:lineRule="exact"/>
              <w:rPr>
                <w:sz w:val="20"/>
                <w:szCs w:val="20"/>
                <w:color w:val="auto"/>
              </w:rPr>
            </w:pPr>
            <w:r>
              <w:rPr>
                <w:rFonts w:ascii="Times New Roman" w:cs="Times New Roman" w:eastAsia="Times New Roman" w:hAnsi="Times New Roman"/>
                <w:sz w:val="16"/>
                <w:szCs w:val="16"/>
                <w:color w:val="auto"/>
              </w:rPr>
              <w:t xml:space="preserve">Senior Loan </w:t>
            </w:r>
            <w:r>
              <w:rPr>
                <w:rFonts w:ascii="Times New Roman" w:cs="Times New Roman" w:eastAsia="Times New Roman" w:hAnsi="Times New Roman"/>
                <w:sz w:val="19"/>
                <w:szCs w:val="19"/>
                <w:color w:val="auto"/>
                <w:vertAlign w:val="superscript"/>
              </w:rPr>
              <w:t>(5)</w:t>
            </w:r>
          </w:p>
        </w:tc>
        <w:tc>
          <w:tcPr>
            <w:tcW w:w="100" w:type="dxa"/>
            <w:vAlign w:val="bottom"/>
            <w:shd w:val="clear" w:color="auto" w:fill="E3E3E3"/>
          </w:tcPr>
          <w:p>
            <w:pPr>
              <w:spacing w:after="0"/>
              <w:rPr>
                <w:sz w:val="15"/>
                <w:szCs w:val="15"/>
                <w:color w:val="auto"/>
              </w:rPr>
            </w:pPr>
          </w:p>
        </w:tc>
        <w:tc>
          <w:tcPr>
            <w:tcW w:w="1020" w:type="dxa"/>
            <w:vAlign w:val="bottom"/>
            <w:shd w:val="clear" w:color="auto" w:fill="E3E3E3"/>
          </w:tcPr>
          <w:p>
            <w:pPr>
              <w:spacing w:after="0" w:line="181" w:lineRule="exact"/>
              <w:rPr>
                <w:sz w:val="20"/>
                <w:szCs w:val="20"/>
                <w:color w:val="auto"/>
              </w:rPr>
            </w:pPr>
            <w:r>
              <w:rPr>
                <w:rFonts w:ascii="Times New Roman" w:cs="Times New Roman" w:eastAsia="Times New Roman" w:hAnsi="Times New Roman"/>
                <w:sz w:val="16"/>
                <w:szCs w:val="16"/>
                <w:color w:val="auto"/>
              </w:rPr>
              <w:t>California,</w:t>
            </w:r>
          </w:p>
        </w:tc>
        <w:tc>
          <w:tcPr>
            <w:tcW w:w="140" w:type="dxa"/>
            <w:vAlign w:val="bottom"/>
            <w:shd w:val="clear" w:color="auto" w:fill="E3E3E3"/>
          </w:tcPr>
          <w:p>
            <w:pPr>
              <w:spacing w:after="0"/>
              <w:rPr>
                <w:sz w:val="15"/>
                <w:szCs w:val="15"/>
                <w:color w:val="auto"/>
              </w:rPr>
            </w:pPr>
          </w:p>
        </w:tc>
        <w:tc>
          <w:tcPr>
            <w:tcW w:w="110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280" w:type="dxa"/>
            <w:vAlign w:val="bottom"/>
            <w:shd w:val="clear" w:color="auto" w:fill="E3E3E3"/>
          </w:tcPr>
          <w:p>
            <w:pPr>
              <w:spacing w:after="0"/>
              <w:rPr>
                <w:sz w:val="15"/>
                <w:szCs w:val="15"/>
                <w:color w:val="auto"/>
              </w:rPr>
            </w:pPr>
          </w:p>
        </w:tc>
        <w:tc>
          <w:tcPr>
            <w:tcW w:w="1020" w:type="dxa"/>
            <w:vAlign w:val="bottom"/>
            <w:shd w:val="clear" w:color="auto" w:fill="E3E3E3"/>
          </w:tcPr>
          <w:p>
            <w:pPr>
              <w:spacing w:after="0"/>
              <w:rPr>
                <w:sz w:val="15"/>
                <w:szCs w:val="15"/>
                <w:color w:val="auto"/>
              </w:rPr>
            </w:pPr>
          </w:p>
        </w:tc>
        <w:tc>
          <w:tcPr>
            <w:tcW w:w="20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1440" w:type="dxa"/>
            <w:vAlign w:val="bottom"/>
            <w:shd w:val="clear" w:color="auto" w:fill="E3E3E3"/>
          </w:tcPr>
          <w:p>
            <w:pPr>
              <w:spacing w:after="0"/>
              <w:rPr>
                <w:sz w:val="15"/>
                <w:szCs w:val="15"/>
                <w:color w:val="auto"/>
              </w:rPr>
            </w:pPr>
          </w:p>
        </w:tc>
        <w:tc>
          <w:tcPr>
            <w:tcW w:w="200" w:type="dxa"/>
            <w:vAlign w:val="bottom"/>
            <w:shd w:val="clear" w:color="auto" w:fill="E3E3E3"/>
          </w:tcPr>
          <w:p>
            <w:pPr>
              <w:spacing w:after="0"/>
              <w:rPr>
                <w:sz w:val="15"/>
                <w:szCs w:val="15"/>
                <w:color w:val="auto"/>
              </w:rPr>
            </w:pPr>
          </w:p>
        </w:tc>
        <w:tc>
          <w:tcPr>
            <w:tcW w:w="15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60" w:type="dxa"/>
            <w:vAlign w:val="bottom"/>
            <w:shd w:val="clear" w:color="auto" w:fill="E3E3E3"/>
          </w:tcPr>
          <w:p>
            <w:pPr>
              <w:spacing w:after="0"/>
              <w:rPr>
                <w:sz w:val="17"/>
                <w:szCs w:val="17"/>
                <w:color w:val="auto"/>
              </w:rPr>
            </w:pP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Illinois</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7,439,091</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0.00x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4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Arizona</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14,374,376</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1.44x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California</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24,941,850</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26,350,000</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1.06x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14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Illinois</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27,150,398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41,550,000</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1.53x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line="196" w:lineRule="exact"/>
              <w:rPr>
                <w:sz w:val="20"/>
                <w:szCs w:val="20"/>
                <w:color w:val="auto"/>
              </w:rPr>
            </w:pPr>
            <w:r>
              <w:rPr>
                <w:rFonts w:ascii="Times New Roman" w:cs="Times New Roman" w:eastAsia="Times New Roman" w:hAnsi="Times New Roman"/>
                <w:sz w:val="16"/>
                <w:szCs w:val="16"/>
                <w:color w:val="auto"/>
                <w:w w:val="99"/>
              </w:rPr>
              <w:t xml:space="preserve">Senior Delayed Draw Term Loan </w:t>
            </w:r>
            <w:r>
              <w:rPr>
                <w:rFonts w:ascii="Times New Roman" w:cs="Times New Roman" w:eastAsia="Times New Roman" w:hAnsi="Times New Roman"/>
                <w:sz w:val="19"/>
                <w:szCs w:val="19"/>
                <w:color w:val="auto"/>
                <w:w w:val="99"/>
                <w:vertAlign w:val="superscript"/>
              </w:rPr>
              <w:t>(3)</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Multi-State</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16,961,689</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10,486,748</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0.62x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38a</w:t>
            </w:r>
          </w:p>
        </w:tc>
        <w:tc>
          <w:tcPr>
            <w:tcW w:w="14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Senior Secured Revolver</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Multi-State</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Retail/Industrial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2,950,000</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1.43x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1"/>
              </w:rPr>
              <w:t>38b</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Senior Secured Revolver</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Multi-State</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Retail/Industrial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840,000</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1.43x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4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Multi-State</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427,778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327,059</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0.76x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Ohio</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Retail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271,429</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204,286</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0.75x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4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Senior Secured Revolver</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Multi-State</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53,286,199</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2.66x</w:t>
            </w:r>
          </w:p>
        </w:tc>
        <w:tc>
          <w:tcPr>
            <w:tcW w:w="0" w:type="dxa"/>
            <w:vAlign w:val="bottom"/>
          </w:tcPr>
          <w:p>
            <w:pPr>
              <w:spacing w:after="0"/>
              <w:rPr>
                <w:sz w:val="1"/>
                <w:szCs w:val="1"/>
                <w:color w:val="auto"/>
              </w:rPr>
            </w:pPr>
          </w:p>
        </w:tc>
      </w:tr>
      <w:tr>
        <w:trPr>
          <w:trHeight w:val="196"/>
        </w:trPr>
        <w:tc>
          <w:tcPr>
            <w:tcW w:w="46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40" w:type="dxa"/>
            <w:vAlign w:val="bottom"/>
            <w:shd w:val="clear" w:color="auto" w:fill="E3E3E3"/>
          </w:tcPr>
          <w:p>
            <w:pPr>
              <w:spacing w:after="0"/>
              <w:rPr>
                <w:sz w:val="17"/>
                <w:szCs w:val="17"/>
                <w:color w:val="auto"/>
              </w:rPr>
            </w:pPr>
          </w:p>
        </w:tc>
        <w:tc>
          <w:tcPr>
            <w:tcW w:w="234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shd w:val="clear" w:color="auto" w:fill="E3E3E3"/>
          </w:tcPr>
          <w:p>
            <w:pPr>
              <w:spacing w:after="0"/>
              <w:rPr>
                <w:sz w:val="17"/>
                <w:szCs w:val="17"/>
                <w:color w:val="auto"/>
              </w:rPr>
            </w:pPr>
          </w:p>
        </w:tc>
        <w:tc>
          <w:tcPr>
            <w:tcW w:w="102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Missouri</w:t>
            </w:r>
          </w:p>
        </w:tc>
        <w:tc>
          <w:tcPr>
            <w:tcW w:w="124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Retail/Industrial</w:t>
            </w:r>
          </w:p>
        </w:tc>
        <w:tc>
          <w:tcPr>
            <w:tcW w:w="420" w:type="dxa"/>
            <w:vAlign w:val="bottom"/>
            <w:gridSpan w:val="2"/>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11,849,826</w:t>
            </w:r>
          </w:p>
        </w:tc>
        <w:tc>
          <w:tcPr>
            <w:tcW w:w="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7,505,385</w:t>
            </w:r>
          </w:p>
        </w:tc>
        <w:tc>
          <w:tcPr>
            <w:tcW w:w="200" w:type="dxa"/>
            <w:vAlign w:val="bottom"/>
            <w:shd w:val="clear" w:color="auto" w:fill="E3E3E3"/>
          </w:tcPr>
          <w:p>
            <w:pPr>
              <w:spacing w:after="0"/>
              <w:rPr>
                <w:sz w:val="17"/>
                <w:szCs w:val="17"/>
                <w:color w:val="auto"/>
              </w:rPr>
            </w:pPr>
          </w:p>
        </w:tc>
        <w:tc>
          <w:tcPr>
            <w:tcW w:w="1620" w:type="dxa"/>
            <w:vAlign w:val="bottom"/>
            <w:gridSpan w:val="2"/>
            <w:shd w:val="clear" w:color="auto" w:fill="E3E3E3"/>
          </w:tcPr>
          <w:p>
            <w:pPr>
              <w:ind w:left="1220"/>
              <w:spacing w:after="0"/>
              <w:rPr>
                <w:sz w:val="20"/>
                <w:szCs w:val="20"/>
                <w:color w:val="auto"/>
              </w:rPr>
            </w:pPr>
            <w:r>
              <w:rPr>
                <w:rFonts w:ascii="Times New Roman" w:cs="Times New Roman" w:eastAsia="Times New Roman" w:hAnsi="Times New Roman"/>
                <w:sz w:val="16"/>
                <w:szCs w:val="16"/>
                <w:color w:val="auto"/>
              </w:rPr>
              <w:t>0.63x</w:t>
            </w: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4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Senior Real Estate Corporate Loan</w:t>
            </w:r>
          </w:p>
        </w:tc>
        <w:tc>
          <w:tcPr>
            <w:tcW w:w="1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Multi-State</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4,987,592</w:t>
            </w:r>
          </w:p>
        </w:tc>
        <w:tc>
          <w:tcPr>
            <w:tcW w:w="200" w:type="dxa"/>
            <w:vAlign w:val="bottom"/>
          </w:tcPr>
          <w:p>
            <w:pPr>
              <w:spacing w:after="0"/>
              <w:rPr>
                <w:sz w:val="17"/>
                <w:szCs w:val="17"/>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1.00x</w:t>
            </w:r>
          </w:p>
        </w:tc>
        <w:tc>
          <w:tcPr>
            <w:tcW w:w="0" w:type="dxa"/>
            <w:vAlign w:val="bottom"/>
          </w:tcPr>
          <w:p>
            <w:pPr>
              <w:spacing w:after="0"/>
              <w:rPr>
                <w:sz w:val="1"/>
                <w:szCs w:val="1"/>
                <w:color w:val="auto"/>
              </w:rPr>
            </w:pPr>
          </w:p>
        </w:tc>
      </w:tr>
      <w:tr>
        <w:trPr>
          <w:trHeight w:val="191"/>
        </w:trPr>
        <w:tc>
          <w:tcPr>
            <w:tcW w:w="46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E3E3E3"/>
            </w:tcBorders>
            <w:shd w:val="clear" w:color="auto" w:fill="E3E3E3"/>
          </w:tcPr>
          <w:p>
            <w:pPr>
              <w:spacing w:after="0"/>
              <w:rPr>
                <w:sz w:val="16"/>
                <w:szCs w:val="16"/>
                <w:color w:val="auto"/>
              </w:rPr>
            </w:pPr>
          </w:p>
        </w:tc>
        <w:tc>
          <w:tcPr>
            <w:tcW w:w="2340" w:type="dxa"/>
            <w:vAlign w:val="bottom"/>
            <w:tcBorders>
              <w:top w:val="single" w:sz="8" w:color="E3E3E3"/>
            </w:tcBorders>
            <w:shd w:val="clear" w:color="auto" w:fill="E3E3E3"/>
          </w:tcPr>
          <w:p>
            <w:pPr>
              <w:spacing w:after="0"/>
              <w:rPr>
                <w:sz w:val="16"/>
                <w:szCs w:val="16"/>
                <w:color w:val="auto"/>
              </w:rPr>
            </w:pPr>
          </w:p>
        </w:tc>
        <w:tc>
          <w:tcPr>
            <w:tcW w:w="100" w:type="dxa"/>
            <w:vAlign w:val="bottom"/>
            <w:tcBorders>
              <w:top w:val="single" w:sz="8" w:color="E3E3E3"/>
            </w:tcBorders>
            <w:shd w:val="clear" w:color="auto" w:fill="E3E3E3"/>
          </w:tcPr>
          <w:p>
            <w:pPr>
              <w:spacing w:after="0"/>
              <w:rPr>
                <w:sz w:val="16"/>
                <w:szCs w:val="16"/>
                <w:color w:val="auto"/>
              </w:rPr>
            </w:pPr>
          </w:p>
        </w:tc>
        <w:tc>
          <w:tcPr>
            <w:tcW w:w="102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E3E3E3"/>
            </w:tcBorders>
            <w:shd w:val="clear" w:color="auto" w:fill="E3E3E3"/>
          </w:tcPr>
          <w:p>
            <w:pPr>
              <w:spacing w:after="0"/>
              <w:rPr>
                <w:sz w:val="16"/>
                <w:szCs w:val="16"/>
                <w:color w:val="auto"/>
              </w:rPr>
            </w:pPr>
          </w:p>
        </w:tc>
        <w:tc>
          <w:tcPr>
            <w:tcW w:w="110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E3E3E3"/>
            </w:tcBorders>
            <w:shd w:val="clear" w:color="auto" w:fill="E3E3E3"/>
          </w:tcPr>
          <w:p>
            <w:pPr>
              <w:spacing w:after="0"/>
              <w:rPr>
                <w:sz w:val="16"/>
                <w:szCs w:val="16"/>
                <w:color w:val="auto"/>
              </w:rPr>
            </w:pPr>
          </w:p>
        </w:tc>
        <w:tc>
          <w:tcPr>
            <w:tcW w:w="280" w:type="dxa"/>
            <w:vAlign w:val="bottom"/>
            <w:tcBorders>
              <w:top w:val="single" w:sz="8" w:color="auto"/>
              <w:bottom w:val="single" w:sz="8" w:color="auto"/>
            </w:tcBorders>
            <w:shd w:val="clear" w:color="auto" w:fill="E3E3E3"/>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rPr>
              <w:t>411,075,088</w:t>
            </w:r>
          </w:p>
        </w:tc>
        <w:tc>
          <w:tcPr>
            <w:tcW w:w="200" w:type="dxa"/>
            <w:vAlign w:val="bottom"/>
            <w:tcBorders>
              <w:top w:val="single" w:sz="8" w:color="E3E3E3"/>
            </w:tcBorders>
            <w:shd w:val="clear" w:color="auto" w:fill="E3E3E3"/>
          </w:tcPr>
          <w:p>
            <w:pPr>
              <w:spacing w:after="0"/>
              <w:rPr>
                <w:sz w:val="16"/>
                <w:szCs w:val="16"/>
                <w:color w:val="auto"/>
              </w:rPr>
            </w:pPr>
          </w:p>
        </w:tc>
        <w:tc>
          <w:tcPr>
            <w:tcW w:w="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rPr>
              <w:t>493,764,633</w:t>
            </w:r>
          </w:p>
        </w:tc>
        <w:tc>
          <w:tcPr>
            <w:tcW w:w="200" w:type="dxa"/>
            <w:vAlign w:val="bottom"/>
            <w:tcBorders>
              <w:top w:val="single" w:sz="8" w:color="E3E3E3"/>
            </w:tcBorders>
            <w:shd w:val="clear" w:color="auto" w:fill="E3E3E3"/>
          </w:tcPr>
          <w:p>
            <w:pPr>
              <w:spacing w:after="0"/>
              <w:rPr>
                <w:sz w:val="16"/>
                <w:szCs w:val="16"/>
                <w:color w:val="auto"/>
              </w:rPr>
            </w:pPr>
          </w:p>
        </w:tc>
        <w:tc>
          <w:tcPr>
            <w:tcW w:w="1520" w:type="dxa"/>
            <w:vAlign w:val="bottom"/>
            <w:tcBorders>
              <w:top w:val="single" w:sz="8" w:color="auto"/>
              <w:bottom w:val="single" w:sz="8" w:color="auto"/>
            </w:tcBorders>
            <w:shd w:val="clear" w:color="auto" w:fill="E3E3E3"/>
          </w:tcPr>
          <w:p>
            <w:pPr>
              <w:ind w:left="1300"/>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10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16"/>
                <w:szCs w:val="16"/>
                <w:b w:val="1"/>
                <w:bCs w:val="1"/>
                <w:color w:val="auto"/>
                <w:w w:val="99"/>
                <w:shd w:val="clear" w:color="auto" w:fill="E3E3E3"/>
              </w:rPr>
              <w:t>x</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360" w:hanging="352"/>
        <w:spacing w:after="0" w:line="247" w:lineRule="auto"/>
        <w:tabs>
          <w:tab w:leader="none" w:pos="3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Senior Real Estate Corporate Loans, Senior Delayed Draw Term Loans and Senior Secured Revolvers are structured as loans to owner operators secured by real estate or loans to property owners that are leased to a third party tenant. Senior Loans are corporate loans that are not secured by real estate collateral.</w:t>
      </w:r>
    </w:p>
    <w:p>
      <w:pPr>
        <w:jc w:val="both"/>
        <w:ind w:left="360" w:hanging="352"/>
        <w:spacing w:after="0" w:line="251" w:lineRule="auto"/>
        <w:tabs>
          <w:tab w:leader="none" w:pos="36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Real estate is based on appraised value as is, or on a comparable cost basis, as completed. The real estate values shown in the collateral table are estimates by a third-party appraiser of the market value of the subject real property in its current physical condition, use, and zoning as of the appraisal date. The appraised value may be determined using the income approach, based on market lease rates for comparable properties, whether dispensaries or cultivation facilities. It indicates the value to a third-party owner that leases to a dispensary or cultivation facility. Alternatively, the appraised value may be based on the cost for another operator to construct a similar facility, which we refer to as the “cost approach.” We believe the cost approach provides an indication of what another state-licensed operator would pay for a separate facility instead of constructing it itself. The appraisal’s opinion of value reflects current conditions and the likely actions of market participants as of the date of appraisal. It is based on the available information gathered and provided to the appraiser and does not predict future performance. Changing market or property conditions can and likely will have an effect on the subject’s value. The appraisals for cannabis cultivation or dispensary facilities assume that the highest and best use is use as a cannabis cultivator or dispensary, as applicable. The appraisals recognize that the current use is highly regulated by the state in which the property is located; however, there are sales of comparable properties that demonstrate that there is a market for such</w:t>
      </w:r>
    </w:p>
    <w:p>
      <w:pPr>
        <w:sectPr>
          <w:pgSz w:w="12240" w:h="15840" w:orient="portrait"/>
          <w:cols w:equalWidth="0" w:num="1">
            <w:col w:w="10280"/>
          </w:cols>
          <w:pgMar w:left="1160" w:top="1009" w:right="800" w:bottom="254"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80"/>
          </w:cols>
          <w:pgMar w:left="1160" w:top="1009" w:right="800" w:bottom="254" w:gutter="0" w:footer="0" w:header="0"/>
          <w:type w:val="continuous"/>
        </w:sectPr>
      </w:pPr>
    </w:p>
    <w:bookmarkStart w:id="83" w:name="page84"/>
    <w:bookmarkEnd w:id="83"/>
    <w:p>
      <w:pPr>
        <w:jc w:val="both"/>
        <w:ind w:left="360"/>
        <w:spacing w:after="0" w:line="241" w:lineRule="auto"/>
        <w:rPr>
          <w:sz w:val="20"/>
          <w:szCs w:val="20"/>
          <w:color w:val="auto"/>
        </w:rPr>
      </w:pPr>
      <w:r>
        <w:rPr>
          <w:rFonts w:ascii="Times New Roman" w:cs="Times New Roman" w:eastAsia="Times New Roman" w:hAnsi="Times New Roman"/>
          <w:sz w:val="20"/>
          <w:szCs w:val="20"/>
          <w:color w:val="auto"/>
        </w:rPr>
        <w:t>properties. The appraisals utilize these comparable sales for the appraised property’s value in use. For properties used for cannabis cultivation, the appraisals use similar sized warehouses in their conclusion of the subject’s “as-is” value without licenses to cultivate cannabis. However, the appraised value is assumed to be realized from a purchase by another state-licensed cannabis operator or a third-party purchaser that would lease the subject property to a state- licensed cannabis operator. The regulatory requirements related to real property used in cannabis-related operations may cause significant delays or difficulties in transferring a property to another cannabis operator, as the state regulator may require inspection and approval of the new tenant/user.</w:t>
      </w:r>
    </w:p>
    <w:p>
      <w:pPr>
        <w:spacing w:after="0" w:line="3" w:lineRule="exact"/>
        <w:rPr>
          <w:sz w:val="20"/>
          <w:szCs w:val="20"/>
          <w:color w:val="auto"/>
        </w:rPr>
      </w:pPr>
    </w:p>
    <w:p>
      <w:pPr>
        <w:ind w:left="360" w:hanging="352"/>
        <w:spacing w:after="0" w:line="237" w:lineRule="auto"/>
        <w:tabs>
          <w:tab w:leader="none" w:pos="3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affiliated co-lenders subordinated their interest in the real estate collateral to the Company, thus increasing our collateral coverage for the applicable loan.</w:t>
      </w:r>
    </w:p>
    <w:p>
      <w:pPr>
        <w:ind w:left="360" w:hanging="352"/>
        <w:spacing w:after="0" w:line="237" w:lineRule="auto"/>
        <w:tabs>
          <w:tab w:leader="none" w:pos="3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 estate collateral coverage ratio subtotal represents the portfolio weighted average real estate collateral coverage ratio based on outstanding principal balance.</w:t>
      </w:r>
    </w:p>
    <w:p>
      <w:pPr>
        <w:ind w:left="360" w:hanging="352"/>
        <w:spacing w:after="0" w:line="243" w:lineRule="auto"/>
        <w:tabs>
          <w:tab w:leader="none" w:pos="3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loans are not secured by mortgages and therefore are considered non-qualifying assets for purposes of assessing the Company's compliance with the 75% income and asset tests.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Updates to Our Loan Portfolio during Fiscal Year 2025</w:t>
      </w:r>
    </w:p>
    <w:p>
      <w:pPr>
        <w:spacing w:after="0" w:line="19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2025, we advanced gross principal of $79.4 million, which resulted in cash advances of $77.3 million, net of upfront fees, including original issue discount of $2.1 million. Further, we capitalized $6.2 million of PIK interest during the year. These increases were offset by proceeds from principal repayment of loans in the amount of $84.7 million. In total, our loans held for investment, at carrying value before CECL reserves, increased by approximately $6.5 million, from $402.5 million at December 31, 2024 to $409.0 million as of December 31, 2025.</w:t>
      </w:r>
    </w:p>
    <w:p>
      <w:pPr>
        <w:spacing w:after="0" w:line="156"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2025, we advanced approximately $12.6 million of gross principal to the borrower of Loan #9, a related party. The use of proceeds of the advance included: (a) the acquisition of three operational dispensaries and (b) the payment of all past due accrued and unpaid interest and fees totaling approximately $1.7 million owed on existing senior indebtedness through December 31, 2025. In connection therewith, the borrower was brought current on all interest and payments through December 31, 2025. Management elected to maintain Loan #9 on non-accrual status as of December 31, 2025 until such time that the borrower demonstrates sustained ability to meet debt service obligations under both the Judgment Loan and the Term Loan. For additional details on Loan #9 refer to Note 9.</w:t>
      </w:r>
    </w:p>
    <w:p>
      <w:pPr>
        <w:spacing w:after="0" w:line="18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In May 2025, Loan #6 was placed on non-accrual and remains on non-accrual as of December 31, 2025. A Default Notice was sent to the borrower on May 9, 2025 specifying certain events of default such as outstanding tax liens and recent non-payment of interest and principal. Following the issuance of the Default Notice, Management began the process to exercise its rights and remedies under the loan documents.</w:t>
      </w:r>
    </w:p>
    <w:p>
      <w:pPr>
        <w:spacing w:after="0" w:line="183"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In June 2025, we entered into an amendment to Loan #16, which extended the maturity date to January 29, 2027. No other terms of the loan were modified in connection with this amendment.</w:t>
      </w:r>
    </w:p>
    <w:p>
      <w:pPr>
        <w:spacing w:after="0" w:line="161"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In June 2025, Loan #7 was refinanced, which extended the maturity date from June 30, 2025 to June 30, 2028. In addition, we made a $13.0 million incremental commitment.</w:t>
      </w:r>
    </w:p>
    <w:p>
      <w:pPr>
        <w:spacing w:after="0" w:line="161" w:lineRule="exact"/>
        <w:rPr>
          <w:sz w:val="20"/>
          <w:szCs w:val="20"/>
          <w:color w:val="auto"/>
        </w:rPr>
      </w:pPr>
    </w:p>
    <w:p>
      <w:pPr>
        <w:jc w:val="both"/>
        <w:ind w:firstLine="355"/>
        <w:spacing w:after="0" w:line="299" w:lineRule="auto"/>
        <w:rPr>
          <w:sz w:val="20"/>
          <w:szCs w:val="20"/>
          <w:color w:val="auto"/>
        </w:rPr>
      </w:pPr>
      <w:r>
        <w:rPr>
          <w:rFonts w:ascii="Times New Roman" w:cs="Times New Roman" w:eastAsia="Times New Roman" w:hAnsi="Times New Roman"/>
          <w:sz w:val="19"/>
          <w:szCs w:val="19"/>
          <w:color w:val="auto"/>
        </w:rPr>
        <w:t>In July 2025, the Company received principal repayments totaling $56.8 million, relating to the full repayment of Loans #3, #20, #29, #32, #33 and #39. In connection with the repayments prior to maturity, we recognized $1.0 million in prepayment fees.</w:t>
      </w:r>
    </w:p>
    <w:p>
      <w:pPr>
        <w:spacing w:after="0" w:line="138" w:lineRule="exact"/>
        <w:rPr>
          <w:sz w:val="20"/>
          <w:szCs w:val="20"/>
          <w:color w:val="auto"/>
        </w:rPr>
      </w:pPr>
    </w:p>
    <w:p>
      <w:pPr>
        <w:jc w:val="both"/>
        <w:ind w:firstLine="355"/>
        <w:spacing w:after="0" w:line="273" w:lineRule="auto"/>
        <w:rPr>
          <w:sz w:val="20"/>
          <w:szCs w:val="20"/>
          <w:color w:val="auto"/>
        </w:rPr>
      </w:pPr>
      <w:r>
        <w:rPr>
          <w:rFonts w:ascii="Times New Roman" w:cs="Times New Roman" w:eastAsia="Times New Roman" w:hAnsi="Times New Roman"/>
          <w:sz w:val="20"/>
          <w:szCs w:val="20"/>
          <w:color w:val="auto"/>
        </w:rPr>
        <w:t>In July 2025, Loan #19 was amended, which extended the maturity date from December 31, 2025 to December 31, 2027. In addition, we made a $2.4 million commitment add-on.</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October 2025, Loan #35 was amended, which extended the maturity date from August 23, 2027 to September 30, 2028.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other terms of the loan were modified in connection with this amendment.</w:t>
      </w:r>
    </w:p>
    <w:p>
      <w:pPr>
        <w:spacing w:after="0" w:line="197" w:lineRule="exact"/>
        <w:rPr>
          <w:sz w:val="20"/>
          <w:szCs w:val="20"/>
          <w:color w:val="auto"/>
        </w:rPr>
      </w:pPr>
    </w:p>
    <w:p>
      <w:pPr>
        <w:jc w:val="both"/>
        <w:ind w:firstLine="355"/>
        <w:spacing w:after="0" w:line="273" w:lineRule="auto"/>
        <w:rPr>
          <w:sz w:val="20"/>
          <w:szCs w:val="20"/>
          <w:color w:val="auto"/>
        </w:rPr>
      </w:pPr>
      <w:r>
        <w:rPr>
          <w:rFonts w:ascii="Times New Roman" w:cs="Times New Roman" w:eastAsia="Times New Roman" w:hAnsi="Times New Roman"/>
          <w:sz w:val="20"/>
          <w:szCs w:val="20"/>
          <w:color w:val="auto"/>
        </w:rPr>
        <w:t>In October 2025, we received a full principal repayment totaling $0.4 million, relating to Loan #24. Prepayment fees received in connection with this early repayment were de minimus.</w:t>
      </w:r>
    </w:p>
    <w:p>
      <w:pPr>
        <w:spacing w:after="0" w:line="15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In December 2025, Loan #4 and Loan #34 were placed on non-accrual status following periods of non-collection of interest. The Loan and Security agreements governing these loans include cross-default and cross-collateral provisions. At the time these loans were placed on non-accrual status $890 thousand of interest receivable was reversed, and interest receivable as of December 31, 2025 is $0.</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80"/>
          </w:cols>
          <w:pgMar w:left="1160" w:top="1009" w:right="800" w:bottom="254" w:gutter="0" w:footer="0" w:header="0"/>
          <w:type w:val="continuous"/>
        </w:sectPr>
      </w:pPr>
    </w:p>
    <w:bookmarkStart w:id="84" w:name="page85"/>
    <w:bookmarkEnd w:id="84"/>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In December 2025, Loan #38(a)(b) was amended, which extended the maturity date from December 12, 2025 to June 6, 2026. No other terms of the loan were modified in connection with this amendment.</w:t>
      </w:r>
    </w:p>
    <w:p>
      <w:pPr>
        <w:spacing w:after="0" w:line="161"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In December 2025, Loan #2 was amended, which extended the maturity date from December 31, 2025 to December 31, 2026. In addition, the Company made an incremental delayed draw term loan commitment of approximately $1.0 million which is identified as Loan #2b as of December 31, 2025.</w:t>
      </w:r>
    </w:p>
    <w:p>
      <w:pPr>
        <w:spacing w:after="0" w:line="176"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In December 2025, Loan #23 was amended, which extended the maturity date from March 31, 2026 to March 31, 2027. No other terms of the loan were modified in connection with this amendment.</w:t>
      </w:r>
    </w:p>
    <w:p>
      <w:pPr>
        <w:spacing w:after="0" w:line="161"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In December 2025, Loan #8 was amended, which extended the maturity date from December 31, 2025 to June 30, 2026. Further, the agreed upon interest rate increased 200 basis points to 12% as of the effective date. No other terms of the loan were modified in connections with this amendment.</w:t>
      </w:r>
    </w:p>
    <w:p>
      <w:pPr>
        <w:spacing w:after="0" w:line="176"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On December 31, 2025, Loan #18 was amended, which extended the original maturity date from December 31, 2025 to December 31, 2026. No other terms of the loan were modified in connection with this amendment. We recognized $1.0 million of success fees that were due and payable on the original maturity date.</w:t>
      </w:r>
    </w:p>
    <w:p>
      <w:pPr>
        <w:spacing w:after="0" w:line="177"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On December 31, 2025, we originated Loan #44, a $5.0 million term loan to a cannabis operator with primary operations in Missouri, of which $4.9 million was funded at closing. The loan bears interest at a floating rate, based on SOFR, and a spread of 10.24%, subject to a 3.72% SOFR floor. The loan is interest-only through the maturity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Updates to Our Credit Facilities during Fiscal Year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Loan</w:t>
      </w:r>
    </w:p>
    <w:p>
      <w:pPr>
        <w:spacing w:after="0" w:line="19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On August 5, 2025, CAL entered into the First Amendment to the Sixth Amended and Restated Loan and Security Agreement (the "August 2025 Amendment"). The August 2025 Amendment extended the contractual maturity date from June 30, 2026 to June 30, 2028. No other material terms were modified as a result of the execution of this amendment, and the Company incurred approximately $0.1 million in financing costs relating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Subsequent Updates to Our Loan Portfolio in 2026</w:t>
      </w:r>
    </w:p>
    <w:p>
      <w:pPr>
        <w:spacing w:after="0" w:line="19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During the period from January 1, 2026 through March 12, 2026, we advanced approximately $51.1 million of principal to existing borrowers under delayed draw and revolving loan facilities. Additionally, we received approximately $40.4 million of repayments, comprised of $3.1 million in schedule amortization payments, $4.4 million in partial prepayments and $32.9 from full repayments. A brief description of certain investment activities are described below:</w:t>
      </w:r>
    </w:p>
    <w:p>
      <w:pPr>
        <w:spacing w:after="0" w:line="18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In January 2026, the Company and other co-lenders party thereto, entered into an amendment to Loan #42 which increased the Company's aggregate commitment from $33.3 million to $53.3 million. In March 2026, the Company advanced $33.3 million, on Loan #42, leaving a remaining unfunded commitment of $0 as of March 12, 2026.</w:t>
      </w:r>
    </w:p>
    <w:p>
      <w:pPr>
        <w:spacing w:after="0" w:line="177"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In January 2026, the Company received a full repayment of Loan #27 amounting to approximately $17.3 million, of which $17.2 million and $0.1 million related to principal repayment and accrued interest, respectively.</w:t>
      </w:r>
    </w:p>
    <w:p>
      <w:pPr>
        <w:spacing w:after="0" w:line="161"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In February 2026, the Company received an early partial repayment of Loan #30 amounting to approximately $4.5 million, of which $4.4 million and $0.1 million related to principal repayment and prepayment fee, respectively.</w:t>
      </w:r>
    </w:p>
    <w:p>
      <w:pPr>
        <w:spacing w:after="0" w:line="161"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In March 2026, the Company received a full repayment of Loan #1 amounting to approximately $15.8 million, of which $15.7 million and $0.1 million related to principal repayment and accrued interest,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Declared Per Share</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tables summarize the Company’s dividends declared during the years ended December 31, 2025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80"/>
          </w:cols>
          <w:pgMar w:left="1160" w:top="1009" w:right="800" w:bottom="254"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restart"/>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Taxable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5"/>
              </w:rPr>
              <w:t>Share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6"/>
              </w:rPr>
              <w:t>Record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7"/>
              </w:rPr>
              <w:t>Payment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Distribution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8"/>
              </w:rPr>
              <w:t>Ordinary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9"/>
              </w:rPr>
              <w:t>Return of</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Section 199A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6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4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2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20" w:type="dxa"/>
            <w:vAlign w:val="bottom"/>
            <w:tcBorders>
              <w:bottom w:val="single" w:sz="8" w:color="E3E3E3"/>
            </w:tcBorders>
          </w:tcPr>
          <w:p>
            <w:pPr>
              <w:spacing w:after="0"/>
              <w:rPr>
                <w:sz w:val="21"/>
                <w:szCs w:val="21"/>
                <w:color w:val="auto"/>
              </w:rPr>
            </w:pPr>
          </w:p>
        </w:tc>
        <w:tc>
          <w:tcPr>
            <w:tcW w:w="22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7"/>
              </w:rPr>
              <w:t>Income</w:t>
            </w:r>
          </w:p>
        </w:tc>
        <w:tc>
          <w:tcPr>
            <w:tcW w:w="20" w:type="dxa"/>
            <w:vAlign w:val="bottom"/>
            <w:tcBorders>
              <w:bottom w:val="single" w:sz="8" w:color="E3E3E3"/>
            </w:tcBorders>
          </w:tcPr>
          <w:p>
            <w:pPr>
              <w:spacing w:after="0"/>
              <w:rPr>
                <w:sz w:val="21"/>
                <w:szCs w:val="21"/>
                <w:color w:val="auto"/>
              </w:rPr>
            </w:pPr>
          </w:p>
        </w:tc>
        <w:tc>
          <w:tcPr>
            <w:tcW w:w="22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Capital</w:t>
            </w:r>
          </w:p>
        </w:tc>
        <w:tc>
          <w:tcPr>
            <w:tcW w:w="20" w:type="dxa"/>
            <w:vAlign w:val="bottom"/>
            <w:tcBorders>
              <w:bottom w:val="single" w:sz="8" w:color="E3E3E3"/>
            </w:tcBorders>
          </w:tcPr>
          <w:p>
            <w:pPr>
              <w:spacing w:after="0"/>
              <w:rPr>
                <w:sz w:val="21"/>
                <w:szCs w:val="21"/>
                <w:color w:val="auto"/>
              </w:rPr>
            </w:pPr>
          </w:p>
        </w:tc>
        <w:tc>
          <w:tcPr>
            <w:tcW w:w="20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Dividends</w:t>
            </w:r>
          </w:p>
        </w:tc>
        <w:tc>
          <w:tcPr>
            <w:tcW w:w="60" w:type="dxa"/>
            <w:vAlign w:val="bottom"/>
            <w:tcBorders>
              <w:bottom w:val="single" w:sz="8" w:color="E3E3E3"/>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3/31/2025</w:t>
            </w:r>
          </w:p>
        </w:tc>
        <w:tc>
          <w:tcPr>
            <w:tcW w:w="140" w:type="dxa"/>
            <w:vAlign w:val="bottom"/>
            <w:shd w:val="clear" w:color="auto" w:fill="E3E3E3"/>
          </w:tcPr>
          <w:p>
            <w:pPr>
              <w:spacing w:after="0"/>
              <w:rPr>
                <w:sz w:val="20"/>
                <w:szCs w:val="20"/>
                <w:color w:val="auto"/>
              </w:rPr>
            </w:pPr>
          </w:p>
        </w:tc>
        <w:tc>
          <w:tcPr>
            <w:tcW w:w="10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4/15/2025</w:t>
            </w:r>
          </w:p>
        </w:tc>
        <w:tc>
          <w:tcPr>
            <w:tcW w:w="1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6/30/2025</w:t>
            </w:r>
          </w:p>
        </w:tc>
        <w:tc>
          <w:tcPr>
            <w:tcW w:w="14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7/15/2025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9/30/2025</w:t>
            </w:r>
          </w:p>
        </w:tc>
        <w:tc>
          <w:tcPr>
            <w:tcW w:w="1220" w:type="dxa"/>
            <w:vAlign w:val="bottom"/>
            <w:gridSpan w:val="3"/>
            <w:shd w:val="clear" w:color="auto" w:fill="E3E3E3"/>
          </w:tcPr>
          <w:p>
            <w:pPr>
              <w:jc w:val="center"/>
              <w:ind w:left="21"/>
              <w:spacing w:after="0"/>
              <w:rPr>
                <w:sz w:val="20"/>
                <w:szCs w:val="20"/>
                <w:color w:val="auto"/>
              </w:rPr>
            </w:pPr>
            <w:r>
              <w:rPr>
                <w:rFonts w:ascii="Times New Roman" w:cs="Times New Roman" w:eastAsia="Times New Roman" w:hAnsi="Times New Roman"/>
                <w:sz w:val="20"/>
                <w:szCs w:val="20"/>
                <w:color w:val="auto"/>
                <w:w w:val="98"/>
              </w:rPr>
              <w:t>10/15/2025</w:t>
            </w:r>
          </w:p>
        </w:tc>
        <w:tc>
          <w:tcPr>
            <w:tcW w:w="2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12/31/2025</w:t>
            </w:r>
          </w:p>
        </w:tc>
        <w:tc>
          <w:tcPr>
            <w:tcW w:w="122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8"/>
              </w:rPr>
              <w:t>1/15/2026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60" w:type="dxa"/>
            <w:vAlign w:val="bottom"/>
            <w:tcBorders>
              <w:top w:val="single" w:sz="8" w:color="E3E3E3"/>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cash dividend</w:t>
            </w: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160" w:type="dxa"/>
            <w:vAlign w:val="bottom"/>
            <w:tcBorders>
              <w:top w:val="single" w:sz="8" w:color="E3E3E3"/>
              <w:bottom w:val="single" w:sz="8" w:color="E3E3E3"/>
            </w:tcBorders>
            <w:shd w:val="clear" w:color="auto" w:fill="E3E3E3"/>
          </w:tcPr>
          <w:p>
            <w:pPr>
              <w:spacing w:after="0"/>
              <w:rPr>
                <w:sz w:val="22"/>
                <w:szCs w:val="22"/>
                <w:color w:val="auto"/>
              </w:rPr>
            </w:pPr>
          </w:p>
        </w:tc>
        <w:tc>
          <w:tcPr>
            <w:tcW w:w="14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060" w:type="dxa"/>
            <w:vAlign w:val="bottom"/>
            <w:tcBorders>
              <w:top w:val="single" w:sz="8" w:color="E3E3E3"/>
              <w:bottom w:val="single" w:sz="8" w:color="E3E3E3"/>
            </w:tcBorders>
            <w:shd w:val="clear" w:color="auto" w:fill="E3E3E3"/>
          </w:tcPr>
          <w:p>
            <w:pPr>
              <w:spacing w:after="0"/>
              <w:rPr>
                <w:sz w:val="22"/>
                <w:szCs w:val="22"/>
                <w:color w:val="auto"/>
              </w:rPr>
            </w:pPr>
          </w:p>
        </w:tc>
        <w:tc>
          <w:tcPr>
            <w:tcW w:w="12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20" w:type="dxa"/>
            <w:vAlign w:val="bottom"/>
            <w:tcBorders>
              <w:top w:val="single" w:sz="8" w:color="E3E3E3"/>
              <w:bottom w:val="single" w:sz="8" w:color="auto"/>
            </w:tcBorders>
            <w:shd w:val="clear" w:color="auto" w:fill="E3E3E3"/>
          </w:tcPr>
          <w:p>
            <w:pPr>
              <w:spacing w:after="0"/>
              <w:rPr>
                <w:sz w:val="22"/>
                <w:szCs w:val="22"/>
                <w:color w:val="auto"/>
              </w:rPr>
            </w:pPr>
          </w:p>
        </w:tc>
        <w:tc>
          <w:tcPr>
            <w:tcW w:w="22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20" w:type="dxa"/>
            <w:vAlign w:val="bottom"/>
            <w:tcBorders>
              <w:top w:val="single" w:sz="8" w:color="E3E3E3"/>
              <w:bottom w:val="single" w:sz="8" w:color="auto"/>
            </w:tcBorders>
            <w:shd w:val="clear" w:color="auto" w:fill="E3E3E3"/>
          </w:tcPr>
          <w:p>
            <w:pPr>
              <w:spacing w:after="0"/>
              <w:rPr>
                <w:sz w:val="22"/>
                <w:szCs w:val="22"/>
                <w:color w:val="auto"/>
              </w:rPr>
            </w:pPr>
          </w:p>
        </w:tc>
        <w:tc>
          <w:tcPr>
            <w:tcW w:w="22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40" w:type="dxa"/>
            <w:vAlign w:val="bottom"/>
            <w:tcBorders>
              <w:top w:val="single" w:sz="8" w:color="auto"/>
              <w:bottom w:val="single" w:sz="8" w:color="auto"/>
            </w:tcBorders>
            <w:shd w:val="clear" w:color="auto" w:fill="E3E3E3"/>
          </w:tcPr>
          <w:p>
            <w:pPr>
              <w:spacing w:after="0"/>
              <w:rPr>
                <w:sz w:val="22"/>
                <w:szCs w:val="22"/>
                <w:color w:val="auto"/>
              </w:rPr>
            </w:pP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E3E3E3"/>
              <w:bottom w:val="single" w:sz="8" w:color="auto"/>
            </w:tcBorders>
            <w:shd w:val="clear" w:color="auto" w:fill="E3E3E3"/>
          </w:tcPr>
          <w:p>
            <w:pPr>
              <w:spacing w:after="0"/>
              <w:rPr>
                <w:sz w:val="22"/>
                <w:szCs w:val="22"/>
                <w:color w:val="auto"/>
              </w:rPr>
            </w:pPr>
          </w:p>
        </w:tc>
        <w:tc>
          <w:tcPr>
            <w:tcW w:w="20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60" w:type="dxa"/>
            <w:vAlign w:val="bottom"/>
            <w:tcBorders>
              <w:top w:val="single" w:sz="8" w:color="E3E3E3"/>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vMerge w:val="restart"/>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Taxable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Record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Payment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5"/>
              </w:rPr>
              <w:t>Share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Return of</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Section 199A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Distribution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8"/>
              </w:rPr>
              <w:t>Ordinary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7"/>
              </w:rPr>
              <w:t>Income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Capital</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Dividends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3/28/2024</w:t>
            </w:r>
          </w:p>
        </w:tc>
        <w:tc>
          <w:tcPr>
            <w:tcW w:w="160" w:type="dxa"/>
            <w:vAlign w:val="bottom"/>
            <w:gridSpan w:val="2"/>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4/15/2024</w:t>
            </w:r>
          </w:p>
        </w:tc>
        <w:tc>
          <w:tcPr>
            <w:tcW w:w="14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6/28/2024</w:t>
            </w:r>
          </w:p>
        </w:tc>
        <w:tc>
          <w:tcPr>
            <w:tcW w:w="1220" w:type="dxa"/>
            <w:vAlign w:val="bottom"/>
            <w:gridSpan w:val="3"/>
            <w:shd w:val="clear" w:color="auto" w:fill="E3E3E3"/>
          </w:tcPr>
          <w:p>
            <w:pPr>
              <w:jc w:val="center"/>
              <w:ind w:left="1"/>
              <w:spacing w:after="0"/>
              <w:rPr>
                <w:sz w:val="20"/>
                <w:szCs w:val="20"/>
                <w:color w:val="auto"/>
              </w:rPr>
            </w:pPr>
            <w:r>
              <w:rPr>
                <w:rFonts w:ascii="Times New Roman" w:cs="Times New Roman" w:eastAsia="Times New Roman" w:hAnsi="Times New Roman"/>
                <w:sz w:val="20"/>
                <w:szCs w:val="20"/>
                <w:color w:val="auto"/>
                <w:w w:val="98"/>
              </w:rPr>
              <w:t>7/15/2024</w:t>
            </w:r>
          </w:p>
        </w:tc>
        <w:tc>
          <w:tcPr>
            <w:tcW w:w="2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9/30/2024</w:t>
            </w:r>
          </w:p>
        </w:tc>
        <w:tc>
          <w:tcPr>
            <w:tcW w:w="1220" w:type="dxa"/>
            <w:vAlign w:val="bottom"/>
            <w:gridSpan w:val="3"/>
          </w:tcPr>
          <w:p>
            <w:pPr>
              <w:jc w:val="center"/>
              <w:ind w:left="21"/>
              <w:spacing w:after="0"/>
              <w:rPr>
                <w:sz w:val="20"/>
                <w:szCs w:val="20"/>
                <w:color w:val="auto"/>
              </w:rPr>
            </w:pPr>
            <w:r>
              <w:rPr>
                <w:rFonts w:ascii="Times New Roman" w:cs="Times New Roman" w:eastAsia="Times New Roman" w:hAnsi="Times New Roman"/>
                <w:sz w:val="20"/>
                <w:szCs w:val="20"/>
                <w:color w:val="auto"/>
                <w:w w:val="98"/>
              </w:rPr>
              <w:t>10/15/2024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12/31/2024</w:t>
            </w:r>
          </w:p>
        </w:tc>
        <w:tc>
          <w:tcPr>
            <w:tcW w:w="1220" w:type="dxa"/>
            <w:vAlign w:val="bottom"/>
            <w:gridSpan w:val="3"/>
            <w:shd w:val="clear" w:color="auto" w:fill="E3E3E3"/>
          </w:tcPr>
          <w:p>
            <w:pPr>
              <w:jc w:val="center"/>
              <w:ind w:left="1"/>
              <w:spacing w:after="0"/>
              <w:rPr>
                <w:sz w:val="20"/>
                <w:szCs w:val="20"/>
                <w:color w:val="auto"/>
              </w:rPr>
            </w:pPr>
            <w:r>
              <w:rPr>
                <w:rFonts w:ascii="Times New Roman" w:cs="Times New Roman" w:eastAsia="Times New Roman" w:hAnsi="Times New Roman"/>
                <w:sz w:val="20"/>
                <w:szCs w:val="20"/>
                <w:color w:val="auto"/>
                <w:w w:val="98"/>
              </w:rPr>
              <w:t>1/13/2025</w:t>
            </w:r>
          </w:p>
        </w:tc>
        <w:tc>
          <w:tcPr>
            <w:tcW w:w="2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Special cash dividend</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12/31/2024</w:t>
            </w:r>
          </w:p>
        </w:tc>
        <w:tc>
          <w:tcPr>
            <w:tcW w:w="122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8"/>
              </w:rPr>
              <w:t>1/13/2025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60" w:type="dxa"/>
            <w:vAlign w:val="bottom"/>
            <w:tcBorders>
              <w:top w:val="single" w:sz="8" w:color="E3E3E3"/>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cash dividend</w:t>
            </w: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160" w:type="dxa"/>
            <w:vAlign w:val="bottom"/>
            <w:tcBorders>
              <w:top w:val="single" w:sz="8" w:color="E3E3E3"/>
              <w:bottom w:val="single" w:sz="8" w:color="E3E3E3"/>
            </w:tcBorders>
            <w:shd w:val="clear" w:color="auto" w:fill="E3E3E3"/>
          </w:tcPr>
          <w:p>
            <w:pPr>
              <w:spacing w:after="0"/>
              <w:rPr>
                <w:sz w:val="22"/>
                <w:szCs w:val="22"/>
                <w:color w:val="auto"/>
              </w:rPr>
            </w:pPr>
          </w:p>
        </w:tc>
        <w:tc>
          <w:tcPr>
            <w:tcW w:w="14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060" w:type="dxa"/>
            <w:vAlign w:val="bottom"/>
            <w:tcBorders>
              <w:top w:val="single" w:sz="8" w:color="E3E3E3"/>
              <w:bottom w:val="single" w:sz="8" w:color="E3E3E3"/>
            </w:tcBorders>
            <w:shd w:val="clear" w:color="auto" w:fill="E3E3E3"/>
          </w:tcPr>
          <w:p>
            <w:pPr>
              <w:spacing w:after="0"/>
              <w:rPr>
                <w:sz w:val="22"/>
                <w:szCs w:val="22"/>
                <w:color w:val="auto"/>
              </w:rPr>
            </w:pPr>
          </w:p>
        </w:tc>
        <w:tc>
          <w:tcPr>
            <w:tcW w:w="12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2.06</w:t>
            </w:r>
          </w:p>
        </w:tc>
        <w:tc>
          <w:tcPr>
            <w:tcW w:w="20" w:type="dxa"/>
            <w:vAlign w:val="bottom"/>
            <w:tcBorders>
              <w:top w:val="single" w:sz="8" w:color="E3E3E3"/>
              <w:bottom w:val="single" w:sz="8" w:color="auto"/>
            </w:tcBorders>
            <w:shd w:val="clear" w:color="auto" w:fill="E3E3E3"/>
          </w:tcPr>
          <w:p>
            <w:pPr>
              <w:spacing w:after="0"/>
              <w:rPr>
                <w:sz w:val="22"/>
                <w:szCs w:val="22"/>
                <w:color w:val="auto"/>
              </w:rPr>
            </w:pPr>
          </w:p>
        </w:tc>
        <w:tc>
          <w:tcPr>
            <w:tcW w:w="22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2.06</w:t>
            </w:r>
          </w:p>
        </w:tc>
        <w:tc>
          <w:tcPr>
            <w:tcW w:w="20" w:type="dxa"/>
            <w:vAlign w:val="bottom"/>
            <w:tcBorders>
              <w:top w:val="single" w:sz="8" w:color="E3E3E3"/>
              <w:bottom w:val="single" w:sz="8" w:color="auto"/>
            </w:tcBorders>
            <w:shd w:val="clear" w:color="auto" w:fill="E3E3E3"/>
          </w:tcPr>
          <w:p>
            <w:pPr>
              <w:spacing w:after="0"/>
              <w:rPr>
                <w:sz w:val="22"/>
                <w:szCs w:val="22"/>
                <w:color w:val="auto"/>
              </w:rPr>
            </w:pPr>
          </w:p>
        </w:tc>
        <w:tc>
          <w:tcPr>
            <w:tcW w:w="22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E3E3E3"/>
              <w:bottom w:val="single" w:sz="8" w:color="auto"/>
            </w:tcBorders>
            <w:shd w:val="clear" w:color="auto" w:fill="E3E3E3"/>
          </w:tcPr>
          <w:p>
            <w:pPr>
              <w:spacing w:after="0"/>
              <w:rPr>
                <w:sz w:val="22"/>
                <w:szCs w:val="22"/>
                <w:color w:val="auto"/>
              </w:rPr>
            </w:pPr>
          </w:p>
        </w:tc>
        <w:tc>
          <w:tcPr>
            <w:tcW w:w="20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2.06</w:t>
            </w:r>
          </w:p>
        </w:tc>
        <w:tc>
          <w:tcPr>
            <w:tcW w:w="60" w:type="dxa"/>
            <w:vAlign w:val="bottom"/>
            <w:tcBorders>
              <w:top w:val="single" w:sz="8" w:color="E3E3E3"/>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payment of these dividends is not indicative of our ability to pay such dividends in the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Impacting our Operating Results</w:t>
      </w:r>
    </w:p>
    <w:p>
      <w:pPr>
        <w:spacing w:after="0" w:line="199"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years ended December 31,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80" w:type="dxa"/>
            <w:vAlign w:val="bottom"/>
          </w:tcPr>
          <w:p>
            <w:pPr>
              <w:spacing w:after="0"/>
              <w:rPr>
                <w:sz w:val="21"/>
                <w:szCs w:val="21"/>
                <w:color w:val="auto"/>
              </w:rPr>
            </w:pPr>
          </w:p>
        </w:tc>
        <w:tc>
          <w:tcPr>
            <w:tcW w:w="3260" w:type="dxa"/>
            <w:vAlign w:val="bottom"/>
            <w:gridSpan w:val="6"/>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w w:val="99"/>
              </w:rPr>
              <w:t>For the year ended December 31,</w:t>
            </w:r>
          </w:p>
        </w:tc>
        <w:tc>
          <w:tcPr>
            <w:tcW w:w="180" w:type="dxa"/>
            <w:vAlign w:val="bottom"/>
          </w:tcPr>
          <w:p>
            <w:pPr>
              <w:spacing w:after="0"/>
              <w:rPr>
                <w:sz w:val="21"/>
                <w:szCs w:val="21"/>
                <w:color w:val="auto"/>
              </w:rPr>
            </w:pPr>
          </w:p>
        </w:tc>
        <w:tc>
          <w:tcPr>
            <w:tcW w:w="1600" w:type="dxa"/>
            <w:vAlign w:val="bottom"/>
            <w:gridSpan w:val="4"/>
          </w:tcPr>
          <w:p>
            <w:pPr>
              <w:ind w:left="680"/>
              <w:spacing w:after="0"/>
              <w:rPr>
                <w:sz w:val="20"/>
                <w:szCs w:val="20"/>
                <w:color w:val="auto"/>
              </w:rPr>
            </w:pPr>
            <w:r>
              <w:rPr>
                <w:rFonts w:ascii="Times New Roman" w:cs="Times New Roman" w:eastAsia="Times New Roman" w:hAnsi="Times New Roman"/>
                <w:sz w:val="20"/>
                <w:szCs w:val="20"/>
                <w:b w:val="1"/>
                <w:bCs w:val="1"/>
                <w:color w:val="auto"/>
              </w:rPr>
              <w:t>Variance</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78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60" w:type="dxa"/>
            <w:vAlign w:val="bottom"/>
            <w:shd w:val="clear" w:color="auto" w:fill="E3E3E3"/>
          </w:tcPr>
          <w:p>
            <w:pPr>
              <w:spacing w:after="0"/>
              <w:rPr>
                <w:sz w:val="20"/>
                <w:szCs w:val="20"/>
                <w:color w:val="auto"/>
              </w:rPr>
            </w:pPr>
          </w:p>
        </w:tc>
        <w:tc>
          <w:tcPr>
            <w:tcW w:w="108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060" w:type="dxa"/>
            <w:vAlign w:val="bottom"/>
            <w:shd w:val="clear" w:color="auto" w:fill="E3E3E3"/>
          </w:tcPr>
          <w:p>
            <w:pPr>
              <w:spacing w:after="0"/>
              <w:rPr>
                <w:sz w:val="20"/>
                <w:szCs w:val="20"/>
                <w:color w:val="auto"/>
              </w:rPr>
            </w:pPr>
          </w:p>
        </w:tc>
        <w:tc>
          <w:tcPr>
            <w:tcW w:w="360" w:type="dxa"/>
            <w:vAlign w:val="bottom"/>
            <w:tcBorders>
              <w:right w:val="single" w:sz="8" w:color="E3E3E3"/>
            </w:tcBorders>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120" w:type="dxa"/>
            <w:vAlign w:val="bottom"/>
            <w:shd w:val="clear" w:color="auto" w:fill="E3E3E3"/>
          </w:tcPr>
          <w:p>
            <w:pPr>
              <w:spacing w:after="0"/>
              <w:rPr>
                <w:sz w:val="20"/>
                <w:szCs w:val="20"/>
                <w:color w:val="auto"/>
              </w:rPr>
            </w:pPr>
          </w:p>
        </w:tc>
        <w:tc>
          <w:tcPr>
            <w:tcW w:w="240" w:type="dxa"/>
            <w:vAlign w:val="bottom"/>
            <w:tcBorders>
              <w:left w:val="single" w:sz="8" w:color="E3E3E3"/>
            </w:tcBorders>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780" w:type="dxa"/>
            <w:vAlign w:val="bottom"/>
            <w:tcBorders>
              <w:right w:val="single" w:sz="8" w:color="E3E3E3"/>
            </w:tcBorders>
            <w:shd w:val="clear" w:color="auto" w:fill="E3E3E3"/>
          </w:tcPr>
          <w:p>
            <w:pPr>
              <w:spacing w:after="0"/>
              <w:rPr>
                <w:sz w:val="20"/>
                <w:szCs w:val="20"/>
                <w:color w:val="auto"/>
              </w:rPr>
            </w:pPr>
          </w:p>
        </w:tc>
        <w:tc>
          <w:tcPr>
            <w:tcW w:w="180" w:type="dxa"/>
            <w:vAlign w:val="bottom"/>
            <w:tcBorders>
              <w:left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income</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62,936,040</w:t>
            </w:r>
          </w:p>
        </w:tc>
        <w:tc>
          <w:tcPr>
            <w:tcW w:w="240" w:type="dxa"/>
            <w:vAlign w:val="bottom"/>
          </w:tcPr>
          <w:p>
            <w:pPr>
              <w:spacing w:after="0"/>
              <w:rPr>
                <w:sz w:val="20"/>
                <w:szCs w:val="20"/>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62,104,092</w:t>
            </w:r>
          </w:p>
        </w:tc>
        <w:tc>
          <w:tcPr>
            <w:tcW w:w="36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831,948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1"/>
        </w:trPr>
        <w:tc>
          <w:tcPr>
            <w:tcW w:w="428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shd w:val="clear" w:color="auto" w:fill="E3E3E3"/>
          </w:tcPr>
          <w:p>
            <w:pPr>
              <w:spacing w:after="0"/>
              <w:rPr>
                <w:sz w:val="20"/>
                <w:szCs w:val="20"/>
                <w:color w:val="auto"/>
              </w:rPr>
            </w:pPr>
          </w:p>
        </w:tc>
        <w:tc>
          <w:tcPr>
            <w:tcW w:w="1320" w:type="dxa"/>
            <w:vAlign w:val="bottom"/>
            <w:gridSpan w:val="2"/>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(7,545,641)</w:t>
            </w:r>
          </w:p>
        </w:tc>
        <w:tc>
          <w:tcPr>
            <w:tcW w:w="260" w:type="dxa"/>
            <w:vAlign w:val="bottom"/>
            <w:shd w:val="clear" w:color="auto" w:fill="E3E3E3"/>
          </w:tcPr>
          <w:p>
            <w:pPr>
              <w:spacing w:after="0"/>
              <w:rPr>
                <w:sz w:val="20"/>
                <w:szCs w:val="20"/>
                <w:color w:val="auto"/>
              </w:rPr>
            </w:pPr>
          </w:p>
        </w:tc>
        <w:tc>
          <w:tcPr>
            <w:tcW w:w="1420" w:type="dxa"/>
            <w:vAlign w:val="bottom"/>
            <w:tcBorders>
              <w:right w:val="single" w:sz="8" w:color="E3E3E3"/>
            </w:tcBorders>
            <w:gridSpan w:val="2"/>
            <w:shd w:val="clear" w:color="auto" w:fill="E3E3E3"/>
          </w:tcPr>
          <w:p>
            <w:pPr>
              <w:jc w:val="right"/>
              <w:ind w:right="280"/>
              <w:spacing w:after="0"/>
              <w:rPr>
                <w:sz w:val="20"/>
                <w:szCs w:val="20"/>
                <w:color w:val="auto"/>
              </w:rPr>
            </w:pPr>
            <w:r>
              <w:rPr>
                <w:rFonts w:ascii="Times New Roman" w:cs="Times New Roman" w:eastAsia="Times New Roman" w:hAnsi="Times New Roman"/>
                <w:sz w:val="20"/>
                <w:szCs w:val="20"/>
                <w:color w:val="auto"/>
              </w:rPr>
              <w:t>(7,153,207)</w:t>
            </w:r>
          </w:p>
        </w:tc>
        <w:tc>
          <w:tcPr>
            <w:tcW w:w="180" w:type="dxa"/>
            <w:vAlign w:val="bottom"/>
            <w:shd w:val="clear" w:color="auto" w:fill="E3E3E3"/>
          </w:tcPr>
          <w:p>
            <w:pPr>
              <w:spacing w:after="0"/>
              <w:rPr>
                <w:sz w:val="20"/>
                <w:szCs w:val="20"/>
                <w:color w:val="auto"/>
              </w:rPr>
            </w:pPr>
          </w:p>
        </w:tc>
        <w:tc>
          <w:tcPr>
            <w:tcW w:w="1360" w:type="dxa"/>
            <w:vAlign w:val="bottom"/>
            <w:gridSpan w:val="2"/>
            <w:shd w:val="clear" w:color="auto" w:fill="E3E3E3"/>
          </w:tcPr>
          <w:p>
            <w:pPr>
              <w:jc w:val="right"/>
              <w:ind w:right="98"/>
              <w:spacing w:after="0"/>
              <w:rPr>
                <w:sz w:val="20"/>
                <w:szCs w:val="20"/>
                <w:color w:val="auto"/>
              </w:rPr>
            </w:pPr>
            <w:r>
              <w:rPr>
                <w:rFonts w:ascii="Times New Roman" w:cs="Times New Roman" w:eastAsia="Times New Roman" w:hAnsi="Times New Roman"/>
                <w:sz w:val="20"/>
                <w:szCs w:val="20"/>
                <w:color w:val="auto"/>
              </w:rPr>
              <w:t>(392,434)</w:t>
            </w: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9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28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55,390,399</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54,950,885</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439,514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18"/>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60" w:type="dxa"/>
            <w:vAlign w:val="bottom"/>
            <w:shd w:val="clear" w:color="auto" w:fill="E3E3E3"/>
          </w:tcPr>
          <w:p>
            <w:pPr>
              <w:spacing w:after="0"/>
              <w:rPr>
                <w:sz w:val="20"/>
                <w:szCs w:val="20"/>
                <w:color w:val="auto"/>
              </w:rPr>
            </w:pPr>
          </w:p>
        </w:tc>
        <w:tc>
          <w:tcPr>
            <w:tcW w:w="108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060" w:type="dxa"/>
            <w:vAlign w:val="bottom"/>
            <w:shd w:val="clear" w:color="auto" w:fill="E3E3E3"/>
          </w:tcPr>
          <w:p>
            <w:pPr>
              <w:spacing w:after="0"/>
              <w:rPr>
                <w:sz w:val="20"/>
                <w:szCs w:val="20"/>
                <w:color w:val="auto"/>
              </w:rPr>
            </w:pPr>
          </w:p>
        </w:tc>
        <w:tc>
          <w:tcPr>
            <w:tcW w:w="360" w:type="dxa"/>
            <w:vAlign w:val="bottom"/>
            <w:tcBorders>
              <w:right w:val="single" w:sz="8" w:color="E3E3E3"/>
            </w:tcBorders>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120" w:type="dxa"/>
            <w:vAlign w:val="bottom"/>
            <w:shd w:val="clear" w:color="auto" w:fill="E3E3E3"/>
          </w:tcPr>
          <w:p>
            <w:pPr>
              <w:spacing w:after="0"/>
              <w:rPr>
                <w:sz w:val="20"/>
                <w:szCs w:val="20"/>
                <w:color w:val="auto"/>
              </w:rPr>
            </w:pPr>
          </w:p>
        </w:tc>
        <w:tc>
          <w:tcPr>
            <w:tcW w:w="240" w:type="dxa"/>
            <w:vAlign w:val="bottom"/>
            <w:tcBorders>
              <w:left w:val="single" w:sz="8" w:color="E3E3E3"/>
            </w:tcBorders>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780" w:type="dxa"/>
            <w:vAlign w:val="bottom"/>
            <w:tcBorders>
              <w:right w:val="single" w:sz="8" w:color="E3E3E3"/>
            </w:tcBorders>
            <w:shd w:val="clear" w:color="auto" w:fill="E3E3E3"/>
          </w:tcPr>
          <w:p>
            <w:pPr>
              <w:spacing w:after="0"/>
              <w:rPr>
                <w:sz w:val="20"/>
                <w:szCs w:val="20"/>
                <w:color w:val="auto"/>
              </w:rPr>
            </w:pPr>
          </w:p>
        </w:tc>
        <w:tc>
          <w:tcPr>
            <w:tcW w:w="180" w:type="dxa"/>
            <w:vAlign w:val="bottom"/>
            <w:tcBorders>
              <w:left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Management and incentive fees, net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8,202,136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8,061,896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140,240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1"/>
        </w:trPr>
        <w:tc>
          <w:tcPr>
            <w:tcW w:w="428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260" w:type="dxa"/>
            <w:vAlign w:val="bottom"/>
            <w:shd w:val="clear" w:color="auto" w:fill="E3E3E3"/>
          </w:tcPr>
          <w:p>
            <w:pPr>
              <w:spacing w:after="0"/>
              <w:rPr>
                <w:sz w:val="20"/>
                <w:szCs w:val="20"/>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5,304,451</w:t>
            </w:r>
          </w:p>
        </w:tc>
        <w:tc>
          <w:tcPr>
            <w:tcW w:w="24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5,388,967</w:t>
            </w:r>
          </w:p>
        </w:tc>
        <w:tc>
          <w:tcPr>
            <w:tcW w:w="360" w:type="dxa"/>
            <w:vAlign w:val="bottom"/>
            <w:tcBorders>
              <w:right w:val="single" w:sz="8" w:color="E3E3E3"/>
            </w:tcBorders>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360" w:type="dxa"/>
            <w:vAlign w:val="bottom"/>
            <w:gridSpan w:val="2"/>
            <w:shd w:val="clear" w:color="auto" w:fill="E3E3E3"/>
          </w:tcPr>
          <w:p>
            <w:pPr>
              <w:jc w:val="right"/>
              <w:ind w:right="98"/>
              <w:spacing w:after="0"/>
              <w:rPr>
                <w:sz w:val="20"/>
                <w:szCs w:val="20"/>
                <w:color w:val="auto"/>
              </w:rPr>
            </w:pPr>
            <w:r>
              <w:rPr>
                <w:rFonts w:ascii="Times New Roman" w:cs="Times New Roman" w:eastAsia="Times New Roman" w:hAnsi="Times New Roman"/>
                <w:sz w:val="20"/>
                <w:szCs w:val="20"/>
                <w:color w:val="auto"/>
              </w:rPr>
              <w:t>(84,516)</w:t>
            </w: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9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1"/>
        </w:trPr>
        <w:tc>
          <w:tcPr>
            <w:tcW w:w="4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Professional fees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1,938,422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1,811,067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127,355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1"/>
        </w:trPr>
        <w:tc>
          <w:tcPr>
            <w:tcW w:w="428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20"/>
                <w:szCs w:val="20"/>
                <w:color w:val="auto"/>
              </w:rPr>
              <w:t>Stock based compensation</w:t>
            </w:r>
          </w:p>
        </w:tc>
        <w:tc>
          <w:tcPr>
            <w:tcW w:w="260" w:type="dxa"/>
            <w:vAlign w:val="bottom"/>
            <w:shd w:val="clear" w:color="auto" w:fill="E3E3E3"/>
          </w:tcPr>
          <w:p>
            <w:pPr>
              <w:spacing w:after="0"/>
              <w:rPr>
                <w:sz w:val="20"/>
                <w:szCs w:val="20"/>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3,368,861</w:t>
            </w:r>
          </w:p>
        </w:tc>
        <w:tc>
          <w:tcPr>
            <w:tcW w:w="24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3,058,674</w:t>
            </w:r>
          </w:p>
        </w:tc>
        <w:tc>
          <w:tcPr>
            <w:tcW w:w="360" w:type="dxa"/>
            <w:vAlign w:val="bottom"/>
            <w:tcBorders>
              <w:right w:val="single" w:sz="8" w:color="E3E3E3"/>
            </w:tcBorders>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310,187</w:t>
            </w:r>
          </w:p>
        </w:tc>
        <w:tc>
          <w:tcPr>
            <w:tcW w:w="240" w:type="dxa"/>
            <w:vAlign w:val="bottom"/>
            <w:tcBorders>
              <w:left w:val="single" w:sz="8" w:color="E3E3E3"/>
            </w:tcBorders>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9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22"/>
        </w:trPr>
        <w:tc>
          <w:tcPr>
            <w:tcW w:w="4280" w:type="dxa"/>
            <w:vAlign w:val="bottom"/>
          </w:tcPr>
          <w:p>
            <w:pPr>
              <w:ind w:left="100"/>
              <w:spacing w:after="0" w:line="222" w:lineRule="exact"/>
              <w:rPr>
                <w:sz w:val="20"/>
                <w:szCs w:val="20"/>
                <w:color w:val="auto"/>
              </w:rPr>
            </w:pPr>
            <w:r>
              <w:rPr>
                <w:rFonts w:ascii="Times New Roman" w:cs="Times New Roman" w:eastAsia="Times New Roman" w:hAnsi="Times New Roman"/>
                <w:sz w:val="20"/>
                <w:szCs w:val="20"/>
                <w:color w:val="auto"/>
              </w:rPr>
              <w:t>Provision (benefit) for current expected credit</w:t>
            </w:r>
          </w:p>
        </w:tc>
        <w:tc>
          <w:tcPr>
            <w:tcW w:w="2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731,051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(583,298)</w:t>
            </w: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1,314,349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-225%</w:t>
            </w:r>
          </w:p>
        </w:tc>
        <w:tc>
          <w:tcPr>
            <w:tcW w:w="0" w:type="dxa"/>
            <w:vAlign w:val="bottom"/>
          </w:tcPr>
          <w:p>
            <w:pPr>
              <w:spacing w:after="0"/>
              <w:rPr>
                <w:sz w:val="1"/>
                <w:szCs w:val="1"/>
                <w:color w:val="auto"/>
              </w:rPr>
            </w:pPr>
          </w:p>
        </w:tc>
      </w:tr>
      <w:tr>
        <w:trPr>
          <w:trHeight w:val="247"/>
        </w:trPr>
        <w:tc>
          <w:tcPr>
            <w:tcW w:w="4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losses</w:t>
            </w:r>
          </w:p>
        </w:tc>
        <w:tc>
          <w:tcPr>
            <w:tcW w:w="2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Total expenses</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E3E3E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E3E3E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left w:val="single" w:sz="8" w:color="E3E3E3"/>
            </w:tcBorders>
            <w:shd w:val="clear" w:color="auto" w:fill="E3E3E3"/>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vMerge w:val="continue"/>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19,544,921</w:t>
            </w:r>
          </w:p>
        </w:tc>
        <w:tc>
          <w:tcPr>
            <w:tcW w:w="24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17,737,306</w:t>
            </w:r>
          </w:p>
        </w:tc>
        <w:tc>
          <w:tcPr>
            <w:tcW w:w="360" w:type="dxa"/>
            <w:vAlign w:val="bottom"/>
            <w:tcBorders>
              <w:right w:val="single" w:sz="8" w:color="E3E3E3"/>
            </w:tcBorders>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1,807,615</w:t>
            </w:r>
          </w:p>
        </w:tc>
        <w:tc>
          <w:tcPr>
            <w:tcW w:w="240" w:type="dxa"/>
            <w:vAlign w:val="bottom"/>
            <w:tcBorders>
              <w:left w:val="single" w:sz="8" w:color="E3E3E3"/>
            </w:tcBorders>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36"/>
        </w:trPr>
        <w:tc>
          <w:tcPr>
            <w:tcW w:w="4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 in unrealized gain (loss) on investments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165,000</w:t>
            </w: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(240,604)</w:t>
            </w:r>
          </w:p>
        </w:tc>
        <w:tc>
          <w:tcPr>
            <w:tcW w:w="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405,604</w:t>
            </w: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80" w:type="dxa"/>
            <w:vAlign w:val="bottom"/>
            <w:shd w:val="clear" w:color="auto" w:fill="E3E3E3"/>
          </w:tcPr>
          <w:p>
            <w:pPr>
              <w:ind w:left="100"/>
              <w:spacing w:after="0"/>
              <w:rPr>
                <w:sz w:val="20"/>
                <w:szCs w:val="20"/>
                <w:color w:val="auto"/>
              </w:rPr>
            </w:pPr>
            <w:r>
              <w:rPr>
                <w:rFonts w:ascii="Times New Roman" w:cs="Times New Roman" w:eastAsia="Times New Roman" w:hAnsi="Times New Roman"/>
                <w:sz w:val="20"/>
                <w:szCs w:val="20"/>
                <w:color w:val="auto"/>
              </w:rPr>
              <w:t>Realized gain on debt securities, at fair value</w:t>
            </w:r>
          </w:p>
        </w:tc>
        <w:tc>
          <w:tcPr>
            <w:tcW w:w="260" w:type="dxa"/>
            <w:vAlign w:val="bottom"/>
            <w:shd w:val="clear" w:color="auto" w:fill="E3E3E3"/>
          </w:tcPr>
          <w:p>
            <w:pPr>
              <w:spacing w:after="0"/>
              <w:rPr>
                <w:sz w:val="20"/>
                <w:szCs w:val="20"/>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72,428</w:t>
            </w:r>
          </w:p>
        </w:tc>
        <w:tc>
          <w:tcPr>
            <w:tcW w:w="360" w:type="dxa"/>
            <w:vAlign w:val="bottom"/>
            <w:tcBorders>
              <w:right w:val="single" w:sz="8" w:color="E3E3E3"/>
            </w:tcBorders>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1360" w:type="dxa"/>
            <w:vAlign w:val="bottom"/>
            <w:gridSpan w:val="2"/>
            <w:shd w:val="clear" w:color="auto" w:fill="E3E3E3"/>
          </w:tcPr>
          <w:p>
            <w:pPr>
              <w:jc w:val="right"/>
              <w:ind w:right="98"/>
              <w:spacing w:after="0"/>
              <w:rPr>
                <w:sz w:val="20"/>
                <w:szCs w:val="20"/>
                <w:color w:val="auto"/>
              </w:rPr>
            </w:pPr>
            <w:r>
              <w:rPr>
                <w:rFonts w:ascii="Times New Roman" w:cs="Times New Roman" w:eastAsia="Times New Roman" w:hAnsi="Times New Roman"/>
                <w:sz w:val="20"/>
                <w:szCs w:val="20"/>
                <w:color w:val="auto"/>
              </w:rPr>
              <w:t>(72,428)</w:t>
            </w: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9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Income before income taxes</w:t>
            </w: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36,010,478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37,045,403</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(1,034,925)</w:t>
            </w:r>
          </w:p>
        </w:tc>
        <w:tc>
          <w:tcPr>
            <w:tcW w:w="2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36"/>
        </w:trPr>
        <w:tc>
          <w:tcPr>
            <w:tcW w:w="4280" w:type="dxa"/>
            <w:vAlign w:val="bottom"/>
            <w:tcBorders>
              <w:top w:val="single" w:sz="8" w:color="E3E3E3"/>
            </w:tcBorders>
            <w:shd w:val="clear" w:color="auto" w:fill="E3E3E3"/>
          </w:tcPr>
          <w:p>
            <w:pPr>
              <w:ind w:left="100"/>
              <w:spacing w:after="0"/>
              <w:rPr>
                <w:sz w:val="20"/>
                <w:szCs w:val="20"/>
                <w:color w:val="auto"/>
              </w:rPr>
            </w:pPr>
            <w:r>
              <w:rPr>
                <w:rFonts w:ascii="Times New Roman" w:cs="Times New Roman" w:eastAsia="Times New Roman" w:hAnsi="Times New Roman"/>
                <w:sz w:val="20"/>
                <w:szCs w:val="20"/>
                <w:color w:val="auto"/>
              </w:rPr>
              <w:t>Income tax expense</w:t>
            </w:r>
          </w:p>
        </w:tc>
        <w:tc>
          <w:tcPr>
            <w:tcW w:w="260" w:type="dxa"/>
            <w:vAlign w:val="bottom"/>
            <w:tcBorders>
              <w:top w:val="single" w:sz="8" w:color="auto"/>
              <w:bottom w:val="single" w:sz="8" w:color="auto"/>
            </w:tcBorders>
            <w:shd w:val="clear" w:color="auto" w:fill="E3E3E3"/>
          </w:tcPr>
          <w:p>
            <w:pPr>
              <w:spacing w:after="0"/>
              <w:rPr>
                <w:sz w:val="20"/>
                <w:szCs w:val="20"/>
                <w:color w:val="auto"/>
              </w:rPr>
            </w:pP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E3E3E3"/>
            </w:tcBorders>
            <w:shd w:val="clear" w:color="auto" w:fill="E3E3E3"/>
          </w:tcPr>
          <w:p>
            <w:pPr>
              <w:spacing w:after="0"/>
              <w:rPr>
                <w:sz w:val="20"/>
                <w:szCs w:val="20"/>
                <w:color w:val="auto"/>
              </w:rPr>
            </w:pPr>
          </w:p>
        </w:tc>
        <w:tc>
          <w:tcPr>
            <w:tcW w:w="260" w:type="dxa"/>
            <w:vAlign w:val="bottom"/>
            <w:tcBorders>
              <w:top w:val="single" w:sz="8" w:color="auto"/>
              <w:bottom w:val="single" w:sz="8" w:color="auto"/>
            </w:tcBorders>
            <w:shd w:val="clear" w:color="auto" w:fill="E3E3E3"/>
          </w:tcPr>
          <w:p>
            <w:pPr>
              <w:spacing w:after="0"/>
              <w:rPr>
                <w:sz w:val="20"/>
                <w:szCs w:val="20"/>
                <w:color w:val="auto"/>
              </w:rPr>
            </w:pPr>
          </w:p>
        </w:tc>
        <w:tc>
          <w:tcPr>
            <w:tcW w:w="10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top w:val="single" w:sz="8" w:color="E3E3E3"/>
              <w:right w:val="single" w:sz="8" w:color="E3E3E3"/>
            </w:tcBorders>
            <w:shd w:val="clear" w:color="auto" w:fill="E3E3E3"/>
          </w:tcPr>
          <w:p>
            <w:pPr>
              <w:spacing w:after="0"/>
              <w:rPr>
                <w:sz w:val="20"/>
                <w:szCs w:val="20"/>
                <w:color w:val="auto"/>
              </w:rPr>
            </w:pPr>
          </w:p>
        </w:tc>
        <w:tc>
          <w:tcPr>
            <w:tcW w:w="180" w:type="dxa"/>
            <w:vAlign w:val="bottom"/>
            <w:tcBorders>
              <w:top w:val="single" w:sz="8" w:color="auto"/>
              <w:bottom w:val="single" w:sz="8" w:color="auto"/>
            </w:tcBorders>
            <w:shd w:val="clear" w:color="auto" w:fill="E3E3E3"/>
          </w:tcPr>
          <w:p>
            <w:pPr>
              <w:spacing w:after="0"/>
              <w:rPr>
                <w:sz w:val="20"/>
                <w:szCs w:val="20"/>
                <w:color w:val="auto"/>
              </w:rPr>
            </w:pPr>
          </w:p>
        </w:tc>
        <w:tc>
          <w:tcPr>
            <w:tcW w:w="1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E3E3E3"/>
              <w:left w:val="single" w:sz="8" w:color="E3E3E3"/>
            </w:tcBorders>
            <w:shd w:val="clear" w:color="auto" w:fill="E3E3E3"/>
          </w:tcPr>
          <w:p>
            <w:pPr>
              <w:spacing w:after="0"/>
              <w:rPr>
                <w:sz w:val="20"/>
                <w:szCs w:val="20"/>
                <w:color w:val="auto"/>
              </w:rPr>
            </w:pPr>
          </w:p>
        </w:tc>
        <w:tc>
          <w:tcPr>
            <w:tcW w:w="20" w:type="dxa"/>
            <w:vAlign w:val="bottom"/>
            <w:tcBorders>
              <w:top w:val="single" w:sz="8" w:color="auto"/>
            </w:tcBorders>
            <w:shd w:val="clear" w:color="auto" w:fill="E3E3E3"/>
          </w:tcPr>
          <w:p>
            <w:pPr>
              <w:spacing w:after="0"/>
              <w:rPr>
                <w:sz w:val="20"/>
                <w:szCs w:val="20"/>
                <w:color w:val="auto"/>
              </w:rPr>
            </w:pPr>
          </w:p>
        </w:tc>
        <w:tc>
          <w:tcPr>
            <w:tcW w:w="220" w:type="dxa"/>
            <w:vAlign w:val="bottom"/>
            <w:tcBorders>
              <w:top w:val="single" w:sz="8" w:color="auto"/>
              <w:bottom w:val="single" w:sz="8" w:color="auto"/>
            </w:tcBorders>
            <w:shd w:val="clear" w:color="auto" w:fill="E3E3E3"/>
          </w:tcPr>
          <w:p>
            <w:pPr>
              <w:spacing w:after="0"/>
              <w:rPr>
                <w:sz w:val="20"/>
                <w:szCs w:val="20"/>
                <w:color w:val="auto"/>
              </w:rPr>
            </w:pPr>
          </w:p>
        </w:tc>
        <w:tc>
          <w:tcPr>
            <w:tcW w:w="780" w:type="dxa"/>
            <w:vAlign w:val="bottom"/>
            <w:tcBorders>
              <w:top w:val="single" w:sz="8" w:color="auto"/>
              <w:bottom w:val="single" w:sz="8" w:color="auto"/>
              <w:right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E3E3E3"/>
              <w:left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36,010,478</w:t>
            </w:r>
          </w:p>
        </w:tc>
        <w:tc>
          <w:tcPr>
            <w:tcW w:w="240" w:type="dxa"/>
            <w:vAlign w:val="bottom"/>
          </w:tcPr>
          <w:p>
            <w:pPr>
              <w:spacing w:after="0"/>
              <w:rPr>
                <w:sz w:val="20"/>
                <w:szCs w:val="20"/>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37,045,403</w:t>
            </w:r>
          </w:p>
        </w:tc>
        <w:tc>
          <w:tcPr>
            <w:tcW w:w="36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(1,034,925</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5770880</wp:posOffset>
                </wp:positionH>
                <wp:positionV relativeFrom="paragraph">
                  <wp:posOffset>-965200</wp:posOffset>
                </wp:positionV>
                <wp:extent cx="624840" cy="15303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840" cy="153035"/>
                        </a:xfrm>
                        <a:prstGeom prst="rect">
                          <a:avLst/>
                        </a:prstGeom>
                        <a:solidFill>
                          <a:srgbClr val="E3E3E3"/>
                        </a:solidFill>
                      </wps:spPr>
                      <wps:bodyPr/>
                    </wps:wsp>
                  </a:graphicData>
                </a:graphic>
              </wp:anchor>
            </w:drawing>
          </mc:Choice>
          <mc:Fallback>
            <w:pict>
              <v:rect id="Shape 31" o:spid="_x0000_s1056" style="position:absolute;margin-left:454.4pt;margin-top:-76pt;width:49.2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10280"/>
          </w:cols>
          <w:pgMar w:left="1160" w:top="1016"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80"/>
          </w:cols>
          <w:pgMar w:left="1160" w:top="1016" w:right="800" w:bottom="254" w:gutter="0" w:footer="0" w:header="0"/>
          <w:type w:val="continuous"/>
        </w:sectPr>
      </w:pPr>
    </w:p>
    <w:bookmarkStart w:id="86" w:name="page87"/>
    <w:bookmarkEnd w:id="86"/>
    <w:p>
      <w:pPr>
        <w:jc w:val="both"/>
        <w:ind w:left="440" w:hanging="357"/>
        <w:spacing w:after="0"/>
        <w:tabs>
          <w:tab w:leader="none" w:pos="4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Gross interest income increased by approximately $0.8 million for the year ended December 31, 2025, compared to the year ended December 31, 2024. The increase in interest income was partially driven by the increase in outstanding principal balance of our portfolio, which increased to $411.1 million as of December 31, 2025 from $404.7 million as of December 31, 2024. Additionally, we recognized approximately $5.2 million of interest income from prepayment fees and acceleration of original issue discounts and other upfront fees during the year ended December 31, 2025, as compared to $3.2 million for the year ended December 31, 2024. These increases were offset by the decrease in the Prime rate of 75 basis points during the year from 7.50% to 6.75%, which impacted approximately 62.4% of the Company’s aggregate loan portfolio, which bore a floating rate as of December 31, 2025. Additionally, the weighted average YTM IRR on our portfolio decreased from 17.2% to 16.3% during the year, as a result of certain re-pricing amendments relating to de-risking of our portfolio and new 2025 loan originations having a lower YTM IRR than the weighted average at December 31, 2024.</w:t>
      </w:r>
    </w:p>
    <w:p>
      <w:pPr>
        <w:spacing w:after="0" w:line="182" w:lineRule="exact"/>
        <w:rPr>
          <w:rFonts w:ascii="Arial" w:cs="Arial" w:eastAsia="Arial" w:hAnsi="Arial"/>
          <w:sz w:val="20"/>
          <w:szCs w:val="20"/>
          <w:color w:val="auto"/>
        </w:rPr>
      </w:pPr>
    </w:p>
    <w:p>
      <w:pPr>
        <w:jc w:val="both"/>
        <w:ind w:left="440" w:hanging="357"/>
        <w:spacing w:after="0" w:line="241" w:lineRule="auto"/>
        <w:tabs>
          <w:tab w:leader="none" w:pos="4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Interest expense increased by approximately $0.4 million during the comparative period. During the fourth quarter of 2024, the Company entered into an agreement to obtain an additional $50.0 million of debt financing in the form of senior unsecured notes (the "Notes Payable"), which bear interest at a fixed rate of 9.0%. The Notes Payable was only in effect for three months during the year ended December 31, 2024, compared to a full year of interest expense for the year ended December 31, 2025, which contributed to approximately a $3.6 million increase. This increase was offset by a decrease in interest expense on our Revolving Loan driven by a decrease in the weighted average borrowings from $67.0 million to $32.8 million during the years ended December 31, 2025 and 2024, respectively. The increase in interest expense on our Notes Payable was also partially offset by the decrease in the Revolving Loan interest rate, which is based off of the Prime Rate that decreased 75 basis points during 2025.</w:t>
      </w:r>
    </w:p>
    <w:p>
      <w:pPr>
        <w:spacing w:after="0" w:line="179" w:lineRule="exact"/>
        <w:rPr>
          <w:rFonts w:ascii="Arial" w:cs="Arial" w:eastAsia="Arial" w:hAnsi="Arial"/>
          <w:sz w:val="20"/>
          <w:szCs w:val="20"/>
          <w:color w:val="auto"/>
        </w:rPr>
      </w:pPr>
    </w:p>
    <w:p>
      <w:pPr>
        <w:jc w:val="both"/>
        <w:ind w:left="440" w:hanging="357"/>
        <w:spacing w:after="0" w:line="244" w:lineRule="auto"/>
        <w:tabs>
          <w:tab w:leader="none" w:pos="4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 and incentive fees increased approximately $0.1 million during the comparative periods ending December 31, 2025 and 2024. Management fees increased by approximately $0.3 million, resulting from the increase in Equity, as defined in the Management Agreement. Total stockholders' equity was $307.8 million and $309.0 million as of December 31, 2025 and 2024, respectively. Incentive fees decreased approximately $0.2 million primarily attributable to the year over year decrease in Core Earnings, as defined in the Management Agreement, of $0.8 million, the base on which the incentive fees are earned.</w:t>
      </w:r>
    </w:p>
    <w:p>
      <w:pPr>
        <w:spacing w:after="0" w:line="172" w:lineRule="exact"/>
        <w:rPr>
          <w:rFonts w:ascii="Arial" w:cs="Arial" w:eastAsia="Arial" w:hAnsi="Arial"/>
          <w:sz w:val="20"/>
          <w:szCs w:val="20"/>
          <w:color w:val="auto"/>
        </w:rPr>
      </w:pPr>
    </w:p>
    <w:p>
      <w:pPr>
        <w:jc w:val="both"/>
        <w:ind w:left="440" w:hanging="357"/>
        <w:spacing w:after="0" w:line="244" w:lineRule="auto"/>
        <w:tabs>
          <w:tab w:leader="none" w:pos="4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General and administrative expense decreased by approximately $0.1 million and professional fees increased by approximately $0.1 million for the year ended December 31, 2025 compared to the year ended December 31, 2024. Overhead expense reimbursements for costs incurred by the Manager, which are reflected in the General and administrative expense on the consolidated statement of operations, increased by $0.1 million for the year ended December 31, 2025 and 2024. There were no significant or unusual direct or reimbursable expense changes during the year.</w:t>
      </w:r>
    </w:p>
    <w:p>
      <w:pPr>
        <w:spacing w:after="0" w:line="172" w:lineRule="exact"/>
        <w:rPr>
          <w:rFonts w:ascii="Arial" w:cs="Arial" w:eastAsia="Arial" w:hAnsi="Arial"/>
          <w:sz w:val="20"/>
          <w:szCs w:val="20"/>
          <w:color w:val="auto"/>
        </w:rPr>
      </w:pPr>
    </w:p>
    <w:p>
      <w:pPr>
        <w:jc w:val="both"/>
        <w:ind w:left="440" w:hanging="357"/>
        <w:spacing w:after="0" w:line="248" w:lineRule="auto"/>
        <w:tabs>
          <w:tab w:leader="none" w:pos="4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Stock based compensation increased by approximately $0.3 million as a result of a full year of expense recognition on the grant of 187,335 restricted stock awards granted to employees of our Manager during the year ended December 31, 2024, as well as an additional 187,157 of restricted stock awards granted during the year ended December 31, 2025. Stock based compensation expense is recognized ratably over the vesting period.</w:t>
      </w:r>
    </w:p>
    <w:p>
      <w:pPr>
        <w:spacing w:after="0" w:line="170" w:lineRule="exact"/>
        <w:rPr>
          <w:rFonts w:ascii="Arial" w:cs="Arial" w:eastAsia="Arial" w:hAnsi="Arial"/>
          <w:sz w:val="20"/>
          <w:szCs w:val="20"/>
          <w:color w:val="auto"/>
        </w:rPr>
      </w:pPr>
    </w:p>
    <w:p>
      <w:pPr>
        <w:jc w:val="both"/>
        <w:ind w:left="440" w:hanging="357"/>
        <w:spacing w:after="0" w:line="248" w:lineRule="auto"/>
        <w:tabs>
          <w:tab w:leader="none" w:pos="4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year over year increase in the CECL reserve results from a combination of changes in portfolio composition driven by new originations and repayments, as well as portfolio company specific events and credit quality changes that impacted expected loss estimates. The key drivers of the change in the CECL reserve during the comparative period are outlined below:</w:t>
      </w:r>
    </w:p>
    <w:p>
      <w:pPr>
        <w:spacing w:after="0" w:line="170" w:lineRule="exact"/>
        <w:rPr>
          <w:rFonts w:ascii="Arial" w:cs="Arial" w:eastAsia="Arial" w:hAnsi="Arial"/>
          <w:sz w:val="20"/>
          <w:szCs w:val="20"/>
          <w:color w:val="auto"/>
        </w:rPr>
      </w:pPr>
    </w:p>
    <w:p>
      <w:pPr>
        <w:jc w:val="both"/>
        <w:ind w:left="1180" w:hanging="487"/>
        <w:spacing w:after="0" w:line="248" w:lineRule="auto"/>
        <w:tabs>
          <w:tab w:leader="none" w:pos="1180" w:val="left"/>
        </w:tabs>
        <w:numPr>
          <w:ilvl w:val="1"/>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During the year ended December 31, 2025, the Company recorded reserves on new originations of approximately $28 thousand, which were offset by $42 thousand of reserves which existed at December 31, 2024 and were reversed as a result of full loan repayments. The net effect of new originations and full repayments on the CECL reserve was approximately a $14 thousand decrease.</w:t>
      </w:r>
    </w:p>
    <w:p>
      <w:pPr>
        <w:spacing w:after="0" w:line="170" w:lineRule="exact"/>
        <w:rPr>
          <w:rFonts w:ascii="Arial" w:cs="Arial" w:eastAsia="Arial" w:hAnsi="Arial"/>
          <w:sz w:val="20"/>
          <w:szCs w:val="20"/>
          <w:color w:val="auto"/>
        </w:rPr>
      </w:pPr>
    </w:p>
    <w:p>
      <w:pPr>
        <w:jc w:val="both"/>
        <w:ind w:left="1180" w:hanging="487"/>
        <w:spacing w:after="0" w:line="248" w:lineRule="auto"/>
        <w:tabs>
          <w:tab w:leader="none" w:pos="1180" w:val="left"/>
        </w:tabs>
        <w:numPr>
          <w:ilvl w:val="1"/>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CECL reserve relating to loans with a risk rating of "2" and "3" was $2.9 million or 0.8% of outstanding principal as of December 31, 2025 and $2.1 million or 0.6% of outstanding principal as of December 31, 2024. Management notes that loans risk rated "2" and "3" are generally deemed to be performing loans and generally carry similar CECL reserves,</w:t>
      </w:r>
    </w:p>
    <w:p>
      <w:pPr>
        <w:spacing w:after="0" w:line="170" w:lineRule="exact"/>
        <w:rPr>
          <w:rFonts w:ascii="Arial" w:cs="Arial" w:eastAsia="Arial" w:hAnsi="Arial"/>
          <w:sz w:val="20"/>
          <w:szCs w:val="20"/>
          <w:color w:val="auto"/>
        </w:rPr>
      </w:pPr>
    </w:p>
    <w:p>
      <w:pPr>
        <w:jc w:val="both"/>
        <w:ind w:left="1180" w:hanging="487"/>
        <w:spacing w:after="0" w:line="254" w:lineRule="auto"/>
        <w:tabs>
          <w:tab w:leader="none" w:pos="1180" w:val="left"/>
        </w:tabs>
        <w:numPr>
          <w:ilvl w:val="1"/>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CECL reserve for loans included in risk rating "4" was $2.2 million or 11.3% of outstanding principal as of December 31, 2025 and $2.3 million or 6.0% of outstanding principal as of December 31, 2024. Loans that are risk rated "4"are high risk for potential loss and require regular monitoring.</w:t>
      </w:r>
    </w:p>
    <w:p>
      <w:pPr>
        <w:sectPr>
          <w:pgSz w:w="12240" w:h="15840" w:orient="portrait"/>
          <w:cols w:equalWidth="0" w:num="1">
            <w:col w:w="10000"/>
          </w:cols>
          <w:pgMar w:left="1440" w:top="1023" w:right="800" w:bottom="254"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000"/>
          </w:cols>
          <w:pgMar w:left="1440" w:top="1023" w:right="800" w:bottom="254" w:gutter="0" w:footer="0" w:header="0"/>
          <w:type w:val="continuous"/>
        </w:sectPr>
      </w:pPr>
    </w:p>
    <w:bookmarkStart w:id="87" w:name="page88"/>
    <w:bookmarkEnd w:id="87"/>
    <w:p>
      <w:pPr>
        <w:jc w:val="both"/>
        <w:ind w:left="1460" w:hanging="487"/>
        <w:spacing w:after="0" w:line="248" w:lineRule="auto"/>
        <w:tabs>
          <w:tab w:leader="none" w:pos="1460" w:val="left"/>
        </w:tabs>
        <w:numPr>
          <w:ilvl w:val="1"/>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Loans placed on non-accrual during the year, specifically Loan #4 and Loan #34, resulted in a $1.3 million increase to the CECL reserve. When the loans were placed on non-accrual status in December 2025, an aggregate of $0.9 million of accrued interest receivable was reversed. The non-performing nature of these loans as of December 31, 2025 is a key input to the Company's CECL analysis.</w:t>
      </w:r>
    </w:p>
    <w:p>
      <w:pPr>
        <w:spacing w:after="0" w:line="170" w:lineRule="exact"/>
        <w:rPr>
          <w:rFonts w:ascii="Arial" w:cs="Arial" w:eastAsia="Arial" w:hAnsi="Arial"/>
          <w:sz w:val="20"/>
          <w:szCs w:val="20"/>
          <w:color w:val="auto"/>
        </w:rPr>
      </w:pPr>
    </w:p>
    <w:p>
      <w:pPr>
        <w:jc w:val="both"/>
        <w:ind w:left="1460" w:hanging="487"/>
        <w:spacing w:after="0" w:line="241" w:lineRule="auto"/>
        <w:tabs>
          <w:tab w:leader="none" w:pos="1460" w:val="left"/>
        </w:tabs>
        <w:numPr>
          <w:ilvl w:val="1"/>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Loan #9(a)(b), which have been on non-accrual since May 2023, were restructured during 2025. The Company made incremental advances to fund accretive acquisitions which management expects to result in improved operating performance. As a result of the borrowers acquisitions, the estimated LTV ratio decreased by approximately 15% year over year. Additionally, in connection with the December 2025 advance, the Company collected all past due unpaid interest and the borrower was brought to current. Management elected to maintain Loan #9 on non-accrual status as of December 31, 2025 until such time that the borrower demonstrates sustained ability to meet debt service obligations for a minimum of 60 days. However; despite maintaining the loan on non-accrual, the decrease in LTV ratio and collection of past due interest were the primary drivers of a $0.7 million decrease in CECL reserve as of December 31, 2025, and offset the increase attributable to Loan #4 and #34.</w:t>
      </w:r>
    </w:p>
    <w:p>
      <w:pPr>
        <w:spacing w:after="0" w:line="175" w:lineRule="exact"/>
        <w:rPr>
          <w:rFonts w:ascii="Arial" w:cs="Arial" w:eastAsia="Arial" w:hAnsi="Arial"/>
          <w:sz w:val="20"/>
          <w:szCs w:val="20"/>
          <w:color w:val="auto"/>
        </w:rPr>
      </w:pPr>
    </w:p>
    <w:p>
      <w:pPr>
        <w:jc w:val="both"/>
        <w:ind w:left="720" w:hanging="357"/>
        <w:spacing w:after="0" w:line="244" w:lineRule="auto"/>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 current expected credit loss reserve of approximately $5.1 million is held at carrying value and represents approximately 123 basis points of our aggregate loan commitments of $411.1 million.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 and Key Financial Measures and Indicators</w:t>
      </w:r>
    </w:p>
    <w:p>
      <w:pPr>
        <w:spacing w:after="0" w:line="199"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As a commercial mortgage real estate investment trust, we believe the key financial measures and indicators for our business are Distributable Earnings, book value per share, and dividends declared per share.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Distributable Earnings</w:t>
      </w:r>
    </w:p>
    <w:p>
      <w:pPr>
        <w:spacing w:after="0" w:line="193"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In addition to using certain financial metrics prepared in accordance with GAAP to evaluate our performance, we also use Distributable Earnings to evaluate our performance.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w:t>
      </w:r>
    </w:p>
    <w:p>
      <w:pPr>
        <w:spacing w:after="0" w:line="166"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We believe providing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62"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Distributable Earnings should not be considered as substitutes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spacing w:after="0" w:line="153" w:lineRule="exact"/>
        <w:rPr>
          <w:sz w:val="20"/>
          <w:szCs w:val="20"/>
          <w:color w:val="auto"/>
        </w:rPr>
      </w:pPr>
    </w:p>
    <w:p>
      <w:pPr>
        <w:ind w:right="120" w:firstLine="355"/>
        <w:spacing w:after="0" w:line="272" w:lineRule="auto"/>
        <w:rPr>
          <w:sz w:val="20"/>
          <w:szCs w:val="20"/>
          <w:color w:val="auto"/>
        </w:rPr>
      </w:pPr>
      <w:r>
        <w:rPr>
          <w:rFonts w:ascii="Times New Roman" w:cs="Times New Roman" w:eastAsia="Times New Roman" w:hAnsi="Times New Roman"/>
          <w:sz w:val="20"/>
          <w:szCs w:val="20"/>
          <w:color w:val="auto"/>
        </w:rPr>
        <w:t>The following table provides a reconciliation of GAAP net income to Distributable Earnings (in thousands, except per share data):</w:t>
      </w:r>
    </w:p>
    <w:p>
      <w:pPr>
        <w:sectPr>
          <w:pgSz w:w="12240" w:h="15840" w:orient="portrait"/>
          <w:cols w:equalWidth="0" w:num="1">
            <w:col w:w="10280"/>
          </w:cols>
          <w:pgMar w:left="1160" w:top="1023"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80"/>
          </w:cols>
          <w:pgMar w:left="1160" w:top="1023" w:right="800" w:bottom="254"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40" w:type="dxa"/>
            <w:vAlign w:val="bottom"/>
            <w:gridSpan w:val="4"/>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1"/>
        </w:trPr>
        <w:tc>
          <w:tcPr>
            <w:tcW w:w="6600" w:type="dxa"/>
            <w:vAlign w:val="bottom"/>
          </w:tcPr>
          <w:p>
            <w:pPr>
              <w:spacing w:after="0"/>
              <w:rPr>
                <w:sz w:val="21"/>
                <w:szCs w:val="21"/>
                <w:color w:val="auto"/>
              </w:rPr>
            </w:pPr>
          </w:p>
        </w:tc>
        <w:tc>
          <w:tcPr>
            <w:tcW w:w="18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80" w:type="dxa"/>
            <w:vAlign w:val="bottom"/>
          </w:tcPr>
          <w:p>
            <w:pPr>
              <w:spacing w:after="0"/>
              <w:rPr>
                <w:sz w:val="21"/>
                <w:szCs w:val="21"/>
                <w:color w:val="auto"/>
              </w:rPr>
            </w:pP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36"/>
        </w:trPr>
        <w:tc>
          <w:tcPr>
            <w:tcW w:w="660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440" w:type="dxa"/>
            <w:vAlign w:val="bottom"/>
            <w:tcBorders>
              <w:top w:val="single" w:sz="8" w:color="auto"/>
            </w:tcBorders>
            <w:shd w:val="clear" w:color="auto" w:fill="E3E3E3"/>
          </w:tcPr>
          <w:p>
            <w:pPr>
              <w:jc w:val="right"/>
              <w:ind w:right="24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36,010,478</w:t>
            </w:r>
          </w:p>
        </w:tc>
        <w:tc>
          <w:tcPr>
            <w:tcW w:w="120" w:type="dxa"/>
            <w:vAlign w:val="bottom"/>
            <w:tcBorders>
              <w:top w:val="single" w:sz="8" w:color="E3E3E3"/>
            </w:tcBorders>
            <w:shd w:val="clear" w:color="auto" w:fill="E3E3E3"/>
          </w:tcPr>
          <w:p>
            <w:pPr>
              <w:spacing w:after="0"/>
              <w:rPr>
                <w:sz w:val="20"/>
                <w:szCs w:val="20"/>
                <w:color w:val="auto"/>
              </w:rPr>
            </w:pPr>
          </w:p>
        </w:tc>
        <w:tc>
          <w:tcPr>
            <w:tcW w:w="80" w:type="dxa"/>
            <w:vAlign w:val="bottom"/>
            <w:tcBorders>
              <w:top w:val="single" w:sz="8" w:color="E3E3E3"/>
            </w:tcBorders>
            <w:shd w:val="clear" w:color="auto" w:fill="E3E3E3"/>
          </w:tcPr>
          <w:p>
            <w:pPr>
              <w:spacing w:after="0"/>
              <w:rPr>
                <w:sz w:val="20"/>
                <w:szCs w:val="20"/>
                <w:color w:val="auto"/>
              </w:rPr>
            </w:pPr>
          </w:p>
        </w:tc>
        <w:tc>
          <w:tcPr>
            <w:tcW w:w="580" w:type="dxa"/>
            <w:vAlign w:val="bottom"/>
            <w:tcBorders>
              <w:top w:val="single" w:sz="8" w:color="auto"/>
            </w:tcBorders>
            <w:shd w:val="clear" w:color="auto" w:fill="E3E3E3"/>
          </w:tcPr>
          <w:p>
            <w:pPr>
              <w:jc w:val="right"/>
              <w:ind w:right="38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37,045,403</w:t>
            </w:r>
          </w:p>
        </w:tc>
        <w:tc>
          <w:tcPr>
            <w:tcW w:w="80" w:type="dxa"/>
            <w:vAlign w:val="bottom"/>
            <w:tcBorders>
              <w:top w:val="single" w:sz="8" w:color="E3E3E3"/>
            </w:tcBorders>
            <w:shd w:val="clear" w:color="auto" w:fill="E3E3E3"/>
          </w:tcPr>
          <w:p>
            <w:pPr>
              <w:spacing w:after="0"/>
              <w:rPr>
                <w:sz w:val="20"/>
                <w:szCs w:val="20"/>
                <w:color w:val="auto"/>
              </w:rPr>
            </w:pPr>
          </w:p>
        </w:tc>
      </w:tr>
      <w:tr>
        <w:trPr>
          <w:trHeight w:val="241"/>
        </w:trPr>
        <w:tc>
          <w:tcPr>
            <w:tcW w:w="6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Adjustments to net income</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66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Stock based compensation</w:t>
            </w:r>
          </w:p>
        </w:tc>
        <w:tc>
          <w:tcPr>
            <w:tcW w:w="440" w:type="dxa"/>
            <w:vAlign w:val="bottom"/>
            <w:shd w:val="clear" w:color="auto" w:fill="E3E3E3"/>
          </w:tcPr>
          <w:p>
            <w:pPr>
              <w:spacing w:after="0"/>
              <w:rPr>
                <w:sz w:val="20"/>
                <w:szCs w:val="20"/>
                <w:color w:val="auto"/>
              </w:rPr>
            </w:pP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3,368,861</w:t>
            </w:r>
          </w:p>
        </w:tc>
        <w:tc>
          <w:tcPr>
            <w:tcW w:w="1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58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3,058,674</w:t>
            </w:r>
          </w:p>
        </w:tc>
        <w:tc>
          <w:tcPr>
            <w:tcW w:w="80" w:type="dxa"/>
            <w:vAlign w:val="bottom"/>
            <w:shd w:val="clear" w:color="auto" w:fill="E3E3E3"/>
          </w:tcPr>
          <w:p>
            <w:pPr>
              <w:spacing w:after="0"/>
              <w:rPr>
                <w:sz w:val="20"/>
                <w:szCs w:val="20"/>
                <w:color w:val="auto"/>
              </w:rPr>
            </w:pPr>
          </w:p>
        </w:tc>
      </w:tr>
      <w:tr>
        <w:trPr>
          <w:trHeight w:val="241"/>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debt issuance costs</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406,663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256,998</w:t>
            </w:r>
          </w:p>
        </w:tc>
        <w:tc>
          <w:tcPr>
            <w:tcW w:w="80" w:type="dxa"/>
            <w:vAlign w:val="bottom"/>
          </w:tcPr>
          <w:p>
            <w:pPr>
              <w:spacing w:after="0"/>
              <w:rPr>
                <w:sz w:val="20"/>
                <w:szCs w:val="20"/>
                <w:color w:val="auto"/>
              </w:rPr>
            </w:pPr>
          </w:p>
        </w:tc>
      </w:tr>
      <w:tr>
        <w:trPr>
          <w:trHeight w:val="241"/>
        </w:trPr>
        <w:tc>
          <w:tcPr>
            <w:tcW w:w="66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Provision (benefit) for current expected credit losses</w:t>
            </w:r>
          </w:p>
        </w:tc>
        <w:tc>
          <w:tcPr>
            <w:tcW w:w="440" w:type="dxa"/>
            <w:vAlign w:val="bottom"/>
            <w:shd w:val="clear" w:color="auto" w:fill="E3E3E3"/>
          </w:tcPr>
          <w:p>
            <w:pPr>
              <w:spacing w:after="0"/>
              <w:rPr>
                <w:sz w:val="20"/>
                <w:szCs w:val="20"/>
                <w:color w:val="auto"/>
              </w:rPr>
            </w:pP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731,051</w:t>
            </w:r>
          </w:p>
        </w:tc>
        <w:tc>
          <w:tcPr>
            <w:tcW w:w="1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580" w:type="dxa"/>
            <w:vAlign w:val="bottom"/>
            <w:shd w:val="clear" w:color="auto" w:fill="E3E3E3"/>
          </w:tcPr>
          <w:p>
            <w:pPr>
              <w:spacing w:after="0"/>
              <w:rPr>
                <w:sz w:val="20"/>
                <w:szCs w:val="20"/>
                <w:color w:val="auto"/>
              </w:rPr>
            </w:pPr>
          </w:p>
        </w:tc>
        <w:tc>
          <w:tcPr>
            <w:tcW w:w="12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(583,298)</w:t>
            </w:r>
          </w:p>
        </w:tc>
      </w:tr>
      <w:tr>
        <w:trPr>
          <w:trHeight w:val="241"/>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unrealized gain (loss) on investments</w:t>
            </w:r>
          </w:p>
        </w:tc>
        <w:tc>
          <w:tcPr>
            <w:tcW w:w="4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(165,000)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240,604</w:t>
            </w:r>
          </w:p>
        </w:tc>
        <w:tc>
          <w:tcPr>
            <w:tcW w:w="80" w:type="dxa"/>
            <w:vAlign w:val="bottom"/>
          </w:tcPr>
          <w:p>
            <w:pPr>
              <w:spacing w:after="0"/>
              <w:rPr>
                <w:sz w:val="20"/>
                <w:szCs w:val="20"/>
                <w:color w:val="auto"/>
              </w:rPr>
            </w:pPr>
          </w:p>
        </w:tc>
      </w:tr>
      <w:tr>
        <w:trPr>
          <w:trHeight w:val="236"/>
        </w:trPr>
        <w:tc>
          <w:tcPr>
            <w:tcW w:w="660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Distributable Earnings</w:t>
            </w:r>
          </w:p>
        </w:tc>
        <w:tc>
          <w:tcPr>
            <w:tcW w:w="440" w:type="dxa"/>
            <w:vAlign w:val="bottom"/>
            <w:tcBorders>
              <w:top w:val="single" w:sz="8" w:color="auto"/>
              <w:bottom w:val="single" w:sz="8" w:color="auto"/>
            </w:tcBorders>
            <w:shd w:val="clear" w:color="auto" w:fill="E3E3E3"/>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40,352,053</w:t>
            </w:r>
          </w:p>
        </w:tc>
        <w:tc>
          <w:tcPr>
            <w:tcW w:w="120" w:type="dxa"/>
            <w:vAlign w:val="bottom"/>
            <w:tcBorders>
              <w:top w:val="single" w:sz="8" w:color="E3E3E3"/>
            </w:tcBorders>
            <w:shd w:val="clear" w:color="auto" w:fill="E3E3E3"/>
          </w:tcPr>
          <w:p>
            <w:pPr>
              <w:spacing w:after="0"/>
              <w:rPr>
                <w:sz w:val="20"/>
                <w:szCs w:val="20"/>
                <w:color w:val="auto"/>
              </w:rPr>
            </w:pPr>
          </w:p>
        </w:tc>
        <w:tc>
          <w:tcPr>
            <w:tcW w:w="80" w:type="dxa"/>
            <w:vAlign w:val="bottom"/>
            <w:tcBorders>
              <w:top w:val="single" w:sz="8" w:color="E3E3E3"/>
            </w:tcBorders>
            <w:shd w:val="clear" w:color="auto" w:fill="E3E3E3"/>
          </w:tcPr>
          <w:p>
            <w:pPr>
              <w:spacing w:after="0"/>
              <w:rPr>
                <w:sz w:val="20"/>
                <w:szCs w:val="20"/>
                <w:color w:val="auto"/>
              </w:rPr>
            </w:pPr>
          </w:p>
        </w:tc>
        <w:tc>
          <w:tcPr>
            <w:tcW w:w="580" w:type="dxa"/>
            <w:vAlign w:val="bottom"/>
            <w:tcBorders>
              <w:top w:val="single" w:sz="8" w:color="auto"/>
              <w:bottom w:val="single" w:sz="8" w:color="auto"/>
            </w:tcBorders>
            <w:shd w:val="clear" w:color="auto" w:fill="E3E3E3"/>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40,018,381</w:t>
            </w:r>
          </w:p>
        </w:tc>
        <w:tc>
          <w:tcPr>
            <w:tcW w:w="80" w:type="dxa"/>
            <w:vAlign w:val="bottom"/>
            <w:tcBorders>
              <w:top w:val="single" w:sz="8" w:color="E3E3E3"/>
            </w:tcBorders>
            <w:shd w:val="clear" w:color="auto" w:fill="E3E3E3"/>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66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Basic weighted average shares of common stock outstanding (in shares)</w:t>
            </w:r>
          </w:p>
        </w:tc>
        <w:tc>
          <w:tcPr>
            <w:tcW w:w="440" w:type="dxa"/>
            <w:vAlign w:val="bottom"/>
          </w:tcPr>
          <w:p>
            <w:pPr>
              <w:spacing w:after="0"/>
              <w:rPr>
                <w:sz w:val="19"/>
                <w:szCs w:val="19"/>
                <w:color w:val="auto"/>
              </w:rPr>
            </w:pPr>
          </w:p>
        </w:tc>
        <w:tc>
          <w:tcPr>
            <w:tcW w:w="12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21,003,635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19,279,501</w:t>
            </w:r>
          </w:p>
        </w:tc>
        <w:tc>
          <w:tcPr>
            <w:tcW w:w="80" w:type="dxa"/>
            <w:vAlign w:val="bottom"/>
          </w:tcPr>
          <w:p>
            <w:pPr>
              <w:spacing w:after="0"/>
              <w:rPr>
                <w:sz w:val="19"/>
                <w:szCs w:val="19"/>
                <w:color w:val="auto"/>
              </w:rPr>
            </w:pPr>
          </w:p>
        </w:tc>
      </w:tr>
      <w:tr>
        <w:trPr>
          <w:trHeight w:val="241"/>
        </w:trPr>
        <w:tc>
          <w:tcPr>
            <w:tcW w:w="66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Basic Distributable Earnings per Weighted Average Share</w:t>
            </w:r>
          </w:p>
        </w:tc>
        <w:tc>
          <w:tcPr>
            <w:tcW w:w="440" w:type="dxa"/>
            <w:vAlign w:val="bottom"/>
            <w:shd w:val="clear" w:color="auto" w:fill="E3E3E3"/>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1.92</w:t>
            </w:r>
          </w:p>
        </w:tc>
        <w:tc>
          <w:tcPr>
            <w:tcW w:w="120" w:type="dxa"/>
            <w:vAlign w:val="bottom"/>
            <w:shd w:val="clear" w:color="auto" w:fill="E3E3E3"/>
          </w:tcPr>
          <w:p>
            <w:pPr>
              <w:spacing w:after="0"/>
              <w:rPr>
                <w:sz w:val="20"/>
                <w:szCs w:val="20"/>
                <w:color w:val="auto"/>
              </w:rPr>
            </w:pPr>
          </w:p>
        </w:tc>
        <w:tc>
          <w:tcPr>
            <w:tcW w:w="660" w:type="dxa"/>
            <w:vAlign w:val="bottom"/>
            <w:gridSpan w:val="2"/>
            <w:shd w:val="clear" w:color="auto" w:fill="E3E3E3"/>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2.08</w:t>
            </w:r>
          </w:p>
        </w:tc>
        <w:tc>
          <w:tcPr>
            <w:tcW w:w="80" w:type="dxa"/>
            <w:vAlign w:val="bottom"/>
            <w:shd w:val="clear" w:color="auto" w:fill="E3E3E3"/>
          </w:tcPr>
          <w:p>
            <w:pPr>
              <w:spacing w:after="0"/>
              <w:rPr>
                <w:sz w:val="20"/>
                <w:szCs w:val="20"/>
                <w:color w:val="auto"/>
              </w:rPr>
            </w:pPr>
          </w:p>
        </w:tc>
      </w:tr>
      <w:tr>
        <w:trPr>
          <w:trHeight w:val="241"/>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Diluted weighted average shares of common stock outstanding (in shares)</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21,431,650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19,713,916</w:t>
            </w:r>
          </w:p>
        </w:tc>
        <w:tc>
          <w:tcPr>
            <w:tcW w:w="80" w:type="dxa"/>
            <w:vAlign w:val="bottom"/>
          </w:tcPr>
          <w:p>
            <w:pPr>
              <w:spacing w:after="0"/>
              <w:rPr>
                <w:sz w:val="20"/>
                <w:szCs w:val="20"/>
                <w:color w:val="auto"/>
              </w:rPr>
            </w:pPr>
          </w:p>
        </w:tc>
      </w:tr>
      <w:tr>
        <w:trPr>
          <w:trHeight w:val="241"/>
        </w:trPr>
        <w:tc>
          <w:tcPr>
            <w:tcW w:w="66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Diluted Distributable Earnings per Weighted Average Share</w:t>
            </w:r>
          </w:p>
        </w:tc>
        <w:tc>
          <w:tcPr>
            <w:tcW w:w="440" w:type="dxa"/>
            <w:vAlign w:val="bottom"/>
            <w:shd w:val="clear" w:color="auto" w:fill="E3E3E3"/>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120" w:type="dxa"/>
            <w:vAlign w:val="bottom"/>
            <w:shd w:val="clear" w:color="auto" w:fill="E3E3E3"/>
          </w:tcPr>
          <w:p>
            <w:pPr>
              <w:spacing w:after="0"/>
              <w:rPr>
                <w:sz w:val="20"/>
                <w:szCs w:val="20"/>
                <w:color w:val="auto"/>
              </w:rPr>
            </w:pPr>
          </w:p>
        </w:tc>
        <w:tc>
          <w:tcPr>
            <w:tcW w:w="660" w:type="dxa"/>
            <w:vAlign w:val="bottom"/>
            <w:gridSpan w:val="2"/>
            <w:shd w:val="clear" w:color="auto" w:fill="E3E3E3"/>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2.03</w:t>
            </w:r>
          </w:p>
        </w:tc>
        <w:tc>
          <w:tcPr>
            <w:tcW w:w="80" w:type="dxa"/>
            <w:vAlign w:val="bottom"/>
            <w:shd w:val="clear" w:color="auto" w:fill="E3E3E3"/>
          </w:tcPr>
          <w:p>
            <w:pPr>
              <w:spacing w:after="0"/>
              <w:rPr>
                <w:sz w:val="20"/>
                <w:szCs w:val="20"/>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Book Value Per Share</w:t>
      </w:r>
    </w:p>
    <w:p>
      <w:pPr>
        <w:spacing w:after="0" w:line="193" w:lineRule="exact"/>
        <w:rPr>
          <w:sz w:val="20"/>
          <w:szCs w:val="20"/>
          <w:color w:val="auto"/>
        </w:rPr>
      </w:pPr>
    </w:p>
    <w:p>
      <w:pPr>
        <w:jc w:val="both"/>
        <w:ind w:firstLine="355"/>
        <w:spacing w:after="0" w:line="273" w:lineRule="auto"/>
        <w:rPr>
          <w:sz w:val="20"/>
          <w:szCs w:val="20"/>
          <w:color w:val="auto"/>
        </w:rPr>
      </w:pPr>
      <w:r>
        <w:rPr>
          <w:rFonts w:ascii="Times New Roman" w:cs="Times New Roman" w:eastAsia="Times New Roman" w:hAnsi="Times New Roman"/>
          <w:sz w:val="20"/>
          <w:szCs w:val="20"/>
          <w:color w:val="auto"/>
        </w:rPr>
        <w:t>The book value per share of our common stock as of December 31, 2025 and 2024 was approximately $14.60 and $14.83,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53"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the demand for capital continues to increase as operators seek to enter and build out new markets. In the short-term, we expect the principal amount of the loans we originate to increase and that we will need to raise additional equity and/or debt financing to increase our liquidity. We expect to achieve this through recycling capital from loan paydowns, repayments, and sales of common stock related to our shelf registration statement.</w:t>
      </w:r>
    </w:p>
    <w:p>
      <w:pPr>
        <w:spacing w:after="0" w:line="166"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As of December 31, 2025 and 2024, all of our cash was unrestricted and totaled approximately $14.9 million and $26.4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Markets</w:t>
      </w:r>
    </w:p>
    <w:p>
      <w:pPr>
        <w:spacing w:after="0" w:line="193"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We may seek to raise further equity capital and issue debt securities in order to fund our future investments in loans. Our Shelf Registration Statement on Form S-3 became effective on January 19, 2023 (the "Previous Registration Statement"), allowing us to sell, from time to time in one or more offerings, up to $ 500 million of our securities, including common stock, preferred stock, debt securities, warrants and rights (including as part of a unit) to purchase shares of our common stock, preferred stock, or debt securities. We filed a replacement Shelf Registration Statement on Form S-3 on January 16, 2026 (the “New Registration Statement”), which extends the effectiveness period of the Previous Registration Statement 180 days or until the effectiveness of the New Registration Statement, whichever comes first. The specifics of any future offerings, along with the use of proceeds of any securities offered, will be described in detail in a prospectus supplement, or other offering materials, at the time of any offering.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At-the-Market Offering Program (“ATM” Program”)</w:t>
      </w:r>
    </w:p>
    <w:p>
      <w:pPr>
        <w:spacing w:after="0" w:line="193" w:lineRule="exact"/>
        <w:rPr>
          <w:sz w:val="20"/>
          <w:szCs w:val="20"/>
          <w:color w:val="auto"/>
        </w:rPr>
      </w:pPr>
    </w:p>
    <w:p>
      <w:pPr>
        <w:jc w:val="both"/>
        <w:ind w:firstLine="355"/>
        <w:spacing w:after="0" w:line="266" w:lineRule="auto"/>
        <w:rPr>
          <w:sz w:val="20"/>
          <w:szCs w:val="20"/>
          <w:color w:val="auto"/>
        </w:rPr>
      </w:pPr>
      <w:r>
        <w:rPr>
          <w:rFonts w:ascii="Times New Roman" w:cs="Times New Roman" w:eastAsia="Times New Roman" w:hAnsi="Times New Roman"/>
          <w:sz w:val="19"/>
          <w:szCs w:val="19"/>
          <w:color w:val="auto"/>
        </w:rPr>
        <w:t>On June 20, 2023, the Company entered into separate At-the-Market Sales Agreement (each, a "Sales Agreement" and together, the “Previous Sales Agreements”) with BTIG, LLC, Compass Point Research &amp; Trading, LLC and Oppenheimer &amp; Co. Inc. (each a “Sales Agent” and together the “Previous Sales Agents”) under which the Company may, from time to time, offer and sell shares of common stock, having an aggregate offering price of up to $75.0 million. Under the terms of the Previous Sales</w:t>
      </w:r>
    </w:p>
    <w:p>
      <w:pPr>
        <w:sectPr>
          <w:pgSz w:w="12240" w:h="15840" w:orient="portrait"/>
          <w:cols w:equalWidth="0" w:num="1">
            <w:col w:w="10280"/>
          </w:cols>
          <w:pgMar w:left="1160" w:top="1019" w:right="800" w:bottom="254"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80"/>
          </w:cols>
          <w:pgMar w:left="1160" w:top="1019" w:right="800" w:bottom="254" w:gutter="0" w:footer="0" w:header="0"/>
          <w:type w:val="continuous"/>
        </w:sectPr>
      </w:pPr>
    </w:p>
    <w:bookmarkStart w:id="89" w:name="page90"/>
    <w:bookmarkEnd w:id="89"/>
    <w:p>
      <w:pPr>
        <w:jc w:val="both"/>
        <w:spacing w:after="0" w:line="241" w:lineRule="auto"/>
        <w:rPr>
          <w:sz w:val="20"/>
          <w:szCs w:val="20"/>
          <w:color w:val="auto"/>
        </w:rPr>
      </w:pPr>
      <w:r>
        <w:rPr>
          <w:rFonts w:ascii="Times New Roman" w:cs="Times New Roman" w:eastAsia="Times New Roman" w:hAnsi="Times New Roman"/>
          <w:sz w:val="20"/>
          <w:szCs w:val="20"/>
          <w:color w:val="auto"/>
        </w:rPr>
        <w:t>Agreement, the Company agreed to pay the Previous Sales Agents a commission of up to 3.0% of the gross proceeds from each sale of common stock sold through the Previous Sales Agents. On March 17, 2025, the Company entered into new separate at-the-market sales agreements (each a “New Sales Agreement” and together with the Previous Sales Agreements, the “Sales Agreements”) with BTIG, LLC, A.G.P./Alliance Global Partners LLC, ATB Capital Markets USA Inc. and Oppenheimer &amp; Co. Inc., (each a “New Sales Agent” and together with the Previous Sales Agents, the “Sales Agents”), which increased the aggregate offering size of the at-the-market offering from $75 million to $100 million and reduced the maximum commission paid to the Sales Agents from 3.0% to 2.0%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66"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sold an aggregate of 64,557 and 2,489,290 shares of the Company’s common stock under the Sales Agreements, respectively, which generated which generated proceeds, net of commissions and offering expenses of approximately $0.9 million and $ 38.4 million, during the comparable periods. The weighted average price for sales of our common stock in connection with the ATM program was $16.01 for the year ended December 31, 2025 and $15.90 for the year ended December 31, 2024.</w:t>
      </w:r>
    </w:p>
    <w:p>
      <w:pPr>
        <w:spacing w:after="0" w:line="156" w:lineRule="exact"/>
        <w:rPr>
          <w:sz w:val="20"/>
          <w:szCs w:val="20"/>
          <w:color w:val="auto"/>
        </w:rPr>
      </w:pPr>
    </w:p>
    <w:p>
      <w:pPr>
        <w:jc w:val="both"/>
        <w:ind w:firstLine="355"/>
        <w:spacing w:after="0" w:line="273" w:lineRule="auto"/>
        <w:rPr>
          <w:sz w:val="20"/>
          <w:szCs w:val="20"/>
          <w:color w:val="auto"/>
        </w:rPr>
      </w:pPr>
      <w:r>
        <w:rPr>
          <w:rFonts w:ascii="Times New Roman" w:cs="Times New Roman" w:eastAsia="Times New Roman" w:hAnsi="Times New Roman"/>
          <w:sz w:val="20"/>
          <w:szCs w:val="20"/>
          <w:color w:val="auto"/>
        </w:rPr>
        <w:t>As of December 31, 2025, the shares of common stock sold pursuant to the registered direct offering in February 2023 and under the ATM Program are the only offerings that have been initiated under the Shelf Registration Statement.</w:t>
      </w:r>
    </w:p>
    <w:p>
      <w:pPr>
        <w:spacing w:after="0" w:line="129"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We may seek to raise further equity capital and issue debt securities in order to fund our future investments in loans. As the cannabis industry continues to evolve and to the extent that additional states legalize cannabis, the demand for capital continues to increase as operators seek to enter and build out new markets. We expect the principal amount of the loans we originate for cannabis operators to increase. We also expect our expanded investment focus to require additional capital. As a result, we expect we will need to raise additional equity and/or debt funds to increase our liquidity in the near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Revolving Loan</w:t>
      </w:r>
    </w:p>
    <w:p>
      <w:pPr>
        <w:spacing w:after="0" w:line="193"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9"/>
          <w:szCs w:val="19"/>
          <w:color w:val="auto"/>
        </w:rPr>
        <w:t>As of December 31, 2025, the Company's secured revolving credit facility (the “Revolving Loan”) has aggregate commitments of $110.0 million which may be increased to $ 150.0 million pursuant to its accordion feature. The Revolving Loan bears interest, payable in cash in arrears, at a per annum rate equal to the greater of (1) the Prime Rate plus the applicable margin and (2) 3.25%. The applicable margin is derived from a floating rate grid based upon the ratio of debt to equity of CAL and increases from 0% at a ratio of 0.25 to 1 to 1.25% at a ratio of 1.5 to 1. The Revolving Loan has a maturity date of June 30, 2028.</w:t>
      </w:r>
    </w:p>
    <w:p>
      <w:pPr>
        <w:spacing w:after="0" w:line="142"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December 31, 2025, the Company is in compliance with all financial covenants with respect to the Revolving Loan.</w:t>
      </w:r>
    </w:p>
    <w:p>
      <w:pPr>
        <w:spacing w:after="0" w:line="156"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For the year ended December 31, 2025, we had net repayments of $5.9 million against the Revolving Loan. As of December 31, 2025, we had $60.9 million available and $49.1 million outstanding under the Revolving Loan. Refer to Note 8 of the consolidated financial statements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Notes Payable</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w:t>
      </w:r>
    </w:p>
    <w:p>
      <w:pPr>
        <w:spacing w:after="0" w:line="15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Unsecured Notes, which were capitalized and offset against the outstanding face value of the Unsecured Notes within the line item titled Notes Payable, net on the consolidated balance sheets.</w:t>
      </w:r>
    </w:p>
    <w:p>
      <w:pPr>
        <w:spacing w:after="0" w:line="153"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The Unsecured Notes provide for certain affirmative covenants, including requiring us to deliver certain financial information and any notices of default, and conducting business in the normal course. Additionally, the Company must comply</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80"/>
          </w:cols>
          <w:pgMar w:left="1160" w:top="1009" w:right="800" w:bottom="254" w:gutter="0" w:footer="0" w:header="0"/>
          <w:type w:val="continuous"/>
        </w:sectPr>
      </w:pPr>
    </w:p>
    <w:bookmarkStart w:id="90" w:name="page91"/>
    <w:bookmarkEnd w:id="90"/>
    <w:p>
      <w:pPr>
        <w:jc w:val="both"/>
        <w:spacing w:after="0" w:line="249" w:lineRule="auto"/>
        <w:rPr>
          <w:sz w:val="20"/>
          <w:szCs w:val="20"/>
          <w:color w:val="auto"/>
        </w:rPr>
      </w:pPr>
      <w:r>
        <w:rPr>
          <w:rFonts w:ascii="Times New Roman" w:cs="Times New Roman" w:eastAsia="Times New Roman" w:hAnsi="Times New Roman"/>
          <w:sz w:val="20"/>
          <w:szCs w:val="20"/>
          <w:color w:val="auto"/>
        </w:rPr>
        <w:t>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 credit rating. As of December 31, 2025, the Company is in compliance with all financial covenants with respect to the Unsecured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93"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The following table sets forth changes in cash and cash equivalents for the years ended December 31, 2025 and 2024,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6"/>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8"/>
              </w:rPr>
              <w:t>For the year ended December 31,</w:t>
            </w:r>
          </w:p>
        </w:tc>
        <w:tc>
          <w:tcPr>
            <w:tcW w:w="0" w:type="dxa"/>
            <w:vAlign w:val="bottom"/>
          </w:tcPr>
          <w:p>
            <w:pPr>
              <w:spacing w:after="0"/>
              <w:rPr>
                <w:sz w:val="1"/>
                <w:szCs w:val="1"/>
                <w:color w:val="auto"/>
              </w:rPr>
            </w:pPr>
          </w:p>
        </w:tc>
      </w:tr>
      <w:tr>
        <w:trPr>
          <w:trHeight w:val="236"/>
        </w:trPr>
        <w:tc>
          <w:tcPr>
            <w:tcW w:w="7140" w:type="dxa"/>
            <w:vAlign w:val="bottom"/>
            <w:tcBorders>
              <w:bottom w:val="single" w:sz="8" w:color="E3E3E3"/>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E3E3E3"/>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Net income</w:t>
            </w: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36,010,478</w:t>
            </w:r>
          </w:p>
        </w:tc>
        <w:tc>
          <w:tcPr>
            <w:tcW w:w="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280" w:type="dxa"/>
            <w:vAlign w:val="bottom"/>
            <w:shd w:val="clear" w:color="auto" w:fill="E3E3E3"/>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37,045,403</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4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Adjustments to reconcile net income to net cash used in operating activities and</w:t>
            </w:r>
          </w:p>
        </w:tc>
        <w:tc>
          <w:tcPr>
            <w:tcW w:w="100" w:type="dxa"/>
            <w:vAlign w:val="bottom"/>
          </w:tcPr>
          <w:p>
            <w:pPr>
              <w:spacing w:after="0"/>
              <w:rPr>
                <w:sz w:val="19"/>
                <w:szCs w:val="19"/>
                <w:color w:val="auto"/>
              </w:rPr>
            </w:pPr>
          </w:p>
        </w:tc>
        <w:tc>
          <w:tcPr>
            <w:tcW w:w="15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(7,217,870)</w:t>
            </w:r>
          </w:p>
        </w:tc>
        <w:tc>
          <w:tcPr>
            <w:tcW w:w="280" w:type="dxa"/>
            <w:vAlign w:val="bottom"/>
          </w:tcPr>
          <w:p>
            <w:pPr>
              <w:spacing w:after="0"/>
              <w:rPr>
                <w:sz w:val="19"/>
                <w:szCs w:val="19"/>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(13,886,027)</w:t>
            </w:r>
          </w:p>
        </w:tc>
        <w:tc>
          <w:tcPr>
            <w:tcW w:w="0" w:type="dxa"/>
            <w:vAlign w:val="bottom"/>
          </w:tcPr>
          <w:p>
            <w:pPr>
              <w:spacing w:after="0"/>
              <w:rPr>
                <w:sz w:val="1"/>
                <w:szCs w:val="1"/>
                <w:color w:val="auto"/>
              </w:rPr>
            </w:pPr>
          </w:p>
        </w:tc>
      </w:tr>
      <w:tr>
        <w:trPr>
          <w:trHeight w:val="247"/>
        </w:trPr>
        <w:tc>
          <w:tcPr>
            <w:tcW w:w="71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00" w:type="dxa"/>
            <w:vAlign w:val="bottom"/>
          </w:tcPr>
          <w:p>
            <w:pPr>
              <w:spacing w:after="0"/>
              <w:rPr>
                <w:sz w:val="21"/>
                <w:szCs w:val="21"/>
                <w:color w:val="auto"/>
              </w:rPr>
            </w:pPr>
          </w:p>
        </w:tc>
        <w:tc>
          <w:tcPr>
            <w:tcW w:w="154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4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100" w:type="dxa"/>
            <w:vAlign w:val="bottom"/>
            <w:tcBorders>
              <w:top w:val="single" w:sz="8" w:color="auto"/>
            </w:tcBorders>
            <w:shd w:val="clear" w:color="auto" w:fill="E3E3E3"/>
          </w:tcPr>
          <w:p>
            <w:pPr>
              <w:spacing w:after="0"/>
              <w:rPr>
                <w:sz w:val="20"/>
                <w:szCs w:val="20"/>
                <w:color w:val="auto"/>
              </w:rPr>
            </w:pPr>
          </w:p>
        </w:tc>
        <w:tc>
          <w:tcPr>
            <w:tcW w:w="128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28,792,608</w:t>
            </w:r>
          </w:p>
        </w:tc>
        <w:tc>
          <w:tcPr>
            <w:tcW w:w="20" w:type="dxa"/>
            <w:vAlign w:val="bottom"/>
            <w:shd w:val="clear" w:color="auto" w:fill="E3E3E3"/>
          </w:tcPr>
          <w:p>
            <w:pPr>
              <w:spacing w:after="0"/>
              <w:rPr>
                <w:sz w:val="20"/>
                <w:szCs w:val="20"/>
                <w:color w:val="auto"/>
              </w:rPr>
            </w:pPr>
          </w:p>
        </w:tc>
        <w:tc>
          <w:tcPr>
            <w:tcW w:w="240" w:type="dxa"/>
            <w:vAlign w:val="bottom"/>
            <w:tcBorders>
              <w:top w:val="single" w:sz="8" w:color="E3E3E3"/>
            </w:tcBorders>
            <w:shd w:val="clear" w:color="auto" w:fill="E3E3E3"/>
          </w:tcPr>
          <w:p>
            <w:pPr>
              <w:spacing w:after="0"/>
              <w:rPr>
                <w:sz w:val="20"/>
                <w:szCs w:val="20"/>
                <w:color w:val="auto"/>
              </w:rPr>
            </w:pPr>
          </w:p>
        </w:tc>
        <w:tc>
          <w:tcPr>
            <w:tcW w:w="280" w:type="dxa"/>
            <w:vAlign w:val="bottom"/>
            <w:tcBorders>
              <w:top w:val="single" w:sz="8" w:color="auto"/>
            </w:tcBorders>
            <w:shd w:val="clear" w:color="auto" w:fill="E3E3E3"/>
          </w:tcPr>
          <w:p>
            <w:pPr>
              <w:spacing w:after="0"/>
              <w:rPr>
                <w:sz w:val="20"/>
                <w:szCs w:val="20"/>
                <w:color w:val="auto"/>
              </w:rPr>
            </w:pPr>
          </w:p>
        </w:tc>
        <w:tc>
          <w:tcPr>
            <w:tcW w:w="114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23,159,376</w:t>
            </w:r>
          </w:p>
        </w:tc>
        <w:tc>
          <w:tcPr>
            <w:tcW w:w="8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by/(used in) investing activities</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8,736,720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(39,296,863)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1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Net cash (used in)/provided by financing activities</w:t>
            </w:r>
          </w:p>
        </w:tc>
        <w:tc>
          <w:tcPr>
            <w:tcW w:w="100" w:type="dxa"/>
            <w:vAlign w:val="bottom"/>
            <w:shd w:val="clear" w:color="auto" w:fill="E3E3E3"/>
          </w:tcPr>
          <w:p>
            <w:pPr>
              <w:spacing w:after="0"/>
              <w:rPr>
                <w:sz w:val="22"/>
                <w:szCs w:val="22"/>
                <w:color w:val="auto"/>
              </w:rPr>
            </w:pPr>
          </w:p>
        </w:tc>
        <w:tc>
          <w:tcPr>
            <w:tcW w:w="1540" w:type="dxa"/>
            <w:vAlign w:val="bottom"/>
            <w:gridSpan w:val="3"/>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(48,980,892)</w:t>
            </w:r>
          </w:p>
        </w:tc>
        <w:tc>
          <w:tcPr>
            <w:tcW w:w="280" w:type="dxa"/>
            <w:vAlign w:val="bottom"/>
            <w:shd w:val="clear" w:color="auto" w:fill="E3E3E3"/>
          </w:tcPr>
          <w:p>
            <w:pPr>
              <w:spacing w:after="0"/>
              <w:rPr>
                <w:sz w:val="22"/>
                <w:szCs w:val="22"/>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34,639,895</w:t>
            </w:r>
          </w:p>
        </w:tc>
        <w:tc>
          <w:tcPr>
            <w:tcW w:w="80" w:type="dxa"/>
            <w:vAlign w:val="bottom"/>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40" w:type="dxa"/>
            <w:vAlign w:val="bottom"/>
            <w:tcBorders>
              <w:top w:val="single" w:sz="8" w:color="E3E3E3"/>
            </w:tcBorders>
          </w:tcPr>
          <w:p>
            <w:pPr>
              <w:spacing w:after="0" w:line="216" w:lineRule="exact"/>
              <w:rPr>
                <w:sz w:val="20"/>
                <w:szCs w:val="20"/>
                <w:color w:val="auto"/>
              </w:rPr>
            </w:pPr>
            <w:r>
              <w:rPr>
                <w:rFonts w:ascii="Times New Roman" w:cs="Times New Roman" w:eastAsia="Times New Roman" w:hAnsi="Times New Roman"/>
                <w:sz w:val="20"/>
                <w:szCs w:val="20"/>
                <w:color w:val="auto"/>
              </w:rPr>
              <w:t>Change in cash and cash equivalents</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(11,451,564)</w:t>
            </w:r>
          </w:p>
        </w:tc>
        <w:tc>
          <w:tcPr>
            <w:tcW w:w="260" w:type="dxa"/>
            <w:vAlign w:val="bottom"/>
            <w:tcBorders>
              <w:top w:val="single" w:sz="8" w:color="E3E3E3"/>
            </w:tcBorders>
            <w:gridSpan w:val="2"/>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18,502,408</w:t>
            </w:r>
          </w:p>
        </w:tc>
        <w:tc>
          <w:tcPr>
            <w:tcW w:w="80" w:type="dxa"/>
            <w:vAlign w:val="bottom"/>
            <w:tcBorders>
              <w:top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Operating Activities</w:t>
      </w:r>
    </w:p>
    <w:p>
      <w:pPr>
        <w:spacing w:after="0" w:line="193"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For the years ended December 31, 2025 and 2024, we reported “Net cash provided by operating activities” of approximately $28.8 million and $23.2 million, respectively. Net cash provided by operating activities in 2025 increased approximately $5.6 million compared to 2024, primarily attributable to a decrease in related party receivables of approximately $5.4 million, a decrease in PIK interest of approximately $3.0 million, a decrease in the interest reserve of approximately $2.7 million, an increase in current expected credit losses of approximately $1.3 million, an increase in interest received through net settlement transactions of $1.4 million, an increase in management and incentive fees payable by $0.6 million, and an increase in stock based compensation of $0.3 million, These changes were offset by a decrease in net income over the comparable period of approximately $1.0 million, a decrease in interest receivable of approximately $2.1 million, a decrease in redemption of debt securities of $0.8 million, a decrease in accounts payable and accrued expenses of $0.8 million, a decrease in other receivables and assets by $0.7 million, and a decrease in related party payables of $0.1 million over the comparable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Provided/(Used in) by Investing Activities</w:t>
      </w:r>
    </w:p>
    <w:p>
      <w:pPr>
        <w:spacing w:after="0" w:line="193"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For the years ended December 31, 2025 and 2024, we reported “Net cash provided by/(used in) investing activities” of approximately $8.7 million and $(39.3) million, respectively.</w:t>
      </w:r>
    </w:p>
    <w:p>
      <w:pPr>
        <w:spacing w:after="0" w:line="131"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For the year ended December 31, 2025, cash outflows primarily related to $76.0 million used for the origination and funding of loans held for investment, offset by $84.7 million of cash received from the principal repayment of loans held for investment and loans at fair value.</w:t>
      </w:r>
    </w:p>
    <w:p>
      <w:pPr>
        <w:spacing w:after="0" w:line="147"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For the year ended December 31, 2024, cash outflows primarily related to $160.8 million used for the origination and funding of loans held for investment and loans at fair value, partially offset by $19.0 million of cash received from the sale of loans and $102.5 million of cash received from the principal repayment of loans held for investment.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Provided/(Used in) by Financing Activities</w:t>
      </w:r>
    </w:p>
    <w:p>
      <w:pPr>
        <w:spacing w:after="0" w:line="193"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For the years ended December 31, 2025 and 2024, we reported “Net cash (used in)/provided by financing activities” of $(49.0) million and $34.6 million, respectively.</w:t>
      </w:r>
    </w:p>
    <w:p>
      <w:pPr>
        <w:spacing w:after="0" w:line="131"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2025, cash inflows of approximately $1.0 million related to proceeds received from sales of our common stock through the ATM offering. Additionally, we had cash inflows related to draw downs on our Revolving Loan of $142.1 million, which was offset by approximately $148 million in repayments on our Revolving Loan, approximately $43.8 million in dividends paid, approximately $0.1 million in debt issuance costs paid, and approximately $0.2 million in offering costs paid associated with the ATM offering.</w:t>
      </w:r>
    </w:p>
    <w:p>
      <w:pPr>
        <w:spacing w:after="0" w:line="156" w:lineRule="exact"/>
        <w:rPr>
          <w:sz w:val="20"/>
          <w:szCs w:val="20"/>
          <w:color w:val="auto"/>
        </w:rPr>
      </w:pPr>
    </w:p>
    <w:p>
      <w:pPr>
        <w:jc w:val="both"/>
        <w:ind w:firstLine="355"/>
        <w:spacing w:after="0" w:line="274" w:lineRule="auto"/>
        <w:rPr>
          <w:sz w:val="20"/>
          <w:szCs w:val="20"/>
          <w:color w:val="auto"/>
        </w:rPr>
      </w:pPr>
      <w:r>
        <w:rPr>
          <w:rFonts w:ascii="Times New Roman" w:cs="Times New Roman" w:eastAsia="Times New Roman" w:hAnsi="Times New Roman"/>
          <w:sz w:val="19"/>
          <w:szCs w:val="19"/>
          <w:color w:val="auto"/>
        </w:rPr>
        <w:t>For the year ended December 31, 2024, cash inflows of approximately $39.6 million related to proceeds received from sales of our common stock through the ATM offering. Additionally, we had cash inflows related to draw downs on our Revolving Loan of $159.0 million, and inflows related to proceeds from notes payable of $50.0 million, which were offset by approximately</w:t>
      </w:r>
    </w:p>
    <w:p>
      <w:pPr>
        <w:sectPr>
          <w:pgSz w:w="12240" w:h="15840" w:orient="portrait"/>
          <w:cols w:equalWidth="0" w:num="1">
            <w:col w:w="10280"/>
          </w:cols>
          <w:pgMar w:left="1160" w:top="1009" w:right="800" w:bottom="254"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80"/>
          </w:cols>
          <w:pgMar w:left="1160" w:top="1009" w:right="800" w:bottom="254" w:gutter="0" w:footer="0" w:header="0"/>
          <w:type w:val="continuous"/>
        </w:sectPr>
      </w:pPr>
    </w:p>
    <w:bookmarkStart w:id="91" w:name="page92"/>
    <w:bookmarkEnd w:id="91"/>
    <w:p>
      <w:pPr>
        <w:jc w:val="both"/>
        <w:spacing w:after="0" w:line="272" w:lineRule="auto"/>
        <w:rPr>
          <w:sz w:val="20"/>
          <w:szCs w:val="20"/>
          <w:color w:val="auto"/>
        </w:rPr>
      </w:pPr>
      <w:r>
        <w:rPr>
          <w:rFonts w:ascii="Times New Roman" w:cs="Times New Roman" w:eastAsia="Times New Roman" w:hAnsi="Times New Roman"/>
          <w:sz w:val="20"/>
          <w:szCs w:val="20"/>
          <w:color w:val="auto"/>
        </w:rPr>
        <w:t>$170.0 million in repayments on our Revolving Loan, approximately $41.6 million in dividends paid, approximately $1.1 million in debt issuance costs paid, and approximately $1.2 million in offering costs paid associated with the ATM offering.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Other Commitments, and Off-Balance Sheet Arrangements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contractual obligations relating to the stated maturities of our credit facilities as of December 31, 2025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tcPr>
          <w:p>
            <w:pPr>
              <w:spacing w:after="0"/>
              <w:rPr>
                <w:sz w:val="19"/>
                <w:szCs w:val="19"/>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9"/>
                <w:szCs w:val="19"/>
                <w:color w:val="auto"/>
              </w:rPr>
            </w:pPr>
          </w:p>
        </w:tc>
        <w:tc>
          <w:tcPr>
            <w:tcW w:w="920" w:type="dxa"/>
            <w:vAlign w:val="bottom"/>
            <w:gridSpan w:val="4"/>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2027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13"/>
        </w:trPr>
        <w:tc>
          <w:tcPr>
            <w:tcW w:w="1860" w:type="dxa"/>
            <w:vAlign w:val="bottom"/>
            <w:gridSpan w:val="3"/>
            <w:vMerge w:val="continue"/>
          </w:tcPr>
          <w:p>
            <w:pPr>
              <w:spacing w:after="0"/>
              <w:rPr>
                <w:sz w:val="18"/>
                <w:szCs w:val="18"/>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ind w:right="638"/>
              <w:spacing w:after="0"/>
              <w:rPr>
                <w:sz w:val="20"/>
                <w:szCs w:val="20"/>
                <w:color w:val="auto"/>
              </w:rPr>
            </w:pPr>
            <w:r>
              <w:rPr>
                <w:rFonts w:ascii="Times New Roman" w:cs="Times New Roman" w:eastAsia="Times New Roman" w:hAnsi="Times New Roman"/>
                <w:sz w:val="4"/>
                <w:szCs w:val="4"/>
                <w:color w:val="auto"/>
                <w:w w:val="97"/>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60" w:type="dxa"/>
            <w:vAlign w:val="bottom"/>
            <w:gridSpan w:val="3"/>
            <w:shd w:val="clear" w:color="auto" w:fill="E3E3E3"/>
          </w:tcPr>
          <w:p>
            <w:pPr>
              <w:spacing w:after="0"/>
              <w:rPr>
                <w:sz w:val="20"/>
                <w:szCs w:val="20"/>
                <w:color w:val="auto"/>
              </w:rPr>
            </w:pPr>
            <w:r>
              <w:rPr>
                <w:rFonts w:ascii="Times New Roman" w:cs="Times New Roman" w:eastAsia="Times New Roman" w:hAnsi="Times New Roman"/>
                <w:sz w:val="18"/>
                <w:szCs w:val="18"/>
                <w:color w:val="auto"/>
              </w:rPr>
              <w:t>Revolving loan</w:t>
            </w:r>
          </w:p>
        </w:tc>
        <w:tc>
          <w:tcPr>
            <w:tcW w:w="180" w:type="dxa"/>
            <w:vAlign w:val="bottom"/>
            <w:shd w:val="clear" w:color="auto" w:fill="E3E3E3"/>
          </w:tcPr>
          <w:p>
            <w:pPr>
              <w:spacing w:after="0"/>
              <w:rPr>
                <w:sz w:val="18"/>
                <w:szCs w:val="18"/>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49,100,000</w:t>
            </w:r>
          </w:p>
        </w:tc>
        <w:tc>
          <w:tcPr>
            <w:tcW w:w="3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700" w:type="dxa"/>
            <w:vAlign w:val="bottom"/>
            <w:shd w:val="clear" w:color="auto" w:fill="E3E3E3"/>
          </w:tcPr>
          <w:p>
            <w:pPr>
              <w:spacing w:after="0"/>
              <w:rPr>
                <w:sz w:val="18"/>
                <w:szCs w:val="18"/>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49,100,000</w:t>
            </w:r>
          </w:p>
        </w:tc>
        <w:tc>
          <w:tcPr>
            <w:tcW w:w="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7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7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99,100,000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tcBorders>
            <w:gridSpan w:val="2"/>
          </w:tcPr>
          <w:p>
            <w:pPr>
              <w:jc w:val="right"/>
              <w:ind w:right="63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99,100,000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off-balance sheet undrawn commitments related to delayed draw term loan facilities of December 31, 2025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2028</w:t>
            </w:r>
          </w:p>
        </w:tc>
        <w:tc>
          <w:tcPr>
            <w:tcW w:w="9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2029</w:t>
            </w:r>
          </w:p>
        </w:tc>
        <w:tc>
          <w:tcPr>
            <w:tcW w:w="180" w:type="dxa"/>
            <w:vAlign w:val="bottom"/>
          </w:tcPr>
          <w:p>
            <w:pPr>
              <w:spacing w:after="0"/>
              <w:rPr>
                <w:sz w:val="19"/>
                <w:szCs w:val="19"/>
                <w:color w:val="auto"/>
              </w:rPr>
            </w:pPr>
          </w:p>
        </w:tc>
        <w:tc>
          <w:tcPr>
            <w:tcW w:w="96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2030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60" w:type="dxa"/>
            <w:vAlign w:val="bottom"/>
            <w:tcBorders>
              <w:top w:val="single" w:sz="8" w:color="E3E3E3"/>
            </w:tcBorders>
            <w:gridSpan w:val="2"/>
            <w:shd w:val="clear" w:color="auto" w:fill="E3E3E3"/>
          </w:tcPr>
          <w:p>
            <w:pPr>
              <w:spacing w:after="0" w:line="195" w:lineRule="exact"/>
              <w:rPr>
                <w:sz w:val="20"/>
                <w:szCs w:val="20"/>
                <w:color w:val="auto"/>
              </w:rPr>
            </w:pPr>
            <w:r>
              <w:rPr>
                <w:rFonts w:ascii="Times New Roman" w:cs="Times New Roman" w:eastAsia="Times New Roman" w:hAnsi="Times New Roman"/>
                <w:sz w:val="18"/>
                <w:szCs w:val="18"/>
                <w:color w:val="auto"/>
              </w:rPr>
              <w:t>Undrawn commitments</w:t>
            </w:r>
          </w:p>
        </w:tc>
        <w:tc>
          <w:tcPr>
            <w:tcW w:w="180" w:type="dxa"/>
            <w:vAlign w:val="bottom"/>
            <w:tcBorders>
              <w:top w:val="single" w:sz="8" w:color="auto"/>
            </w:tcBorders>
            <w:vMerge w:val="restart"/>
            <w:shd w:val="clear" w:color="auto" w:fill="E3E3E3"/>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31,116,960</w:t>
            </w:r>
          </w:p>
        </w:tc>
        <w:tc>
          <w:tcPr>
            <w:tcW w:w="200" w:type="dxa"/>
            <w:vAlign w:val="bottom"/>
            <w:tcBorders>
              <w:top w:val="single" w:sz="8" w:color="E3E3E3"/>
            </w:tcBorders>
            <w:shd w:val="clear" w:color="auto" w:fill="E3E3E3"/>
          </w:tcPr>
          <w:p>
            <w:pPr>
              <w:spacing w:after="0"/>
              <w:rPr>
                <w:sz w:val="16"/>
                <w:szCs w:val="16"/>
                <w:color w:val="auto"/>
              </w:rPr>
            </w:pPr>
          </w:p>
        </w:tc>
        <w:tc>
          <w:tcPr>
            <w:tcW w:w="160" w:type="dxa"/>
            <w:vAlign w:val="bottom"/>
            <w:tcBorders>
              <w:top w:val="single" w:sz="8" w:color="auto"/>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18,761,667</w:t>
            </w:r>
          </w:p>
        </w:tc>
        <w:tc>
          <w:tcPr>
            <w:tcW w:w="22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auto"/>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2,355,293</w:t>
            </w:r>
          </w:p>
        </w:tc>
        <w:tc>
          <w:tcPr>
            <w:tcW w:w="22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auto"/>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E3E3E3"/>
          </w:tcPr>
          <w:p>
            <w:pPr>
              <w:jc w:val="right"/>
              <w:spacing w:after="0" w:line="195" w:lineRule="exact"/>
              <w:rPr>
                <w:sz w:val="20"/>
                <w:szCs w:val="20"/>
                <w:color w:val="auto"/>
              </w:rPr>
            </w:pPr>
            <w:r>
              <w:rPr>
                <w:rFonts w:ascii="Times New Roman" w:cs="Times New Roman" w:eastAsia="Times New Roman" w:hAnsi="Times New Roman"/>
                <w:sz w:val="18"/>
                <w:szCs w:val="18"/>
                <w:color w:val="auto"/>
              </w:rPr>
              <w:t>10,000,00</w:t>
            </w:r>
          </w:p>
        </w:tc>
        <w:tc>
          <w:tcPr>
            <w:tcW w:w="220" w:type="dxa"/>
            <w:vAlign w:val="bottom"/>
            <w:tcBorders>
              <w:top w:val="single" w:sz="8" w:color="E3E3E3"/>
            </w:tcBorders>
            <w:shd w:val="clear" w:color="auto" w:fill="E3E3E3"/>
          </w:tcPr>
          <w:p>
            <w:pPr>
              <w:spacing w:after="0"/>
              <w:rPr>
                <w:sz w:val="16"/>
                <w:szCs w:val="16"/>
                <w:color w:val="auto"/>
              </w:rPr>
            </w:pPr>
          </w:p>
        </w:tc>
        <w:tc>
          <w:tcPr>
            <w:tcW w:w="740" w:type="dxa"/>
            <w:vAlign w:val="bottom"/>
            <w:tcBorders>
              <w:top w:val="single" w:sz="8" w:color="auto"/>
            </w:tcBorders>
            <w:vMerge w:val="restart"/>
            <w:shd w:val="clear" w:color="auto" w:fill="E3E3E3"/>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E3E3E3"/>
            </w:tcBorders>
            <w:shd w:val="clear" w:color="auto" w:fill="E3E3E3"/>
          </w:tcPr>
          <w:p>
            <w:pPr>
              <w:spacing w:after="0"/>
              <w:rPr>
                <w:sz w:val="16"/>
                <w:szCs w:val="16"/>
                <w:color w:val="auto"/>
              </w:rPr>
            </w:pPr>
          </w:p>
        </w:tc>
        <w:tc>
          <w:tcPr>
            <w:tcW w:w="720" w:type="dxa"/>
            <w:vAlign w:val="bottom"/>
            <w:tcBorders>
              <w:top w:val="single" w:sz="8" w:color="auto"/>
            </w:tcBorders>
            <w:vMerge w:val="restart"/>
            <w:shd w:val="clear" w:color="auto" w:fill="E3E3E3"/>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E3E3E3"/>
            </w:tcBorders>
            <w:shd w:val="clear" w:color="auto" w:fill="E3E3E3"/>
          </w:tcPr>
          <w:p>
            <w:pPr>
              <w:spacing w:after="0"/>
              <w:rPr>
                <w:sz w:val="16"/>
                <w:szCs w:val="16"/>
                <w:color w:val="auto"/>
              </w:rPr>
            </w:pPr>
          </w:p>
        </w:tc>
        <w:tc>
          <w:tcPr>
            <w:tcW w:w="460" w:type="dxa"/>
            <w:vAlign w:val="bottom"/>
            <w:tcBorders>
              <w:top w:val="single" w:sz="8" w:color="auto"/>
            </w:tcBorders>
            <w:vMerge w:val="restart"/>
            <w:shd w:val="clear" w:color="auto" w:fill="E3E3E3"/>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E3E3E3"/>
            </w:tcBorders>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4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80" w:type="dxa"/>
            <w:vAlign w:val="bottom"/>
            <w:tcBorders>
              <w:bottom w:val="single" w:sz="8" w:color="auto"/>
            </w:tcBorders>
            <w:vMerge w:val="continue"/>
            <w:shd w:val="clear" w:color="auto" w:fill="E3E3E3"/>
          </w:tcPr>
          <w:p>
            <w:pPr>
              <w:spacing w:after="0"/>
              <w:rPr>
                <w:sz w:val="19"/>
                <w:szCs w:val="19"/>
                <w:color w:val="auto"/>
              </w:rPr>
            </w:pPr>
          </w:p>
        </w:tc>
        <w:tc>
          <w:tcPr>
            <w:tcW w:w="920" w:type="dxa"/>
            <w:vAlign w:val="bottom"/>
            <w:tcBorders>
              <w:bottom w:val="single" w:sz="8" w:color="auto"/>
            </w:tcBorders>
            <w:vMerge w:val="continue"/>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60" w:type="dxa"/>
            <w:vAlign w:val="bottom"/>
            <w:tcBorders>
              <w:bottom w:val="single" w:sz="8" w:color="auto"/>
            </w:tcBorders>
            <w:vMerge w:val="continue"/>
            <w:shd w:val="clear" w:color="auto" w:fill="E3E3E3"/>
          </w:tcPr>
          <w:p>
            <w:pPr>
              <w:spacing w:after="0"/>
              <w:rPr>
                <w:sz w:val="19"/>
                <w:szCs w:val="19"/>
                <w:color w:val="auto"/>
              </w:rPr>
            </w:pPr>
          </w:p>
        </w:tc>
        <w:tc>
          <w:tcPr>
            <w:tcW w:w="900" w:type="dxa"/>
            <w:vAlign w:val="bottom"/>
            <w:tcBorders>
              <w:bottom w:val="single" w:sz="8" w:color="auto"/>
            </w:tcBorders>
            <w:vMerge w:val="continue"/>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40" w:type="dxa"/>
            <w:vAlign w:val="bottom"/>
            <w:tcBorders>
              <w:bottom w:val="single" w:sz="8" w:color="auto"/>
            </w:tcBorders>
            <w:vMerge w:val="continue"/>
            <w:shd w:val="clear" w:color="auto" w:fill="E3E3E3"/>
          </w:tcPr>
          <w:p>
            <w:pPr>
              <w:spacing w:after="0"/>
              <w:rPr>
                <w:sz w:val="19"/>
                <w:szCs w:val="19"/>
                <w:color w:val="auto"/>
              </w:rPr>
            </w:pPr>
          </w:p>
        </w:tc>
        <w:tc>
          <w:tcPr>
            <w:tcW w:w="780" w:type="dxa"/>
            <w:vAlign w:val="bottom"/>
            <w:tcBorders>
              <w:bottom w:val="single" w:sz="8" w:color="auto"/>
            </w:tcBorders>
            <w:vMerge w:val="continue"/>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40" w:type="dxa"/>
            <w:vAlign w:val="bottom"/>
            <w:tcBorders>
              <w:bottom w:val="single" w:sz="8" w:color="auto"/>
            </w:tcBorders>
            <w:vMerge w:val="continue"/>
            <w:shd w:val="clear" w:color="auto" w:fill="E3E3E3"/>
          </w:tcPr>
          <w:p>
            <w:pPr>
              <w:spacing w:after="0"/>
              <w:rPr>
                <w:sz w:val="19"/>
                <w:szCs w:val="19"/>
                <w:color w:val="auto"/>
              </w:rPr>
            </w:pPr>
          </w:p>
        </w:tc>
        <w:tc>
          <w:tcPr>
            <w:tcW w:w="7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E3E3E3"/>
          </w:tcPr>
          <w:p>
            <w:pPr>
              <w:spacing w:after="0"/>
              <w:rPr>
                <w:sz w:val="19"/>
                <w:szCs w:val="19"/>
                <w:color w:val="auto"/>
              </w:rPr>
            </w:pPr>
          </w:p>
        </w:tc>
        <w:tc>
          <w:tcPr>
            <w:tcW w:w="740" w:type="dxa"/>
            <w:vAlign w:val="bottom"/>
            <w:tcBorders>
              <w:bottom w:val="single" w:sz="8" w:color="auto"/>
            </w:tcBorders>
            <w:vMerge w:val="continue"/>
            <w:shd w:val="clear" w:color="auto" w:fill="E3E3E3"/>
          </w:tcPr>
          <w:p>
            <w:pPr>
              <w:spacing w:after="0"/>
              <w:rPr>
                <w:sz w:val="19"/>
                <w:szCs w:val="19"/>
                <w:color w:val="auto"/>
              </w:rPr>
            </w:pPr>
          </w:p>
        </w:tc>
        <w:tc>
          <w:tcPr>
            <w:tcW w:w="180" w:type="dxa"/>
            <w:vAlign w:val="bottom"/>
            <w:tcBorders>
              <w:bottom w:val="single" w:sz="8" w:color="auto"/>
            </w:tcBorders>
            <w:vMerge w:val="continue"/>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720" w:type="dxa"/>
            <w:vAlign w:val="bottom"/>
            <w:tcBorders>
              <w:bottom w:val="single" w:sz="8" w:color="auto"/>
            </w:tcBorders>
            <w:vMerge w:val="continue"/>
            <w:shd w:val="clear" w:color="auto" w:fill="E3E3E3"/>
          </w:tcPr>
          <w:p>
            <w:pPr>
              <w:spacing w:after="0"/>
              <w:rPr>
                <w:sz w:val="19"/>
                <w:szCs w:val="19"/>
                <w:color w:val="auto"/>
              </w:rPr>
            </w:pPr>
          </w:p>
        </w:tc>
        <w:tc>
          <w:tcPr>
            <w:tcW w:w="180" w:type="dxa"/>
            <w:vAlign w:val="bottom"/>
            <w:tcBorders>
              <w:bottom w:val="single" w:sz="8" w:color="auto"/>
            </w:tcBorders>
            <w:vMerge w:val="continue"/>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460" w:type="dxa"/>
            <w:vAlign w:val="bottom"/>
            <w:tcBorders>
              <w:bottom w:val="single" w:sz="8" w:color="auto"/>
            </w:tcBorders>
            <w:vMerge w:val="continue"/>
            <w:shd w:val="clear" w:color="auto" w:fill="E3E3E3"/>
          </w:tcPr>
          <w:p>
            <w:pPr>
              <w:spacing w:after="0"/>
              <w:rPr>
                <w:sz w:val="19"/>
                <w:szCs w:val="19"/>
                <w:color w:val="auto"/>
              </w:rPr>
            </w:pPr>
          </w:p>
        </w:tc>
        <w:tc>
          <w:tcPr>
            <w:tcW w:w="440" w:type="dxa"/>
            <w:vAlign w:val="bottom"/>
            <w:tcBorders>
              <w:bottom w:val="single" w:sz="8" w:color="auto"/>
            </w:tcBorders>
            <w:vMerge w:val="continue"/>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16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10,000,00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4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31,116,960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18,761,667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2,355,293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gridSpan w:val="2"/>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557"/>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We may enter into certain contracts that may contain a variety of indemnification obligations. The maximum potential future payment amounts we could be required to pay under these indemnification obligations may be unlimited.</w:t>
      </w:r>
    </w:p>
    <w:p>
      <w:pPr>
        <w:spacing w:after="0" w:line="131"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Off-balance sheet commitments consist of unfunded commitments on delayed draw loans. Other than as set forth in this Annual Report, we do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we have not guaranteed any obligations of unconsolidated entities or entered into any commitment or intend to provide additional funding to any such entities.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Leverage Policies</w:t>
      </w:r>
    </w:p>
    <w:p>
      <w:pPr>
        <w:spacing w:after="0" w:line="199"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99" w:lineRule="exact"/>
        <w:rPr>
          <w:sz w:val="20"/>
          <w:szCs w:val="20"/>
          <w:color w:val="auto"/>
        </w:rPr>
      </w:pPr>
    </w:p>
    <w:p>
      <w:pPr>
        <w:jc w:val="both"/>
        <w:ind w:firstLine="355"/>
        <w:spacing w:after="0" w:line="239" w:lineRule="auto"/>
        <w:rPr>
          <w:sz w:val="20"/>
          <w:szCs w:val="20"/>
          <w:color w:val="auto"/>
        </w:rPr>
      </w:pPr>
      <w:r>
        <w:rPr>
          <w:rFonts w:ascii="Times New Roman" w:cs="Times New Roman" w:eastAsia="Times New Roman" w:hAnsi="Times New Roman"/>
          <w:sz w:val="20"/>
          <w:szCs w:val="20"/>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spacing w:after="0" w:line="170"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80"/>
          </w:cols>
          <w:pgMar w:left="1160" w:top="1009" w:right="800" w:bottom="254" w:gutter="0" w:footer="0" w:header="0"/>
          <w:type w:val="continuous"/>
        </w:sectPr>
      </w:pPr>
    </w:p>
    <w:bookmarkStart w:id="92" w:name="page93"/>
    <w:bookmarkEnd w:id="92"/>
    <w:p>
      <w:pPr>
        <w:jc w:val="both"/>
        <w:spacing w:after="0" w:line="272" w:lineRule="auto"/>
        <w:rPr>
          <w:sz w:val="20"/>
          <w:szCs w:val="20"/>
          <w:color w:val="auto"/>
        </w:rPr>
      </w:pPr>
      <w:r>
        <w:rPr>
          <w:rFonts w:ascii="Times New Roman" w:cs="Times New Roman" w:eastAsia="Times New Roman" w:hAnsi="Times New Roman"/>
          <w:sz w:val="20"/>
          <w:szCs w:val="20"/>
          <w:color w:val="auto"/>
        </w:rPr>
        <w:t>favorable terms, or at all, cannot be assured, or we may make a portion of the Required Distribution in the form of a taxable stock distribution or distribution of debt securities.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following table summarizes the Company’s dividends declared during the years ended December 31, 2025 and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restart"/>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Taxable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Record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Payment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5"/>
              </w:rPr>
              <w:t>Share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Return of</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Section 199A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Distribution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8"/>
              </w:rPr>
              <w:t>Ordinary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6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4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2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20" w:type="dxa"/>
            <w:vAlign w:val="bottom"/>
            <w:tcBorders>
              <w:bottom w:val="single" w:sz="8" w:color="E3E3E3"/>
            </w:tcBorders>
          </w:tcPr>
          <w:p>
            <w:pPr>
              <w:spacing w:after="0"/>
              <w:rPr>
                <w:sz w:val="21"/>
                <w:szCs w:val="21"/>
                <w:color w:val="auto"/>
              </w:rPr>
            </w:pPr>
          </w:p>
        </w:tc>
        <w:tc>
          <w:tcPr>
            <w:tcW w:w="22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7"/>
              </w:rPr>
              <w:t>Income</w:t>
            </w:r>
          </w:p>
        </w:tc>
        <w:tc>
          <w:tcPr>
            <w:tcW w:w="20" w:type="dxa"/>
            <w:vAlign w:val="bottom"/>
            <w:tcBorders>
              <w:bottom w:val="single" w:sz="8" w:color="E3E3E3"/>
            </w:tcBorders>
          </w:tcPr>
          <w:p>
            <w:pPr>
              <w:spacing w:after="0"/>
              <w:rPr>
                <w:sz w:val="21"/>
                <w:szCs w:val="21"/>
                <w:color w:val="auto"/>
              </w:rPr>
            </w:pPr>
          </w:p>
        </w:tc>
        <w:tc>
          <w:tcPr>
            <w:tcW w:w="22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Capital</w:t>
            </w:r>
          </w:p>
        </w:tc>
        <w:tc>
          <w:tcPr>
            <w:tcW w:w="20" w:type="dxa"/>
            <w:vAlign w:val="bottom"/>
            <w:tcBorders>
              <w:bottom w:val="single" w:sz="8" w:color="E3E3E3"/>
            </w:tcBorders>
          </w:tcPr>
          <w:p>
            <w:pPr>
              <w:spacing w:after="0"/>
              <w:rPr>
                <w:sz w:val="21"/>
                <w:szCs w:val="21"/>
                <w:color w:val="auto"/>
              </w:rPr>
            </w:pPr>
          </w:p>
        </w:tc>
        <w:tc>
          <w:tcPr>
            <w:tcW w:w="20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Dividends</w:t>
            </w:r>
          </w:p>
        </w:tc>
        <w:tc>
          <w:tcPr>
            <w:tcW w:w="60" w:type="dxa"/>
            <w:vAlign w:val="bottom"/>
            <w:tcBorders>
              <w:bottom w:val="single" w:sz="8" w:color="E3E3E3"/>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3/31/2025</w:t>
            </w:r>
          </w:p>
        </w:tc>
        <w:tc>
          <w:tcPr>
            <w:tcW w:w="140" w:type="dxa"/>
            <w:vAlign w:val="bottom"/>
            <w:shd w:val="clear" w:color="auto" w:fill="E3E3E3"/>
          </w:tcPr>
          <w:p>
            <w:pPr>
              <w:spacing w:after="0"/>
              <w:rPr>
                <w:sz w:val="20"/>
                <w:szCs w:val="20"/>
                <w:color w:val="auto"/>
              </w:rPr>
            </w:pPr>
          </w:p>
        </w:tc>
        <w:tc>
          <w:tcPr>
            <w:tcW w:w="10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4/15/2025</w:t>
            </w:r>
          </w:p>
        </w:tc>
        <w:tc>
          <w:tcPr>
            <w:tcW w:w="1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6/30/2025</w:t>
            </w:r>
          </w:p>
        </w:tc>
        <w:tc>
          <w:tcPr>
            <w:tcW w:w="14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7/15/2025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9/30/2025</w:t>
            </w:r>
          </w:p>
        </w:tc>
        <w:tc>
          <w:tcPr>
            <w:tcW w:w="1220" w:type="dxa"/>
            <w:vAlign w:val="bottom"/>
            <w:gridSpan w:val="3"/>
            <w:shd w:val="clear" w:color="auto" w:fill="E3E3E3"/>
          </w:tcPr>
          <w:p>
            <w:pPr>
              <w:jc w:val="center"/>
              <w:ind w:left="21"/>
              <w:spacing w:after="0"/>
              <w:rPr>
                <w:sz w:val="20"/>
                <w:szCs w:val="20"/>
                <w:color w:val="auto"/>
              </w:rPr>
            </w:pPr>
            <w:r>
              <w:rPr>
                <w:rFonts w:ascii="Times New Roman" w:cs="Times New Roman" w:eastAsia="Times New Roman" w:hAnsi="Times New Roman"/>
                <w:sz w:val="20"/>
                <w:szCs w:val="20"/>
                <w:color w:val="auto"/>
                <w:w w:val="98"/>
              </w:rPr>
              <w:t>10/15/2025</w:t>
            </w:r>
          </w:p>
        </w:tc>
        <w:tc>
          <w:tcPr>
            <w:tcW w:w="2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12/31/2025</w:t>
            </w:r>
          </w:p>
        </w:tc>
        <w:tc>
          <w:tcPr>
            <w:tcW w:w="122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8"/>
              </w:rPr>
              <w:t>1/15/2026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6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cash dividend</w:t>
            </w:r>
          </w:p>
        </w:tc>
        <w:tc>
          <w:tcPr>
            <w:tcW w:w="20" w:type="dxa"/>
            <w:vAlign w:val="bottom"/>
            <w:tcBorders>
              <w:top w:val="single" w:sz="8" w:color="E3E3E3"/>
            </w:tcBorders>
            <w:shd w:val="clear" w:color="auto" w:fill="E3E3E3"/>
          </w:tcPr>
          <w:p>
            <w:pPr>
              <w:spacing w:after="0"/>
              <w:rPr>
                <w:sz w:val="20"/>
                <w:szCs w:val="20"/>
                <w:color w:val="auto"/>
              </w:rPr>
            </w:pPr>
          </w:p>
        </w:tc>
        <w:tc>
          <w:tcPr>
            <w:tcW w:w="116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1060" w:type="dxa"/>
            <w:vAlign w:val="bottom"/>
            <w:tcBorders>
              <w:top w:val="single" w:sz="8" w:color="E3E3E3"/>
            </w:tcBorders>
            <w:shd w:val="clear" w:color="auto" w:fill="E3E3E3"/>
          </w:tcPr>
          <w:p>
            <w:pPr>
              <w:spacing w:after="0"/>
              <w:rPr>
                <w:sz w:val="20"/>
                <w:szCs w:val="20"/>
                <w:color w:val="auto"/>
              </w:rPr>
            </w:pPr>
          </w:p>
        </w:tc>
        <w:tc>
          <w:tcPr>
            <w:tcW w:w="1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20" w:type="dxa"/>
            <w:vAlign w:val="bottom"/>
            <w:tcBorders>
              <w:top w:val="single" w:sz="8" w:color="E3E3E3"/>
              <w:bottom w:val="single" w:sz="8" w:color="auto"/>
            </w:tcBorders>
            <w:shd w:val="clear" w:color="auto" w:fill="E3E3E3"/>
          </w:tcPr>
          <w:p>
            <w:pPr>
              <w:spacing w:after="0"/>
              <w:rPr>
                <w:sz w:val="20"/>
                <w:szCs w:val="20"/>
                <w:color w:val="auto"/>
              </w:rPr>
            </w:pPr>
          </w:p>
        </w:tc>
        <w:tc>
          <w:tcPr>
            <w:tcW w:w="2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20" w:type="dxa"/>
            <w:vAlign w:val="bottom"/>
            <w:tcBorders>
              <w:top w:val="single" w:sz="8" w:color="E3E3E3"/>
              <w:bottom w:val="single" w:sz="8" w:color="auto"/>
            </w:tcBorders>
            <w:shd w:val="clear" w:color="auto" w:fill="E3E3E3"/>
          </w:tcPr>
          <w:p>
            <w:pPr>
              <w:spacing w:after="0"/>
              <w:rPr>
                <w:sz w:val="20"/>
                <w:szCs w:val="20"/>
                <w:color w:val="auto"/>
              </w:rPr>
            </w:pPr>
          </w:p>
        </w:tc>
        <w:tc>
          <w:tcPr>
            <w:tcW w:w="2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spacing w:after="0"/>
              <w:rPr>
                <w:sz w:val="20"/>
                <w:szCs w:val="20"/>
                <w:color w:val="auto"/>
              </w:rPr>
            </w:pP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E3E3E3"/>
              <w:bottom w:val="single" w:sz="8" w:color="auto"/>
            </w:tcBorders>
            <w:shd w:val="clear" w:color="auto" w:fill="E3E3E3"/>
          </w:tcPr>
          <w:p>
            <w:pPr>
              <w:spacing w:after="0"/>
              <w:rPr>
                <w:sz w:val="20"/>
                <w:szCs w:val="20"/>
                <w:color w:val="auto"/>
              </w:rPr>
            </w:pPr>
          </w:p>
        </w:tc>
        <w:tc>
          <w:tcPr>
            <w:tcW w:w="20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6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vMerge w:val="restart"/>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Taxable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Record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Payment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5"/>
              </w:rPr>
              <w:t>Share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Return of</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Section 199A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Distribution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right="61"/>
              <w:spacing w:after="0" w:line="228" w:lineRule="exact"/>
              <w:rPr>
                <w:sz w:val="20"/>
                <w:szCs w:val="20"/>
                <w:color w:val="auto"/>
              </w:rPr>
            </w:pPr>
            <w:r>
              <w:rPr>
                <w:rFonts w:ascii="Times New Roman" w:cs="Times New Roman" w:eastAsia="Times New Roman" w:hAnsi="Times New Roman"/>
                <w:sz w:val="20"/>
                <w:szCs w:val="20"/>
                <w:b w:val="1"/>
                <w:bCs w:val="1"/>
                <w:color w:val="auto"/>
                <w:w w:val="98"/>
              </w:rPr>
              <w:t>Ordinary</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7"/>
              </w:rPr>
              <w:t>Income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Capital</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Dividends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3/28/2024</w:t>
            </w:r>
          </w:p>
        </w:tc>
        <w:tc>
          <w:tcPr>
            <w:tcW w:w="160" w:type="dxa"/>
            <w:vAlign w:val="bottom"/>
            <w:gridSpan w:val="2"/>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4/15/2024</w:t>
            </w:r>
          </w:p>
        </w:tc>
        <w:tc>
          <w:tcPr>
            <w:tcW w:w="14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6/28/2024</w:t>
            </w:r>
          </w:p>
        </w:tc>
        <w:tc>
          <w:tcPr>
            <w:tcW w:w="1220" w:type="dxa"/>
            <w:vAlign w:val="bottom"/>
            <w:gridSpan w:val="3"/>
            <w:shd w:val="clear" w:color="auto" w:fill="E3E3E3"/>
          </w:tcPr>
          <w:p>
            <w:pPr>
              <w:jc w:val="center"/>
              <w:ind w:left="1"/>
              <w:spacing w:after="0"/>
              <w:rPr>
                <w:sz w:val="20"/>
                <w:szCs w:val="20"/>
                <w:color w:val="auto"/>
              </w:rPr>
            </w:pPr>
            <w:r>
              <w:rPr>
                <w:rFonts w:ascii="Times New Roman" w:cs="Times New Roman" w:eastAsia="Times New Roman" w:hAnsi="Times New Roman"/>
                <w:sz w:val="20"/>
                <w:szCs w:val="20"/>
                <w:color w:val="auto"/>
                <w:w w:val="98"/>
              </w:rPr>
              <w:t>7/15/2024</w:t>
            </w:r>
          </w:p>
        </w:tc>
        <w:tc>
          <w:tcPr>
            <w:tcW w:w="2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9/30/2024</w:t>
            </w:r>
          </w:p>
        </w:tc>
        <w:tc>
          <w:tcPr>
            <w:tcW w:w="1220" w:type="dxa"/>
            <w:vAlign w:val="bottom"/>
            <w:gridSpan w:val="3"/>
          </w:tcPr>
          <w:p>
            <w:pPr>
              <w:jc w:val="center"/>
              <w:ind w:left="21"/>
              <w:spacing w:after="0"/>
              <w:rPr>
                <w:sz w:val="20"/>
                <w:szCs w:val="20"/>
                <w:color w:val="auto"/>
              </w:rPr>
            </w:pPr>
            <w:r>
              <w:rPr>
                <w:rFonts w:ascii="Times New Roman" w:cs="Times New Roman" w:eastAsia="Times New Roman" w:hAnsi="Times New Roman"/>
                <w:sz w:val="20"/>
                <w:szCs w:val="20"/>
                <w:color w:val="auto"/>
                <w:w w:val="98"/>
              </w:rPr>
              <w:t>10/15/2024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180" w:type="dxa"/>
            <w:vAlign w:val="bottom"/>
            <w:gridSpan w:val="2"/>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12/31/2024</w:t>
            </w:r>
          </w:p>
        </w:tc>
        <w:tc>
          <w:tcPr>
            <w:tcW w:w="1220" w:type="dxa"/>
            <w:vAlign w:val="bottom"/>
            <w:gridSpan w:val="3"/>
            <w:shd w:val="clear" w:color="auto" w:fill="E3E3E3"/>
          </w:tcPr>
          <w:p>
            <w:pPr>
              <w:jc w:val="center"/>
              <w:ind w:left="1"/>
              <w:spacing w:after="0"/>
              <w:rPr>
                <w:sz w:val="20"/>
                <w:szCs w:val="20"/>
                <w:color w:val="auto"/>
              </w:rPr>
            </w:pPr>
            <w:r>
              <w:rPr>
                <w:rFonts w:ascii="Times New Roman" w:cs="Times New Roman" w:eastAsia="Times New Roman" w:hAnsi="Times New Roman"/>
                <w:sz w:val="20"/>
                <w:szCs w:val="20"/>
                <w:color w:val="auto"/>
                <w:w w:val="98"/>
              </w:rPr>
              <w:t>1/13/2025</w:t>
            </w:r>
          </w:p>
        </w:tc>
        <w:tc>
          <w:tcPr>
            <w:tcW w:w="28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20"/>
                <w:szCs w:val="20"/>
                <w:color w:val="auto"/>
              </w:rPr>
              <w:t>Special cash dividend</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12/31/2024</w:t>
            </w:r>
          </w:p>
        </w:tc>
        <w:tc>
          <w:tcPr>
            <w:tcW w:w="122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8"/>
              </w:rPr>
              <w:t>1/13/2025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6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cash dividend</w:t>
            </w:r>
          </w:p>
        </w:tc>
        <w:tc>
          <w:tcPr>
            <w:tcW w:w="20" w:type="dxa"/>
            <w:vAlign w:val="bottom"/>
            <w:tcBorders>
              <w:top w:val="single" w:sz="8" w:color="E3E3E3"/>
            </w:tcBorders>
            <w:shd w:val="clear" w:color="auto" w:fill="E3E3E3"/>
          </w:tcPr>
          <w:p>
            <w:pPr>
              <w:spacing w:after="0"/>
              <w:rPr>
                <w:sz w:val="20"/>
                <w:szCs w:val="20"/>
                <w:color w:val="auto"/>
              </w:rPr>
            </w:pPr>
          </w:p>
        </w:tc>
        <w:tc>
          <w:tcPr>
            <w:tcW w:w="116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1060" w:type="dxa"/>
            <w:vAlign w:val="bottom"/>
            <w:tcBorders>
              <w:top w:val="single" w:sz="8" w:color="E3E3E3"/>
            </w:tcBorders>
            <w:shd w:val="clear" w:color="auto" w:fill="E3E3E3"/>
          </w:tcPr>
          <w:p>
            <w:pPr>
              <w:spacing w:after="0"/>
              <w:rPr>
                <w:sz w:val="20"/>
                <w:szCs w:val="20"/>
                <w:color w:val="auto"/>
              </w:rPr>
            </w:pPr>
          </w:p>
        </w:tc>
        <w:tc>
          <w:tcPr>
            <w:tcW w:w="1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2.06</w:t>
            </w:r>
          </w:p>
        </w:tc>
        <w:tc>
          <w:tcPr>
            <w:tcW w:w="20" w:type="dxa"/>
            <w:vAlign w:val="bottom"/>
            <w:tcBorders>
              <w:top w:val="single" w:sz="8" w:color="E3E3E3"/>
              <w:bottom w:val="single" w:sz="8" w:color="auto"/>
            </w:tcBorders>
            <w:shd w:val="clear" w:color="auto" w:fill="E3E3E3"/>
          </w:tcPr>
          <w:p>
            <w:pPr>
              <w:spacing w:after="0"/>
              <w:rPr>
                <w:sz w:val="20"/>
                <w:szCs w:val="20"/>
                <w:color w:val="auto"/>
              </w:rPr>
            </w:pPr>
          </w:p>
        </w:tc>
        <w:tc>
          <w:tcPr>
            <w:tcW w:w="2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2.06</w:t>
            </w:r>
          </w:p>
        </w:tc>
        <w:tc>
          <w:tcPr>
            <w:tcW w:w="20" w:type="dxa"/>
            <w:vAlign w:val="bottom"/>
            <w:tcBorders>
              <w:top w:val="single" w:sz="8" w:color="E3E3E3"/>
              <w:bottom w:val="single" w:sz="8" w:color="auto"/>
            </w:tcBorders>
            <w:shd w:val="clear" w:color="auto" w:fill="E3E3E3"/>
          </w:tcPr>
          <w:p>
            <w:pPr>
              <w:spacing w:after="0"/>
              <w:rPr>
                <w:sz w:val="20"/>
                <w:szCs w:val="20"/>
                <w:color w:val="auto"/>
              </w:rPr>
            </w:pPr>
          </w:p>
        </w:tc>
        <w:tc>
          <w:tcPr>
            <w:tcW w:w="22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E3E3E3"/>
              <w:bottom w:val="single" w:sz="8" w:color="auto"/>
            </w:tcBorders>
            <w:shd w:val="clear" w:color="auto" w:fill="E3E3E3"/>
          </w:tcPr>
          <w:p>
            <w:pPr>
              <w:spacing w:after="0"/>
              <w:rPr>
                <w:sz w:val="20"/>
                <w:szCs w:val="20"/>
                <w:color w:val="auto"/>
              </w:rPr>
            </w:pPr>
          </w:p>
        </w:tc>
        <w:tc>
          <w:tcPr>
            <w:tcW w:w="200" w:type="dxa"/>
            <w:vAlign w:val="bottom"/>
            <w:tcBorders>
              <w:top w:val="single" w:sz="8" w:color="E3E3E3"/>
            </w:tcBorders>
            <w:shd w:val="clear" w:color="auto" w:fill="E3E3E3"/>
          </w:tcPr>
          <w:p>
            <w:pPr>
              <w:spacing w:after="0"/>
              <w:rPr>
                <w:sz w:val="20"/>
                <w:szCs w:val="20"/>
                <w:color w:val="auto"/>
              </w:rPr>
            </w:pPr>
          </w:p>
        </w:tc>
        <w:tc>
          <w:tcPr>
            <w:tcW w:w="2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2.06</w:t>
            </w:r>
          </w:p>
        </w:tc>
        <w:tc>
          <w:tcPr>
            <w:tcW w:w="6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99"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which requires the use of estimates and assumptions that involve the exercise of judgment as to future uncertainties. The following discussion addresses the accounting estimates that we believe apply to us based on the nature of our operations. Our most critical accounting estimates involve a significant level of estimation uncertainty that have had or are reasonably likely to have a material impact on our financial conditions and results of operations. We believe that all of the decisions and assessments used to prepare our consolidated financial statements are based upon reasonable assumptions given the information available to us at that time. Our critical accounting estimates will be expanded over time as we fully implement our strategy. Those accounting estimates that we believe are most critical to an investor’s understanding of our financial results and condition and require complex management judgment are discussed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CECL Reserve</w:t>
      </w:r>
    </w:p>
    <w:p>
      <w:pPr>
        <w:spacing w:after="0" w:line="193"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9"/>
          <w:szCs w:val="19"/>
          <w:color w:val="auto"/>
        </w:rPr>
        <w:t>We record a current expected credit loss reserve ("CECL Reserve") for our loans held for investment. The CECL Reserve is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42"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We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59"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80"/>
          </w:cols>
          <w:pgMar w:left="1160" w:top="1009" w:right="800" w:bottom="254" w:gutter="0" w:footer="0" w:header="0"/>
          <w:type w:val="continuous"/>
        </w:sectPr>
      </w:pPr>
    </w:p>
    <w:bookmarkStart w:id="93" w:name="page94"/>
    <w:bookmarkEnd w:id="93"/>
    <w:p>
      <w:pPr>
        <w:jc w:val="both"/>
        <w:spacing w:after="0" w:line="272" w:lineRule="auto"/>
        <w:rPr>
          <w:sz w:val="20"/>
          <w:szCs w:val="20"/>
          <w:color w:val="auto"/>
        </w:rPr>
      </w:pPr>
      <w:r>
        <w:rPr>
          <w:rFonts w:ascii="Times New Roman" w:cs="Times New Roman" w:eastAsia="Times New Roman" w:hAnsi="Times New Roman"/>
          <w:sz w:val="20"/>
          <w:szCs w:val="20"/>
          <w:color w:val="auto"/>
        </w:rPr>
        <w:t>have a different risk profile, or have maturities that extend beyond the forecast horizon for which we are able to derive reasonable and supportable forecasts.</w:t>
      </w:r>
    </w:p>
    <w:p>
      <w:pPr>
        <w:spacing w:after="0" w:line="131"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9"/>
          <w:szCs w:val="19"/>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w:t>
      </w:r>
    </w:p>
    <w:p>
      <w:pPr>
        <w:spacing w:after="0" w:line="2" w:lineRule="exact"/>
        <w:rPr>
          <w:sz w:val="20"/>
          <w:szCs w:val="20"/>
          <w:color w:val="auto"/>
        </w:rPr>
      </w:pPr>
    </w:p>
    <w:p>
      <w:pPr>
        <w:ind w:left="260" w:hanging="252"/>
        <w:spacing w:after="0"/>
        <w:tabs>
          <w:tab w:leader="none" w:pos="26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cash from the borrower’s operations is sufficient to cover the debt service requirements currently and into the future,</w:t>
      </w:r>
    </w:p>
    <w:p>
      <w:pPr>
        <w:spacing w:after="0" w:line="8" w:lineRule="exact"/>
        <w:rPr>
          <w:rFonts w:ascii="Times New Roman" w:cs="Times New Roman" w:eastAsia="Times New Roman" w:hAnsi="Times New Roman"/>
          <w:sz w:val="19"/>
          <w:szCs w:val="19"/>
          <w:color w:val="auto"/>
        </w:rPr>
      </w:pPr>
    </w:p>
    <w:p>
      <w:pPr>
        <w:jc w:val="both"/>
        <w:ind w:firstLine="8"/>
        <w:spacing w:after="0"/>
        <w:tabs>
          <w:tab w:leader="none" w:pos="29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62"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portfolio turnover from the date of our initial public offering. However, the Company’s Sponsor and its affiliates have had operations for the past three fiscal periods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w:t>
      </w:r>
    </w:p>
    <w:p>
      <w:pPr>
        <w:spacing w:after="0" w:line="166" w:lineRule="exact"/>
        <w:rPr>
          <w:sz w:val="20"/>
          <w:szCs w:val="20"/>
          <w:color w:val="auto"/>
        </w:rPr>
      </w:pPr>
    </w:p>
    <w:p>
      <w:pPr>
        <w:jc w:val="both"/>
        <w:ind w:firstLine="355"/>
        <w:spacing w:after="0" w:line="239" w:lineRule="auto"/>
        <w:rPr>
          <w:sz w:val="20"/>
          <w:szCs w:val="20"/>
          <w:color w:val="auto"/>
        </w:rPr>
      </w:pPr>
      <w:r>
        <w:rPr>
          <w:rFonts w:ascii="Times New Roman" w:cs="Times New Roman" w:eastAsia="Times New Roman" w:hAnsi="Times New Roman"/>
          <w:sz w:val="20"/>
          <w:szCs w:val="20"/>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sources such as Bloomberg and/or S&amp;P Capital IQ as of December 31, 2025, to which the Manager may apply a private company discount based on the Company’s current borrower profile. These estimates may change in future periods based on available future macro-economic data and might result in a material change in the Company’s future estimates of expected credit losses for its loan portfolio.</w:t>
      </w:r>
    </w:p>
    <w:p>
      <w:pPr>
        <w:spacing w:after="0" w:line="172" w:lineRule="exact"/>
        <w:rPr>
          <w:sz w:val="20"/>
          <w:szCs w:val="20"/>
          <w:color w:val="auto"/>
        </w:rPr>
      </w:pPr>
    </w:p>
    <w:p>
      <w:pPr>
        <w:jc w:val="both"/>
        <w:ind w:firstLine="355"/>
        <w:spacing w:after="0" w:line="266" w:lineRule="auto"/>
        <w:rPr>
          <w:sz w:val="20"/>
          <w:szCs w:val="20"/>
          <w:color w:val="auto"/>
        </w:rPr>
      </w:pPr>
      <w:r>
        <w:rPr>
          <w:rFonts w:ascii="Times New Roman" w:cs="Times New Roman" w:eastAsia="Times New Roman" w:hAnsi="Times New Roman"/>
          <w:sz w:val="19"/>
          <w:szCs w:val="19"/>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5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JOBS Act Accounting Election</w:t>
      </w:r>
    </w:p>
    <w:p>
      <w:pPr>
        <w:spacing w:after="0" w:line="228" w:lineRule="exact"/>
        <w:rPr>
          <w:sz w:val="20"/>
          <w:szCs w:val="20"/>
          <w:color w:val="auto"/>
        </w:rPr>
      </w:pPr>
    </w:p>
    <w:p>
      <w:pPr>
        <w:jc w:val="both"/>
        <w:ind w:firstLine="709"/>
        <w:spacing w:after="0" w:line="272" w:lineRule="auto"/>
        <w:rPr>
          <w:sz w:val="20"/>
          <w:szCs w:val="20"/>
          <w:color w:val="auto"/>
        </w:rPr>
      </w:pPr>
      <w:r>
        <w:rPr>
          <w:rFonts w:ascii="Times New Roman" w:cs="Times New Roman" w:eastAsia="Times New Roman" w:hAnsi="Times New Roman"/>
          <w:sz w:val="20"/>
          <w:szCs w:val="20"/>
          <w:color w:val="auto"/>
        </w:rPr>
        <w:t>The JOBS Act permits an emerging growth company such as us to take advantage of an extended transition period to comply with new or revised accounting standards applicable to public companies until those standards would otherwise apply to</w:t>
      </w:r>
    </w:p>
    <w:p>
      <w:pPr>
        <w:sectPr>
          <w:pgSz w:w="12240" w:h="15840" w:orient="portrait"/>
          <w:cols w:equalWidth="0" w:num="1">
            <w:col w:w="10280"/>
          </w:cols>
          <w:pgMar w:left="1160" w:top="1009" w:right="800" w:bottom="254"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80"/>
          </w:cols>
          <w:pgMar w:left="1160" w:top="1009" w:right="800" w:bottom="254" w:gutter="0" w:footer="0" w:header="0"/>
          <w:type w:val="continuous"/>
        </w:sectPr>
      </w:pPr>
    </w:p>
    <w:bookmarkStart w:id="94" w:name="page95"/>
    <w:bookmarkEnd w:id="94"/>
    <w:p>
      <w:pPr>
        <w:jc w:val="both"/>
        <w:spacing w:after="0" w:line="255" w:lineRule="auto"/>
        <w:rPr>
          <w:sz w:val="20"/>
          <w:szCs w:val="20"/>
          <w:color w:val="auto"/>
        </w:rPr>
      </w:pPr>
      <w:r>
        <w:rPr>
          <w:rFonts w:ascii="Times New Roman" w:cs="Times New Roman" w:eastAsia="Times New Roman" w:hAnsi="Times New Roman"/>
          <w:sz w:val="20"/>
          <w:szCs w:val="20"/>
          <w:color w:val="auto"/>
        </w:rPr>
        <w:t>private companies. We have elected to avail ourselves of the extended transition period for complying with new or r</w:t>
      </w:r>
      <w:r>
        <w:rPr>
          <w:rFonts w:ascii="Times New Roman" w:cs="Times New Roman" w:eastAsia="Times New Roman" w:hAnsi="Times New Roman"/>
          <w:sz w:val="19"/>
          <w:szCs w:val="19"/>
          <w:color w:val="auto"/>
        </w:rPr>
        <w:t>evised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financial accounting standards. We intend to rely on other exemptions provided by the JOBS Act, including without limitation, not being required to comply with the auditor attestation requirements of Section 404(b) of Sarbanes -Oxley. As a result, our consolidated financial statements may not be comparable to companies that comply with new or revised accounting pronouncements as of public company effective dates.</w:t>
      </w:r>
    </w:p>
    <w:p>
      <w:pPr>
        <w:spacing w:after="0" w:line="179" w:lineRule="exact"/>
        <w:rPr>
          <w:sz w:val="20"/>
          <w:szCs w:val="20"/>
          <w:color w:val="auto"/>
        </w:rPr>
      </w:pPr>
    </w:p>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of (1) the last day of the fiscal year (a) following the fifth anniversary of the date of the first sale of our common stock pursuant to an effective registration statement under the Securities Act, (b) in which we have total annual revenue of at least $1.235 billion, or (c) in which we are deemed to be a large accelerated filer, which generally means the market value of our common equity that is held by non-affiliates exceeds $700 million as of the end of the prior fiscal year’s second fiscal quarter; and (2) the date on which we have issued more than $1 billion in non-convertible debt securities during the prior three-year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99"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Refer to footnote 2 to our consolidated financial statements for the year ended December 31, 2025, titled “</w:t>
      </w:r>
      <w:r>
        <w:rPr>
          <w:rFonts w:ascii="Times New Roman" w:cs="Times New Roman" w:eastAsia="Times New Roman" w:hAnsi="Times New Roman"/>
          <w:sz w:val="20"/>
          <w:szCs w:val="20"/>
          <w:i w:val="1"/>
          <w:iCs w:val="1"/>
          <w:color w:val="auto"/>
        </w:rPr>
        <w:t>Significant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Policies</w:t>
      </w:r>
      <w:r>
        <w:rPr>
          <w:rFonts w:ascii="Times New Roman" w:cs="Times New Roman" w:eastAsia="Times New Roman" w:hAnsi="Times New Roman"/>
          <w:sz w:val="20"/>
          <w:szCs w:val="20"/>
          <w:color w:val="auto"/>
        </w:rPr>
        <w:t>” for information on recent accounting pronouncements.</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80"/>
          </w:cols>
          <w:pgMar w:left="1160" w:top="1009" w:right="800" w:bottom="254"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9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Uncertainty with respect to the economic effects of political tensions in the United States and around the world have introduced significant volatility in the financial markets, and the effect of the volatility could materially impact our market risks, including those listed below. We are subject to certain financial market risks, including valuation risk, interest rate risk and credit risk.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Risk</w:t>
      </w:r>
    </w:p>
    <w:p>
      <w:pPr>
        <w:spacing w:after="0" w:line="19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The Company’s results of operations and financial condition are subject to valuation risk related to its real estate–related investments, including mortgage loans, real estate owned, if any, and other financial assets measured at fair value or evaluated for impairment or credit loss. The valuation of these assets involves the use of significant judgments, estimates, and assumptions, many of which are inherently subjective and may be impacted by changes in market conditions.</w:t>
      </w:r>
    </w:p>
    <w:p>
      <w:pPr>
        <w:spacing w:after="0" w:line="153"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We generally hold our investments as long-term loans classified as held for investment; however, we may occasionally classify some of our loans as held for sale. We may carry our loans at fair value or carrying value in our consolidated balance sheet. As of December 31, 2025 and 2024, zero and one of our loans were carried at fair value within loans held at fair value in our consolidated balance sheets, respectively, with changes in fair value recorded through earnings. We evaluate our loans on a quarterly basis and fair value is determined by our Manager's Investment Committee. We use an independent third-party valuation firm to provide input in the valuation of all of our unquoted investments, which we consider along with other various subjective and objective factors in making our evaluations.</w:t>
      </w:r>
    </w:p>
    <w:p>
      <w:pPr>
        <w:spacing w:after="0" w:line="160"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Valuations of real estate collateral are generally based on third-party appraisals, broker price opinions, or other valuation techniques that rely on assumptions regarding future cash flows, capitalization rates, discount rates, comparable sales, market absorption, and prevailing economic conditions. Appraisals and similar valuation metrics may not reflect current market conditions, particularly during periods of market volatility, reduced transaction activity, or declining property values. Actual realized values may differ materially from appraised or estimated values.</w:t>
      </w:r>
    </w:p>
    <w:p>
      <w:pPr>
        <w:spacing w:after="0" w:line="156"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In addition, with respect to the Company's loans held for investment, which are carried at amortized costs, the Manager applies judgment in estimating expected credit losses under its CECL valuation methodology. The determination of CECL reserves requires management to make assumptions regarding borrower performance, collateral values, historical loss experience, current conditions, and reasonable and supportable forecasts of future economic conditions. Changes in these assumptions, including adverse changes in real estate values, interest rates, occupancy levels, or macroeconomic conditions, could result in material increases in the Company’s allowance for credit losses.</w:t>
      </w:r>
    </w:p>
    <w:p>
      <w:pPr>
        <w:spacing w:after="0" w:line="159"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Company reviews valuation methodologies, assumptions, and key inputs on an ongoing basis and may adjust valuations or credit loss estimates as market conditions evolve. However, there can be no assurance that such estimates will accurately reflect the prices at which assets could ultimately be sold or the actual credit losses that may be realized. As a result, changes in valuations or CECL assumptions could have a material adverse effect on the Company’s financial condition, results of operations, and liquidity.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Market Interest Rates and Effect on Net Interest Income</w:t>
      </w:r>
    </w:p>
    <w:p>
      <w:pPr>
        <w:spacing w:after="0" w:line="19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spacing w:after="0" w:line="147"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9"/>
          <w:szCs w:val="19"/>
          <w:color w:val="auto"/>
        </w:rPr>
        <w:t>Our operating results depend in large part on differences between the income earned on our assets and our cost of borrowing. The cost of our borrowings is generally based on prevailing market interest rates. During periods of rising interest rates, our borrowing costs generally increase. To the extent we fund fixed-rate investments with floating-rate borrowings, rising rates could reduce our net interest spread and net interest margin. For floating-rate investments, changes in yields may lag increases in borrowing costs due to interest rate floors, timing of rate resets, or differences in spreads, which could also adversely affect our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47"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As of December 31, 2025, we had 16 floating-rate loans, representing approximately 62.4% of our loan portfolio based on aggregate outstanding principal balances. The remaining 37.6% is represented by fixed rate loans. As of December 31, 2024,</w:t>
      </w:r>
    </w:p>
    <w:p>
      <w:pPr>
        <w:sectPr>
          <w:pgSz w:w="12240" w:h="15840" w:orient="portrait"/>
          <w:cols w:equalWidth="0" w:num="1">
            <w:col w:w="10280"/>
          </w:cols>
          <w:pgMar w:left="1160" w:top="1005" w:right="800" w:bottom="254"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80"/>
          </w:cols>
          <w:pgMar w:left="1160" w:top="1005" w:right="800" w:bottom="254" w:gutter="0" w:footer="0" w:header="0"/>
          <w:type w:val="continuous"/>
        </w:sectPr>
      </w:pPr>
    </w:p>
    <w:bookmarkStart w:id="96" w:name="page97"/>
    <w:bookmarkEnd w:id="96"/>
    <w:p>
      <w:pPr>
        <w:jc w:val="both"/>
        <w:spacing w:after="0" w:line="255" w:lineRule="auto"/>
        <w:rPr>
          <w:sz w:val="20"/>
          <w:szCs w:val="20"/>
          <w:color w:val="auto"/>
        </w:rPr>
      </w:pPr>
      <w:r>
        <w:rPr>
          <w:rFonts w:ascii="Times New Roman" w:cs="Times New Roman" w:eastAsia="Times New Roman" w:hAnsi="Times New Roman"/>
          <w:sz w:val="20"/>
          <w:szCs w:val="20"/>
          <w:color w:val="auto"/>
        </w:rPr>
        <w:t>62.1% and 37.9% of outstanding principal was represented by floating rate loans and fixed rate loans, respectively. Our loans generally have a rate floor established at the prevailing benchmark rate, as applicable, at the time of origination. Refer to Note 3 for rate floor by loan.</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addition, our Revolving Loan is exposed to similar interest rate risk. Our Revolving Loan bears interest at the greater of</w:t>
      </w:r>
    </w:p>
    <w:p>
      <w:pPr>
        <w:spacing w:after="0" w:line="25" w:lineRule="exact"/>
        <w:rPr>
          <w:sz w:val="20"/>
          <w:szCs w:val="20"/>
          <w:color w:val="auto"/>
        </w:rPr>
      </w:pPr>
    </w:p>
    <w:p>
      <w:pPr>
        <w:jc w:val="both"/>
        <w:ind w:firstLine="8"/>
        <w:spacing w:after="0"/>
        <w:tabs>
          <w:tab w:leader="none" w:pos="28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Prime Rate plus the applicable margin and (2) 3.25%. As of December 31, 2025, we had an outstanding balance of $49.1 million under the Revolving Loan, and an additional $60.9 million of availability which incurs an unused fee of 25 basis points. An increase in the Prime Rate is expected to result in an increase in interest expenses and therefore a decrease in net income.</w:t>
      </w:r>
    </w:p>
    <w:p>
      <w:pPr>
        <w:spacing w:after="0" w:line="162"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Based on our Consolidated Statement of Operations for the year ended December 31, 2025, the following table shows the estimated annualized impact on net income resulting from hypothetical benchmark rate changes on our floating-rate portfolio (considering interest rate floors, as applicable). Management estimates reflect the characteristics of its loan portfolio as of December 31, 2025 and exclude assumptions relating to unscheduled prepayments, deployment of unfunded commitments or new originations.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vMerge w:val="restart"/>
          </w:tcPr>
          <w:p>
            <w:pPr>
              <w:ind w:left="560"/>
              <w:spacing w:after="0"/>
              <w:rPr>
                <w:sz w:val="20"/>
                <w:szCs w:val="20"/>
                <w:color w:val="auto"/>
              </w:rPr>
            </w:pPr>
            <w:r>
              <w:rPr>
                <w:rFonts w:ascii="Times New Roman" w:cs="Times New Roman" w:eastAsia="Times New Roman" w:hAnsi="Times New Roman"/>
                <w:sz w:val="20"/>
                <w:szCs w:val="20"/>
                <w:b w:val="1"/>
                <w:bCs w:val="1"/>
                <w:color w:val="auto"/>
              </w:rPr>
              <w:t>Change in Interest Rates</w:t>
            </w:r>
          </w:p>
        </w:tc>
        <w:tc>
          <w:tcPr>
            <w:tcW w:w="140" w:type="dxa"/>
            <w:vAlign w:val="bottom"/>
          </w:tcPr>
          <w:p>
            <w:pPr>
              <w:spacing w:after="0"/>
              <w:rPr>
                <w:sz w:val="19"/>
                <w:szCs w:val="19"/>
                <w:color w:val="auto"/>
              </w:rPr>
            </w:pPr>
          </w:p>
        </w:tc>
        <w:tc>
          <w:tcPr>
            <w:tcW w:w="23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Increase (Decrease) in</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w w:val="98"/>
              </w:rPr>
              <w:t>Increase (Decrease) in</w:t>
            </w:r>
          </w:p>
        </w:tc>
        <w:tc>
          <w:tcPr>
            <w:tcW w:w="2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Increase (Decrease) in Net</w:t>
            </w:r>
          </w:p>
        </w:tc>
        <w:tc>
          <w:tcPr>
            <w:tcW w:w="0" w:type="dxa"/>
            <w:vAlign w:val="bottom"/>
          </w:tcPr>
          <w:p>
            <w:pPr>
              <w:spacing w:after="0"/>
              <w:rPr>
                <w:sz w:val="1"/>
                <w:szCs w:val="1"/>
                <w:color w:val="auto"/>
              </w:rPr>
            </w:pPr>
          </w:p>
        </w:tc>
      </w:tr>
      <w:tr>
        <w:trPr>
          <w:trHeight w:val="251"/>
        </w:trPr>
        <w:tc>
          <w:tcPr>
            <w:tcW w:w="32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38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Interest Income</w:t>
            </w:r>
          </w:p>
        </w:tc>
        <w:tc>
          <w:tcPr>
            <w:tcW w:w="22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Interest Expense</w:t>
            </w: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Investment Income</w:t>
            </w:r>
          </w:p>
        </w:tc>
        <w:tc>
          <w:tcPr>
            <w:tcW w:w="0" w:type="dxa"/>
            <w:vAlign w:val="bottom"/>
          </w:tcPr>
          <w:p>
            <w:pPr>
              <w:spacing w:after="0"/>
              <w:rPr>
                <w:sz w:val="1"/>
                <w:szCs w:val="1"/>
                <w:color w:val="auto"/>
              </w:rPr>
            </w:pPr>
          </w:p>
        </w:tc>
      </w:tr>
      <w:tr>
        <w:trPr>
          <w:trHeight w:val="236"/>
        </w:trPr>
        <w:tc>
          <w:tcPr>
            <w:tcW w:w="3200" w:type="dxa"/>
            <w:vAlign w:val="bottom"/>
            <w:tcBorders>
              <w:top w:val="single" w:sz="8" w:color="auto"/>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rPr>
              <w:t>Increase of 300 basis points</w:t>
            </w:r>
          </w:p>
        </w:tc>
        <w:tc>
          <w:tcPr>
            <w:tcW w:w="140" w:type="dxa"/>
            <w:vAlign w:val="bottom"/>
            <w:tcBorders>
              <w:top w:val="single" w:sz="8" w:color="DEDEDE"/>
            </w:tcBorders>
            <w:shd w:val="clear" w:color="auto" w:fill="DEDEDE"/>
          </w:tcPr>
          <w:p>
            <w:pPr>
              <w:spacing w:after="0"/>
              <w:rPr>
                <w:sz w:val="20"/>
                <w:szCs w:val="20"/>
                <w:color w:val="auto"/>
              </w:rPr>
            </w:pPr>
          </w:p>
        </w:tc>
        <w:tc>
          <w:tcPr>
            <w:tcW w:w="21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7,691,844</w:t>
            </w:r>
          </w:p>
        </w:tc>
        <w:tc>
          <w:tcPr>
            <w:tcW w:w="200" w:type="dxa"/>
            <w:vAlign w:val="bottom"/>
            <w:tcBorders>
              <w:top w:val="single" w:sz="8" w:color="DEDEDE"/>
            </w:tcBorders>
            <w:shd w:val="clear" w:color="auto" w:fill="DEDEDE"/>
          </w:tcPr>
          <w:p>
            <w:pPr>
              <w:spacing w:after="0"/>
              <w:rPr>
                <w:sz w:val="20"/>
                <w:szCs w:val="20"/>
                <w:color w:val="auto"/>
              </w:rPr>
            </w:pPr>
          </w:p>
        </w:tc>
        <w:tc>
          <w:tcPr>
            <w:tcW w:w="19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1,473,000</w:t>
            </w:r>
          </w:p>
        </w:tc>
        <w:tc>
          <w:tcPr>
            <w:tcW w:w="280" w:type="dxa"/>
            <w:vAlign w:val="bottom"/>
            <w:tcBorders>
              <w:top w:val="single" w:sz="8" w:color="DEDEDE"/>
            </w:tcBorders>
            <w:shd w:val="clear" w:color="auto" w:fill="DEDEDE"/>
          </w:tcPr>
          <w:p>
            <w:pPr>
              <w:spacing w:after="0"/>
              <w:rPr>
                <w:sz w:val="20"/>
                <w:szCs w:val="20"/>
                <w:color w:val="auto"/>
              </w:rPr>
            </w:pPr>
          </w:p>
        </w:tc>
        <w:tc>
          <w:tcPr>
            <w:tcW w:w="22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6,218,844</w:t>
            </w:r>
          </w:p>
        </w:tc>
        <w:tc>
          <w:tcPr>
            <w:tcW w:w="80" w:type="dxa"/>
            <w:vAlign w:val="bottom"/>
            <w:tcBorders>
              <w:top w:val="single" w:sz="8" w:color="DEDEDE"/>
            </w:tcBorders>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Increase of 200 basis points</w:t>
            </w: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5,127,896</w:t>
            </w:r>
          </w:p>
        </w:tc>
        <w:tc>
          <w:tcPr>
            <w:tcW w:w="2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982,000</w:t>
            </w:r>
          </w:p>
        </w:tc>
        <w:tc>
          <w:tcPr>
            <w:tcW w:w="28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4,145,896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Increase of 100 basis points</w:t>
            </w:r>
          </w:p>
        </w:tc>
        <w:tc>
          <w:tcPr>
            <w:tcW w:w="2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2,563,948</w:t>
            </w:r>
          </w:p>
        </w:tc>
        <w:tc>
          <w:tcPr>
            <w:tcW w:w="200" w:type="dxa"/>
            <w:vAlign w:val="bottom"/>
            <w:shd w:val="clear" w:color="auto" w:fill="DEDEDE"/>
          </w:tcPr>
          <w:p>
            <w:pPr>
              <w:spacing w:after="0"/>
              <w:rPr>
                <w:sz w:val="20"/>
                <w:szCs w:val="20"/>
                <w:color w:val="auto"/>
              </w:rPr>
            </w:pPr>
          </w:p>
        </w:tc>
        <w:tc>
          <w:tcPr>
            <w:tcW w:w="1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491,000</w:t>
            </w:r>
          </w:p>
        </w:tc>
        <w:tc>
          <w:tcPr>
            <w:tcW w:w="280" w:type="dxa"/>
            <w:vAlign w:val="bottom"/>
            <w:shd w:val="clear" w:color="auto" w:fill="DEDEDE"/>
          </w:tcPr>
          <w:p>
            <w:pPr>
              <w:spacing w:after="0"/>
              <w:rPr>
                <w:sz w:val="20"/>
                <w:szCs w:val="20"/>
                <w:color w:val="auto"/>
              </w:rPr>
            </w:pPr>
          </w:p>
        </w:tc>
        <w:tc>
          <w:tcPr>
            <w:tcW w:w="22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2,072,948</w:t>
            </w:r>
          </w:p>
        </w:tc>
        <w:tc>
          <w:tcPr>
            <w:tcW w:w="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Decrease of 100 basis points</w:t>
            </w:r>
          </w:p>
        </w:tc>
        <w:tc>
          <w:tcPr>
            <w:tcW w:w="25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(505,133)</w:t>
            </w: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(491,000)</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(14,133)</w:t>
            </w:r>
          </w:p>
        </w:tc>
        <w:tc>
          <w:tcPr>
            <w:tcW w:w="0" w:type="dxa"/>
            <w:vAlign w:val="bottom"/>
          </w:tcPr>
          <w:p>
            <w:pPr>
              <w:spacing w:after="0"/>
              <w:rPr>
                <w:sz w:val="1"/>
                <w:szCs w:val="1"/>
                <w:color w:val="auto"/>
              </w:rPr>
            </w:pPr>
          </w:p>
        </w:tc>
      </w:tr>
      <w:tr>
        <w:trPr>
          <w:trHeight w:val="241"/>
        </w:trPr>
        <w:tc>
          <w:tcPr>
            <w:tcW w:w="32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Decrease of 200 basis points</w:t>
            </w:r>
          </w:p>
        </w:tc>
        <w:tc>
          <w:tcPr>
            <w:tcW w:w="2520" w:type="dxa"/>
            <w:vAlign w:val="bottom"/>
            <w:gridSpan w:val="3"/>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(931,411)</w:t>
            </w:r>
          </w:p>
        </w:tc>
        <w:tc>
          <w:tcPr>
            <w:tcW w:w="220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20"/>
                <w:szCs w:val="20"/>
                <w:color w:val="auto"/>
              </w:rPr>
              <w:t>(982,000)</w:t>
            </w:r>
          </w:p>
        </w:tc>
        <w:tc>
          <w:tcPr>
            <w:tcW w:w="22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50,589</w:t>
            </w:r>
          </w:p>
        </w:tc>
        <w:tc>
          <w:tcPr>
            <w:tcW w:w="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Decrease of 300 basis points</w:t>
            </w:r>
          </w:p>
        </w:tc>
        <w:tc>
          <w:tcPr>
            <w:tcW w:w="25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(1,306,619)</w:t>
            </w: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(1,473,000)</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166,381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Based on our Consolidated Statement of Operations for the year ended December 31, 2024, the following table shows the estimated annualized impact on net income resulting from hypothetical benchmark rate changes on our floating-rate portfolio (considering interest rate floors, as applicable).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vMerge w:val="restart"/>
          </w:tcPr>
          <w:p>
            <w:pPr>
              <w:ind w:left="560"/>
              <w:spacing w:after="0"/>
              <w:rPr>
                <w:sz w:val="20"/>
                <w:szCs w:val="20"/>
                <w:color w:val="auto"/>
              </w:rPr>
            </w:pPr>
            <w:r>
              <w:rPr>
                <w:rFonts w:ascii="Times New Roman" w:cs="Times New Roman" w:eastAsia="Times New Roman" w:hAnsi="Times New Roman"/>
                <w:sz w:val="20"/>
                <w:szCs w:val="20"/>
                <w:b w:val="1"/>
                <w:bCs w:val="1"/>
                <w:color w:val="auto"/>
              </w:rPr>
              <w:t>Change in Interest Rates</w:t>
            </w:r>
          </w:p>
        </w:tc>
        <w:tc>
          <w:tcPr>
            <w:tcW w:w="140" w:type="dxa"/>
            <w:vAlign w:val="bottom"/>
          </w:tcPr>
          <w:p>
            <w:pPr>
              <w:spacing w:after="0"/>
              <w:rPr>
                <w:sz w:val="19"/>
                <w:szCs w:val="19"/>
                <w:color w:val="auto"/>
              </w:rPr>
            </w:pPr>
          </w:p>
        </w:tc>
        <w:tc>
          <w:tcPr>
            <w:tcW w:w="23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Increase (Decrease) in</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w w:val="98"/>
              </w:rPr>
              <w:t>Increase (Decrease) in</w:t>
            </w:r>
          </w:p>
        </w:tc>
        <w:tc>
          <w:tcPr>
            <w:tcW w:w="2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Increase (Decrease) in Net</w:t>
            </w:r>
          </w:p>
        </w:tc>
        <w:tc>
          <w:tcPr>
            <w:tcW w:w="0" w:type="dxa"/>
            <w:vAlign w:val="bottom"/>
          </w:tcPr>
          <w:p>
            <w:pPr>
              <w:spacing w:after="0"/>
              <w:rPr>
                <w:sz w:val="1"/>
                <w:szCs w:val="1"/>
                <w:color w:val="auto"/>
              </w:rPr>
            </w:pPr>
          </w:p>
        </w:tc>
      </w:tr>
      <w:tr>
        <w:trPr>
          <w:trHeight w:val="251"/>
        </w:trPr>
        <w:tc>
          <w:tcPr>
            <w:tcW w:w="32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38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Interest Income</w:t>
            </w:r>
          </w:p>
        </w:tc>
        <w:tc>
          <w:tcPr>
            <w:tcW w:w="22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Interest Expense</w:t>
            </w:r>
          </w:p>
        </w:tc>
        <w:tc>
          <w:tcPr>
            <w:tcW w:w="23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Investment Income</w:t>
            </w:r>
          </w:p>
        </w:tc>
        <w:tc>
          <w:tcPr>
            <w:tcW w:w="0" w:type="dxa"/>
            <w:vAlign w:val="bottom"/>
          </w:tcPr>
          <w:p>
            <w:pPr>
              <w:spacing w:after="0"/>
              <w:rPr>
                <w:sz w:val="1"/>
                <w:szCs w:val="1"/>
                <w:color w:val="auto"/>
              </w:rPr>
            </w:pPr>
          </w:p>
        </w:tc>
      </w:tr>
      <w:tr>
        <w:trPr>
          <w:trHeight w:val="236"/>
        </w:trPr>
        <w:tc>
          <w:tcPr>
            <w:tcW w:w="3200" w:type="dxa"/>
            <w:vAlign w:val="bottom"/>
            <w:tcBorders>
              <w:top w:val="single" w:sz="8" w:color="auto"/>
            </w:tcBorders>
            <w:shd w:val="clear" w:color="auto" w:fill="DEDEDE"/>
          </w:tcPr>
          <w:p>
            <w:pPr>
              <w:spacing w:after="0"/>
              <w:rPr>
                <w:sz w:val="20"/>
                <w:szCs w:val="20"/>
                <w:color w:val="auto"/>
              </w:rPr>
            </w:pPr>
            <w:r>
              <w:rPr>
                <w:rFonts w:ascii="Times New Roman" w:cs="Times New Roman" w:eastAsia="Times New Roman" w:hAnsi="Times New Roman"/>
                <w:sz w:val="20"/>
                <w:szCs w:val="20"/>
                <w:color w:val="auto"/>
              </w:rPr>
              <w:t>Increase of 300 basis points</w:t>
            </w:r>
          </w:p>
        </w:tc>
        <w:tc>
          <w:tcPr>
            <w:tcW w:w="140" w:type="dxa"/>
            <w:vAlign w:val="bottom"/>
            <w:tcBorders>
              <w:top w:val="single" w:sz="8" w:color="DEDEDE"/>
            </w:tcBorders>
            <w:shd w:val="clear" w:color="auto" w:fill="DEDEDE"/>
          </w:tcPr>
          <w:p>
            <w:pPr>
              <w:spacing w:after="0"/>
              <w:rPr>
                <w:sz w:val="20"/>
                <w:szCs w:val="20"/>
                <w:color w:val="auto"/>
              </w:rPr>
            </w:pPr>
          </w:p>
        </w:tc>
        <w:tc>
          <w:tcPr>
            <w:tcW w:w="21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7,648,490</w:t>
            </w:r>
          </w:p>
        </w:tc>
        <w:tc>
          <w:tcPr>
            <w:tcW w:w="200" w:type="dxa"/>
            <w:vAlign w:val="bottom"/>
            <w:tcBorders>
              <w:top w:val="single" w:sz="8" w:color="DEDEDE"/>
            </w:tcBorders>
            <w:shd w:val="clear" w:color="auto" w:fill="DEDEDE"/>
          </w:tcPr>
          <w:p>
            <w:pPr>
              <w:spacing w:after="0"/>
              <w:rPr>
                <w:sz w:val="20"/>
                <w:szCs w:val="20"/>
                <w:color w:val="auto"/>
              </w:rPr>
            </w:pPr>
          </w:p>
        </w:tc>
        <w:tc>
          <w:tcPr>
            <w:tcW w:w="19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1,650,000</w:t>
            </w:r>
          </w:p>
        </w:tc>
        <w:tc>
          <w:tcPr>
            <w:tcW w:w="280" w:type="dxa"/>
            <w:vAlign w:val="bottom"/>
            <w:tcBorders>
              <w:top w:val="single" w:sz="8" w:color="DEDEDE"/>
            </w:tcBorders>
            <w:shd w:val="clear" w:color="auto" w:fill="DEDEDE"/>
          </w:tcPr>
          <w:p>
            <w:pPr>
              <w:spacing w:after="0"/>
              <w:rPr>
                <w:sz w:val="20"/>
                <w:szCs w:val="20"/>
                <w:color w:val="auto"/>
              </w:rPr>
            </w:pPr>
          </w:p>
        </w:tc>
        <w:tc>
          <w:tcPr>
            <w:tcW w:w="22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5,998,490</w:t>
            </w:r>
          </w:p>
        </w:tc>
        <w:tc>
          <w:tcPr>
            <w:tcW w:w="80" w:type="dxa"/>
            <w:vAlign w:val="bottom"/>
            <w:tcBorders>
              <w:top w:val="single" w:sz="8" w:color="DEDEDE"/>
            </w:tcBorders>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Increase of 200 basis points</w:t>
            </w: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5,098,994</w:t>
            </w:r>
          </w:p>
        </w:tc>
        <w:tc>
          <w:tcPr>
            <w:tcW w:w="2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1,100,000</w:t>
            </w:r>
          </w:p>
        </w:tc>
        <w:tc>
          <w:tcPr>
            <w:tcW w:w="28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3,998,994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Increase of 100 basis points</w:t>
            </w:r>
          </w:p>
        </w:tc>
        <w:tc>
          <w:tcPr>
            <w:tcW w:w="2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2,549,497</w:t>
            </w:r>
          </w:p>
        </w:tc>
        <w:tc>
          <w:tcPr>
            <w:tcW w:w="200" w:type="dxa"/>
            <w:vAlign w:val="bottom"/>
            <w:shd w:val="clear" w:color="auto" w:fill="DEDEDE"/>
          </w:tcPr>
          <w:p>
            <w:pPr>
              <w:spacing w:after="0"/>
              <w:rPr>
                <w:sz w:val="20"/>
                <w:szCs w:val="20"/>
                <w:color w:val="auto"/>
              </w:rPr>
            </w:pPr>
          </w:p>
        </w:tc>
        <w:tc>
          <w:tcPr>
            <w:tcW w:w="1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550,000</w:t>
            </w:r>
          </w:p>
        </w:tc>
        <w:tc>
          <w:tcPr>
            <w:tcW w:w="280" w:type="dxa"/>
            <w:vAlign w:val="bottom"/>
            <w:shd w:val="clear" w:color="auto" w:fill="DEDEDE"/>
          </w:tcPr>
          <w:p>
            <w:pPr>
              <w:spacing w:after="0"/>
              <w:rPr>
                <w:sz w:val="20"/>
                <w:szCs w:val="20"/>
                <w:color w:val="auto"/>
              </w:rPr>
            </w:pPr>
          </w:p>
        </w:tc>
        <w:tc>
          <w:tcPr>
            <w:tcW w:w="22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1,999,497</w:t>
            </w:r>
          </w:p>
        </w:tc>
        <w:tc>
          <w:tcPr>
            <w:tcW w:w="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Decrease of 100 basis points</w:t>
            </w:r>
          </w:p>
        </w:tc>
        <w:tc>
          <w:tcPr>
            <w:tcW w:w="25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(942,224)</w:t>
            </w: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(550,000)</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(392,224)</w:t>
            </w:r>
          </w:p>
        </w:tc>
        <w:tc>
          <w:tcPr>
            <w:tcW w:w="0" w:type="dxa"/>
            <w:vAlign w:val="bottom"/>
          </w:tcPr>
          <w:p>
            <w:pPr>
              <w:spacing w:after="0"/>
              <w:rPr>
                <w:sz w:val="1"/>
                <w:szCs w:val="1"/>
                <w:color w:val="auto"/>
              </w:rPr>
            </w:pPr>
          </w:p>
        </w:tc>
      </w:tr>
      <w:tr>
        <w:trPr>
          <w:trHeight w:val="241"/>
        </w:trPr>
        <w:tc>
          <w:tcPr>
            <w:tcW w:w="320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Decrease of 200 basis points</w:t>
            </w:r>
          </w:p>
        </w:tc>
        <w:tc>
          <w:tcPr>
            <w:tcW w:w="2520" w:type="dxa"/>
            <w:vAlign w:val="bottom"/>
            <w:gridSpan w:val="3"/>
            <w:shd w:val="clear" w:color="auto" w:fill="DEDEDE"/>
          </w:tcPr>
          <w:p>
            <w:pPr>
              <w:jc w:val="right"/>
              <w:ind w:right="140"/>
              <w:spacing w:after="0"/>
              <w:rPr>
                <w:sz w:val="20"/>
                <w:szCs w:val="20"/>
                <w:color w:val="auto"/>
              </w:rPr>
            </w:pPr>
            <w:r>
              <w:rPr>
                <w:rFonts w:ascii="Times New Roman" w:cs="Times New Roman" w:eastAsia="Times New Roman" w:hAnsi="Times New Roman"/>
                <w:sz w:val="20"/>
                <w:szCs w:val="20"/>
                <w:color w:val="auto"/>
              </w:rPr>
              <w:t>(1,360,002)</w:t>
            </w:r>
          </w:p>
        </w:tc>
        <w:tc>
          <w:tcPr>
            <w:tcW w:w="220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20"/>
                <w:szCs w:val="20"/>
                <w:color w:val="auto"/>
              </w:rPr>
              <w:t>(1,100,000)</w:t>
            </w:r>
          </w:p>
        </w:tc>
        <w:tc>
          <w:tcPr>
            <w:tcW w:w="23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20"/>
                <w:szCs w:val="20"/>
                <w:color w:val="auto"/>
              </w:rPr>
              <w:t>(260,002)</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auto"/>
              </w:rPr>
              <w:t>Decrease of 300 basis points</w:t>
            </w:r>
          </w:p>
        </w:tc>
        <w:tc>
          <w:tcPr>
            <w:tcW w:w="25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(1,723,668)</w:t>
            </w: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(1,650,000)</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(73,668)</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Floor and Cap Risk</w:t>
      </w:r>
    </w:p>
    <w:p>
      <w:pPr>
        <w:spacing w:after="0" w:line="193"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9"/>
          <w:szCs w:val="19"/>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 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 These factors could lower our net interest income or cause a net loss during periods of rising interest rates, which would harm our financial condition, cash flows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Mismatch Risk</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80"/>
          </w:cols>
          <w:pgMar w:left="1160" w:top="1009" w:right="800" w:bottom="254" w:gutter="0" w:footer="0" w:header="0"/>
          <w:type w:val="continuous"/>
        </w:sectPr>
      </w:pPr>
    </w:p>
    <w:bookmarkStart w:id="97" w:name="page98"/>
    <w:bookmarkEnd w:id="97"/>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199"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We are subject to varying degrees of credit risk in connection with our loans and interest receivable, which include credit risk on our commercial real estate loans and other targeted types of loans. Our Manager will seek to manage credit risk by performing deep credit fundamental analysis of potential assets and through the use of non-recourse financing, when and where available and appropriate. Credit risk will also be addressed through our Manager’s on- going review, and loans will be monitored for variance from expected prepayments, defaults, severities, losses and cash flow on a quarterly basis.</w:t>
      </w:r>
    </w:p>
    <w:p>
      <w:pPr>
        <w:spacing w:after="0" w:line="156"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Our Manager or affiliates of our Manager generally originate all of our loans and intend to continue to originate our loans, but we may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w:t>
      </w:r>
    </w:p>
    <w:p>
      <w:pPr>
        <w:spacing w:after="0" w:line="19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Our loan portfolio as of December 31, 2025 and 2024 was concentrated with the top three borrowers representing approximately 26.9% and 24.0% of the funded principal. As of December 31, 2025 and 2024, the top three borrowers represented approximately 28.1% and 21.2% of interest income, respectively. The largest loan represented approximately 11.5% and 11.1% of the funded principal.</w:t>
      </w:r>
    </w:p>
    <w:p>
      <w:pPr>
        <w:spacing w:after="0" w:line="15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Additionally, a core component of the Company's cannabis investment strategy is to seek investments in limited license states that have higher barriers to entry and less competition relative to other jurisdictions. The Company seeks to diversify its investments across geographies that balance portfolio risks that may be exposed to potential regulatory cannabis changes at the state level. The below table presents the Company's loan principal outstanding as of December 31, 2025 and 2024 based on collateral location or principal place of business, as applicable: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0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7"/>
              </w:rPr>
              <w:t>As of December 31, 2024</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auto"/>
                <w:w w:val="97"/>
              </w:rPr>
              <w:t>Percentage</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7"/>
              </w:rPr>
              <w:t>Percentage</w:t>
            </w: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vMerge w:val="restart"/>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260" w:type="dxa"/>
            <w:vAlign w:val="bottom"/>
          </w:tcPr>
          <w:p>
            <w:pPr>
              <w:spacing w:after="0"/>
              <w:rPr>
                <w:sz w:val="19"/>
                <w:szCs w:val="19"/>
                <w:color w:val="auto"/>
              </w:rPr>
            </w:pPr>
          </w:p>
        </w:tc>
        <w:tc>
          <w:tcPr>
            <w:tcW w:w="1300" w:type="dxa"/>
            <w:vAlign w:val="bottom"/>
            <w:gridSpan w:val="2"/>
          </w:tcPr>
          <w:p>
            <w:pPr>
              <w:jc w:val="center"/>
              <w:ind w:right="380"/>
              <w:spacing w:after="0" w:line="228" w:lineRule="exact"/>
              <w:rPr>
                <w:sz w:val="20"/>
                <w:szCs w:val="20"/>
                <w:color w:val="auto"/>
              </w:rPr>
            </w:pPr>
            <w:r>
              <w:rPr>
                <w:rFonts w:ascii="Times New Roman" w:cs="Times New Roman" w:eastAsia="Times New Roman" w:hAnsi="Times New Roman"/>
                <w:sz w:val="20"/>
                <w:szCs w:val="20"/>
                <w:b w:val="1"/>
                <w:bCs w:val="1"/>
                <w:color w:val="auto"/>
                <w:w w:val="97"/>
              </w:rPr>
              <w:t>of Our</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vMerge w:val="restart"/>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center"/>
              <w:ind w:right="380"/>
              <w:spacing w:after="0" w:line="228" w:lineRule="exact"/>
              <w:rPr>
                <w:sz w:val="20"/>
                <w:szCs w:val="20"/>
                <w:color w:val="auto"/>
              </w:rPr>
            </w:pPr>
            <w:r>
              <w:rPr>
                <w:rFonts w:ascii="Times New Roman" w:cs="Times New Roman" w:eastAsia="Times New Roman" w:hAnsi="Times New Roman"/>
                <w:sz w:val="20"/>
                <w:szCs w:val="20"/>
                <w:b w:val="1"/>
                <w:bCs w:val="1"/>
                <w:color w:val="auto"/>
                <w:w w:val="98"/>
              </w:rPr>
              <w:t>Loan</w:t>
            </w:r>
          </w:p>
        </w:tc>
        <w:tc>
          <w:tcPr>
            <w:tcW w:w="1400" w:type="dxa"/>
            <w:vAlign w:val="bottom"/>
            <w:vMerge w:val="restart"/>
          </w:tcPr>
          <w:p>
            <w:pPr>
              <w:ind w:left="360"/>
              <w:spacing w:after="0"/>
              <w:rPr>
                <w:sz w:val="20"/>
                <w:szCs w:val="20"/>
                <w:color w:val="auto"/>
              </w:rPr>
            </w:pPr>
            <w:r>
              <w:rPr>
                <w:rFonts w:ascii="Times New Roman" w:cs="Times New Roman" w:eastAsia="Times New Roman" w:hAnsi="Times New Roman"/>
                <w:sz w:val="20"/>
                <w:szCs w:val="20"/>
                <w:b w:val="1"/>
                <w:bCs w:val="1"/>
                <w:color w:val="auto"/>
                <w:w w:val="99"/>
              </w:rPr>
              <w:t>Jurisdiction</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20"/>
                <w:szCs w:val="20"/>
                <w:b w:val="1"/>
                <w:bCs w:val="1"/>
                <w:color w:val="auto"/>
                <w:w w:val="97"/>
              </w:rPr>
              <w:t>of Our Loan</w:t>
            </w:r>
          </w:p>
        </w:tc>
        <w:tc>
          <w:tcPr>
            <w:tcW w:w="0" w:type="dxa"/>
            <w:vAlign w:val="bottom"/>
          </w:tcPr>
          <w:p>
            <w:pPr>
              <w:spacing w:after="0"/>
              <w:rPr>
                <w:sz w:val="1"/>
                <w:szCs w:val="1"/>
                <w:color w:val="auto"/>
              </w:rPr>
            </w:pPr>
          </w:p>
        </w:tc>
      </w:tr>
      <w:tr>
        <w:trPr>
          <w:trHeight w:val="251"/>
        </w:trPr>
        <w:tc>
          <w:tcPr>
            <w:tcW w:w="17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E3E3E3"/>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1"/>
              <w:spacing w:after="0" w:line="251" w:lineRule="exact"/>
              <w:rPr>
                <w:sz w:val="20"/>
                <w:szCs w:val="20"/>
                <w:color w:val="auto"/>
              </w:rPr>
            </w:pPr>
            <w:r>
              <w:rPr>
                <w:rFonts w:ascii="Times New Roman" w:cs="Times New Roman" w:eastAsia="Times New Roman" w:hAnsi="Times New Roman"/>
                <w:sz w:val="20"/>
                <w:szCs w:val="20"/>
                <w:b w:val="1"/>
                <w:bCs w:val="1"/>
                <w:color w:val="auto"/>
              </w:rPr>
              <w:t xml:space="preserve">Principal </w:t>
            </w:r>
            <w:r>
              <w:rPr>
                <w:rFonts w:ascii="Times New Roman" w:cs="Times New Roman" w:eastAsia="Times New Roman" w:hAnsi="Times New Roman"/>
                <w:sz w:val="25"/>
                <w:szCs w:val="25"/>
                <w:b w:val="1"/>
                <w:bCs w:val="1"/>
                <w:color w:val="auto"/>
                <w:vertAlign w:val="superscript"/>
              </w:rPr>
              <w:t>(1)</w:t>
            </w:r>
          </w:p>
        </w:tc>
        <w:tc>
          <w:tcPr>
            <w:tcW w:w="260" w:type="dxa"/>
            <w:vAlign w:val="bottom"/>
            <w:tcBorders>
              <w:bottom w:val="single" w:sz="8" w:color="E3E3E3"/>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Portfolio</w:t>
            </w:r>
          </w:p>
        </w:tc>
        <w:tc>
          <w:tcPr>
            <w:tcW w:w="340" w:type="dxa"/>
            <w:vAlign w:val="bottom"/>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E3E3E3"/>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81"/>
              <w:spacing w:after="0" w:line="251" w:lineRule="exact"/>
              <w:rPr>
                <w:sz w:val="20"/>
                <w:szCs w:val="20"/>
                <w:color w:val="auto"/>
              </w:rPr>
            </w:pPr>
            <w:r>
              <w:rPr>
                <w:rFonts w:ascii="Times New Roman" w:cs="Times New Roman" w:eastAsia="Times New Roman" w:hAnsi="Times New Roman"/>
                <w:sz w:val="20"/>
                <w:szCs w:val="20"/>
                <w:b w:val="1"/>
                <w:bCs w:val="1"/>
                <w:color w:val="auto"/>
              </w:rPr>
              <w:t xml:space="preserve">Principal </w:t>
            </w:r>
            <w:r>
              <w:rPr>
                <w:rFonts w:ascii="Times New Roman" w:cs="Times New Roman" w:eastAsia="Times New Roman" w:hAnsi="Times New Roman"/>
                <w:sz w:val="25"/>
                <w:szCs w:val="25"/>
                <w:b w:val="1"/>
                <w:bCs w:val="1"/>
                <w:color w:val="auto"/>
                <w:vertAlign w:val="superscript"/>
              </w:rPr>
              <w:t>(1)</w:t>
            </w:r>
          </w:p>
        </w:tc>
        <w:tc>
          <w:tcPr>
            <w:tcW w:w="280" w:type="dxa"/>
            <w:vAlign w:val="bottom"/>
            <w:tcBorders>
              <w:bottom w:val="single" w:sz="8" w:color="E3E3E3"/>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Portfolio</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Illinois</w:t>
            </w: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76,736,737</w:t>
            </w:r>
          </w:p>
        </w:tc>
        <w:tc>
          <w:tcPr>
            <w:tcW w:w="260" w:type="dxa"/>
            <w:vAlign w:val="bottom"/>
            <w:tcBorders>
              <w:right w:val="single" w:sz="8" w:color="E3E3E3"/>
            </w:tcBorders>
            <w:shd w:val="clear" w:color="auto" w:fill="E3E3E3"/>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19%</w:t>
            </w:r>
          </w:p>
        </w:tc>
        <w:tc>
          <w:tcPr>
            <w:tcW w:w="1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Ohio</w:t>
            </w:r>
          </w:p>
        </w:tc>
        <w:tc>
          <w:tcPr>
            <w:tcW w:w="34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60,065,707</w:t>
            </w:r>
          </w:p>
        </w:tc>
        <w:tc>
          <w:tcPr>
            <w:tcW w:w="280" w:type="dxa"/>
            <w:vAlign w:val="bottom"/>
            <w:tcBorders>
              <w:right w:val="single" w:sz="8" w:color="E3E3E3"/>
            </w:tcBorders>
            <w:shd w:val="clear" w:color="auto" w:fill="E3E3E3"/>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Ohio</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65,865,842</w:t>
            </w:r>
          </w:p>
        </w:tc>
        <w:tc>
          <w:tcPr>
            <w:tcW w:w="2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16%</w:t>
            </w:r>
          </w:p>
        </w:tc>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Illinois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55,958,079</w:t>
            </w:r>
          </w:p>
        </w:tc>
        <w:tc>
          <w:tcPr>
            <w:tcW w:w="2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41"/>
        </w:trPr>
        <w:tc>
          <w:tcPr>
            <w:tcW w:w="1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Florida</w:t>
            </w: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56,317,033</w:t>
            </w:r>
          </w:p>
        </w:tc>
        <w:tc>
          <w:tcPr>
            <w:tcW w:w="1560" w:type="dxa"/>
            <w:vAlign w:val="bottom"/>
            <w:gridSpan w:val="3"/>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14%</w:t>
            </w:r>
          </w:p>
        </w:tc>
        <w:tc>
          <w:tcPr>
            <w:tcW w:w="1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Florida</w:t>
            </w:r>
          </w:p>
        </w:tc>
        <w:tc>
          <w:tcPr>
            <w:tcW w:w="34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42,712,285</w:t>
            </w:r>
          </w:p>
        </w:tc>
        <w:tc>
          <w:tcPr>
            <w:tcW w:w="15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Pennsylvania</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46,114,129</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11%</w:t>
            </w:r>
          </w:p>
        </w:tc>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Missouri</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38,208,259</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41"/>
        </w:trPr>
        <w:tc>
          <w:tcPr>
            <w:tcW w:w="1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Michigan</w:t>
            </w: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31,237,041</w:t>
            </w:r>
          </w:p>
        </w:tc>
        <w:tc>
          <w:tcPr>
            <w:tcW w:w="1560" w:type="dxa"/>
            <w:vAlign w:val="bottom"/>
            <w:gridSpan w:val="3"/>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8%</w:t>
            </w:r>
          </w:p>
        </w:tc>
        <w:tc>
          <w:tcPr>
            <w:tcW w:w="1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Pennsylvania</w:t>
            </w:r>
          </w:p>
        </w:tc>
        <w:tc>
          <w:tcPr>
            <w:tcW w:w="34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35,727,045</w:t>
            </w:r>
          </w:p>
        </w:tc>
        <w:tc>
          <w:tcPr>
            <w:tcW w:w="15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27,316,846</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7%</w:t>
            </w:r>
          </w:p>
        </w:tc>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Michigan</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32,068,629</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41"/>
        </w:trPr>
        <w:tc>
          <w:tcPr>
            <w:tcW w:w="1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Arizona</w:t>
            </w: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26,326,748</w:t>
            </w:r>
          </w:p>
        </w:tc>
        <w:tc>
          <w:tcPr>
            <w:tcW w:w="1560" w:type="dxa"/>
            <w:vAlign w:val="bottom"/>
            <w:gridSpan w:val="3"/>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6%</w:t>
            </w:r>
          </w:p>
        </w:tc>
        <w:tc>
          <w:tcPr>
            <w:tcW w:w="1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Arizona</w:t>
            </w:r>
          </w:p>
        </w:tc>
        <w:tc>
          <w:tcPr>
            <w:tcW w:w="34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28,023,340</w:t>
            </w:r>
          </w:p>
        </w:tc>
        <w:tc>
          <w:tcPr>
            <w:tcW w:w="15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Missouri</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26,139,970</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6%</w:t>
            </w:r>
          </w:p>
        </w:tc>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26,057,479</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1"/>
        </w:trPr>
        <w:tc>
          <w:tcPr>
            <w:tcW w:w="1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New York</w:t>
            </w: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22,068,401</w:t>
            </w:r>
          </w:p>
        </w:tc>
        <w:tc>
          <w:tcPr>
            <w:tcW w:w="1560" w:type="dxa"/>
            <w:vAlign w:val="bottom"/>
            <w:gridSpan w:val="3"/>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5%</w:t>
            </w:r>
          </w:p>
        </w:tc>
        <w:tc>
          <w:tcPr>
            <w:tcW w:w="1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New York</w:t>
            </w:r>
          </w:p>
        </w:tc>
        <w:tc>
          <w:tcPr>
            <w:tcW w:w="34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25,093,595</w:t>
            </w:r>
          </w:p>
        </w:tc>
        <w:tc>
          <w:tcPr>
            <w:tcW w:w="15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Nebraska</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17,200,000</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4%</w:t>
            </w:r>
          </w:p>
        </w:tc>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Maryland</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21,835,901</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1"/>
        </w:trPr>
        <w:tc>
          <w:tcPr>
            <w:tcW w:w="1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West Virginia</w:t>
            </w: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8,491,943</w:t>
            </w:r>
          </w:p>
        </w:tc>
        <w:tc>
          <w:tcPr>
            <w:tcW w:w="1560" w:type="dxa"/>
            <w:vAlign w:val="bottom"/>
            <w:gridSpan w:val="3"/>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2%</w:t>
            </w:r>
          </w:p>
        </w:tc>
        <w:tc>
          <w:tcPr>
            <w:tcW w:w="1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Nebraska</w:t>
            </w:r>
          </w:p>
        </w:tc>
        <w:tc>
          <w:tcPr>
            <w:tcW w:w="34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17,400,000</w:t>
            </w:r>
          </w:p>
        </w:tc>
        <w:tc>
          <w:tcPr>
            <w:tcW w:w="15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41"/>
        </w:trPr>
        <w:tc>
          <w:tcPr>
            <w:tcW w:w="1740" w:type="dxa"/>
            <w:vAlign w:val="bottom"/>
          </w:tcPr>
          <w:p>
            <w:pPr>
              <w:spacing w:after="0" w:line="241"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2,360,539</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w:t>
            </w:r>
          </w:p>
        </w:tc>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West Virginia</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8,491,943</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1"/>
        </w:trPr>
        <w:tc>
          <w:tcPr>
            <w:tcW w:w="1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Texas</w:t>
            </w: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2,335,787</w:t>
            </w:r>
          </w:p>
        </w:tc>
        <w:tc>
          <w:tcPr>
            <w:tcW w:w="1560" w:type="dxa"/>
            <w:vAlign w:val="bottom"/>
            <w:gridSpan w:val="3"/>
            <w:shd w:val="clear" w:color="auto" w:fill="E3E3E3"/>
          </w:tcPr>
          <w:p>
            <w:pPr>
              <w:jc w:val="right"/>
              <w:ind w:right="180"/>
              <w:spacing w:after="0"/>
              <w:rPr>
                <w:sz w:val="20"/>
                <w:szCs w:val="20"/>
                <w:color w:val="auto"/>
              </w:rPr>
            </w:pPr>
            <w:r>
              <w:rPr>
                <w:rFonts w:ascii="Times New Roman" w:cs="Times New Roman" w:eastAsia="Times New Roman" w:hAnsi="Times New Roman"/>
                <w:sz w:val="20"/>
                <w:szCs w:val="20"/>
                <w:color w:val="auto"/>
              </w:rPr>
              <w:t>1%</w:t>
            </w:r>
          </w:p>
        </w:tc>
        <w:tc>
          <w:tcPr>
            <w:tcW w:w="1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Nevada</w:t>
            </w:r>
          </w:p>
        </w:tc>
        <w:tc>
          <w:tcPr>
            <w:tcW w:w="34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6,000,000</w:t>
            </w:r>
          </w:p>
        </w:tc>
        <w:tc>
          <w:tcPr>
            <w:tcW w:w="15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Maryland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1,312,711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Texas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2,756,870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1"/>
        </w:trPr>
        <w:tc>
          <w:tcPr>
            <w:tcW w:w="1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Massachusetts</w:t>
            </w: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731,146</w:t>
            </w:r>
          </w:p>
        </w:tc>
        <w:tc>
          <w:tcPr>
            <w:tcW w:w="1220" w:type="dxa"/>
            <w:vAlign w:val="bottom"/>
            <w:tcBorders>
              <w:right w:val="single" w:sz="8" w:color="E3E3E3"/>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E3E3E3"/>
          </w:tcPr>
          <w:p>
            <w:pPr>
              <w:spacing w:after="0"/>
              <w:rPr>
                <w:sz w:val="20"/>
                <w:szCs w:val="20"/>
                <w:color w:val="auto"/>
              </w:rPr>
            </w:pPr>
          </w:p>
        </w:tc>
        <w:tc>
          <w:tcPr>
            <w:tcW w:w="1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Massachusetts</w:t>
            </w:r>
          </w:p>
        </w:tc>
        <w:tc>
          <w:tcPr>
            <w:tcW w:w="34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2,626,423</w:t>
            </w:r>
          </w:p>
        </w:tc>
        <w:tc>
          <w:tcPr>
            <w:tcW w:w="15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Nevada</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225,199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Minnesota</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Oregon</w:t>
            </w:r>
          </w:p>
        </w:tc>
        <w:tc>
          <w:tcPr>
            <w:tcW w:w="14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193,286</w:t>
            </w:r>
          </w:p>
        </w:tc>
        <w:tc>
          <w:tcPr>
            <w:tcW w:w="1220" w:type="dxa"/>
            <w:vAlign w:val="bottom"/>
            <w:tcBorders>
              <w:right w:val="single" w:sz="8" w:color="E3E3E3"/>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E3E3E3"/>
          </w:tcPr>
          <w:p>
            <w:pPr>
              <w:spacing w:after="0"/>
              <w:rPr>
                <w:sz w:val="24"/>
                <w:szCs w:val="24"/>
                <w:color w:val="auto"/>
              </w:rPr>
            </w:pPr>
          </w:p>
        </w:tc>
        <w:tc>
          <w:tcPr>
            <w:tcW w:w="14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Oregon</w:t>
            </w:r>
          </w:p>
        </w:tc>
        <w:tc>
          <w:tcPr>
            <w:tcW w:w="340" w:type="dxa"/>
            <w:vAlign w:val="bottom"/>
            <w:shd w:val="clear" w:color="auto" w:fill="E3E3E3"/>
          </w:tcPr>
          <w:p>
            <w:pPr>
              <w:spacing w:after="0"/>
              <w:rPr>
                <w:sz w:val="24"/>
                <w:szCs w:val="24"/>
                <w:color w:val="auto"/>
              </w:rPr>
            </w:pPr>
          </w:p>
        </w:tc>
        <w:tc>
          <w:tcPr>
            <w:tcW w:w="14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580,000</w:t>
            </w:r>
          </w:p>
        </w:tc>
        <w:tc>
          <w:tcPr>
            <w:tcW w:w="1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74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auto"/>
              </w:rPr>
              <w:t>Minnesota</w:t>
            </w:r>
          </w:p>
        </w:tc>
        <w:tc>
          <w:tcPr>
            <w:tcW w:w="140" w:type="dxa"/>
            <w:vAlign w:val="bottom"/>
            <w:tcBorders>
              <w:bottom w:val="single" w:sz="8" w:color="E3E3E3"/>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101,730</w:t>
            </w:r>
          </w:p>
        </w:tc>
        <w:tc>
          <w:tcPr>
            <w:tcW w:w="260" w:type="dxa"/>
            <w:vAlign w:val="bottom"/>
            <w:tcBorders>
              <w:bottom w:val="single" w:sz="8" w:color="E3E3E3"/>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1400" w:type="dxa"/>
            <w:vAlign w:val="bottom"/>
          </w:tcPr>
          <w:p>
            <w:pPr>
              <w:spacing w:after="0" w:line="280"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E3E3E3"/>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w:t>
            </w:r>
          </w:p>
        </w:tc>
        <w:tc>
          <w:tcPr>
            <w:tcW w:w="140" w:type="dxa"/>
            <w:vAlign w:val="bottom"/>
            <w:shd w:val="clear" w:color="auto" w:fill="E3E3E3"/>
          </w:tcPr>
          <w:p>
            <w:pPr>
              <w:spacing w:after="0"/>
              <w:rPr>
                <w:sz w:val="23"/>
                <w:szCs w:val="23"/>
                <w:color w:val="auto"/>
              </w:rPr>
            </w:pPr>
          </w:p>
        </w:tc>
        <w:tc>
          <w:tcPr>
            <w:tcW w:w="22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411,075,088</w:t>
            </w:r>
          </w:p>
        </w:tc>
        <w:tc>
          <w:tcPr>
            <w:tcW w:w="260" w:type="dxa"/>
            <w:vAlign w:val="bottom"/>
            <w:tcBorders>
              <w:right w:val="single" w:sz="8" w:color="E3E3E3"/>
            </w:tcBorders>
            <w:shd w:val="clear" w:color="auto" w:fill="E3E3E3"/>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100%</w:t>
            </w:r>
          </w:p>
        </w:tc>
        <w:tc>
          <w:tcPr>
            <w:tcW w:w="14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404,721,554</w:t>
            </w:r>
          </w:p>
        </w:tc>
        <w:tc>
          <w:tcPr>
            <w:tcW w:w="280" w:type="dxa"/>
            <w:vAlign w:val="bottom"/>
            <w:tcBorders>
              <w:right w:val="single" w:sz="8" w:color="E3E3E3"/>
            </w:tcBorders>
            <w:shd w:val="clear" w:color="auto" w:fill="E3E3E3"/>
          </w:tcPr>
          <w:p>
            <w:pPr>
              <w:spacing w:after="0"/>
              <w:rPr>
                <w:sz w:val="23"/>
                <w:szCs w:val="23"/>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2436495</wp:posOffset>
                </wp:positionH>
                <wp:positionV relativeFrom="paragraph">
                  <wp:posOffset>-3001010</wp:posOffset>
                </wp:positionV>
                <wp:extent cx="617855" cy="15303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855" cy="153035"/>
                        </a:xfrm>
                        <a:prstGeom prst="rect">
                          <a:avLst/>
                        </a:prstGeom>
                        <a:solidFill>
                          <a:srgbClr val="E3E3E3"/>
                        </a:solidFill>
                      </wps:spPr>
                      <wps:bodyPr/>
                    </wps:wsp>
                  </a:graphicData>
                </a:graphic>
              </wp:anchor>
            </w:drawing>
          </mc:Choice>
          <mc:Fallback>
            <w:pict>
              <v:rect id="Shape 32" o:spid="_x0000_s1057" style="position:absolute;margin-left:191.85pt;margin-top:-236.2999pt;width:48.6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3054350</wp:posOffset>
                </wp:positionH>
                <wp:positionV relativeFrom="paragraph">
                  <wp:posOffset>-3010535</wp:posOffset>
                </wp:positionV>
                <wp:extent cx="223520" cy="16256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20" cy="162560"/>
                        </a:xfrm>
                        <a:prstGeom prst="rect">
                          <a:avLst/>
                        </a:prstGeom>
                        <a:solidFill>
                          <a:srgbClr val="E3E3E3"/>
                        </a:solidFill>
                      </wps:spPr>
                      <wps:bodyPr/>
                    </wps:wsp>
                  </a:graphicData>
                </a:graphic>
              </wp:anchor>
            </w:drawing>
          </mc:Choice>
          <mc:Fallback>
            <w:pict>
              <v:rect id="Shape 33" o:spid="_x0000_s1058" style="position:absolute;margin-left:240.5pt;margin-top:-237.0499pt;width:17.6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5709285</wp:posOffset>
                </wp:positionH>
                <wp:positionV relativeFrom="paragraph">
                  <wp:posOffset>-3001010</wp:posOffset>
                </wp:positionV>
                <wp:extent cx="686435" cy="15303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435" cy="153035"/>
                        </a:xfrm>
                        <a:prstGeom prst="rect">
                          <a:avLst/>
                        </a:prstGeom>
                        <a:solidFill>
                          <a:srgbClr val="E3E3E3"/>
                        </a:solidFill>
                      </wps:spPr>
                      <wps:bodyPr/>
                    </wps:wsp>
                  </a:graphicData>
                </a:graphic>
              </wp:anchor>
            </w:drawing>
          </mc:Choice>
          <mc:Fallback>
            <w:pict>
              <v:rect id="Shape 34" o:spid="_x0000_s1059" style="position:absolute;margin-left:449.55pt;margin-top:-236.2999pt;width:54.0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2436495</wp:posOffset>
                </wp:positionH>
                <wp:positionV relativeFrom="paragraph">
                  <wp:posOffset>-186055</wp:posOffset>
                </wp:positionV>
                <wp:extent cx="617855" cy="1771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855" cy="177165"/>
                        </a:xfrm>
                        <a:prstGeom prst="rect">
                          <a:avLst/>
                        </a:prstGeom>
                        <a:solidFill>
                          <a:srgbClr val="E3E3E3"/>
                        </a:solidFill>
                      </wps:spPr>
                      <wps:bodyPr/>
                    </wps:wsp>
                  </a:graphicData>
                </a:graphic>
              </wp:anchor>
            </w:drawing>
          </mc:Choice>
          <mc:Fallback>
            <w:pict>
              <v:rect id="Shape 35" o:spid="_x0000_s1060" style="position:absolute;margin-left:191.85pt;margin-top:-14.6499pt;width:48.65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3054350</wp:posOffset>
                </wp:positionH>
                <wp:positionV relativeFrom="paragraph">
                  <wp:posOffset>-195580</wp:posOffset>
                </wp:positionV>
                <wp:extent cx="1418590" cy="18669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8590" cy="186690"/>
                        </a:xfrm>
                        <a:prstGeom prst="rect">
                          <a:avLst/>
                        </a:prstGeom>
                        <a:solidFill>
                          <a:srgbClr val="E3E3E3"/>
                        </a:solidFill>
                      </wps:spPr>
                      <wps:bodyPr/>
                    </wps:wsp>
                  </a:graphicData>
                </a:graphic>
              </wp:anchor>
            </w:drawing>
          </mc:Choice>
          <mc:Fallback>
            <w:pict>
              <v:rect id="Shape 36" o:spid="_x0000_s1061" style="position:absolute;margin-left:240.5pt;margin-top:-15.3999pt;width:111.7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5709285</wp:posOffset>
                </wp:positionH>
                <wp:positionV relativeFrom="paragraph">
                  <wp:posOffset>-186055</wp:posOffset>
                </wp:positionV>
                <wp:extent cx="686435" cy="17716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435" cy="177165"/>
                        </a:xfrm>
                        <a:prstGeom prst="rect">
                          <a:avLst/>
                        </a:prstGeom>
                        <a:solidFill>
                          <a:srgbClr val="E3E3E3"/>
                        </a:solidFill>
                      </wps:spPr>
                      <wps:bodyPr/>
                    </wps:wsp>
                  </a:graphicData>
                </a:graphic>
              </wp:anchor>
            </w:drawing>
          </mc:Choice>
          <mc:Fallback>
            <w:pict>
              <v:rect id="Shape 37" o:spid="_x0000_s1062" style="position:absolute;margin-left:449.55pt;margin-top:-14.6499pt;width:54.05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10280"/>
          </w:cols>
          <w:pgMar w:left="1160" w:top="1009" w:right="800" w:bottom="254"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80"/>
          </w:cols>
          <w:pgMar w:left="1160" w:top="1009" w:right="800" w:bottom="254" w:gutter="0" w:footer="0" w:header="0"/>
          <w:type w:val="continuous"/>
        </w:sectPr>
      </w:pPr>
    </w:p>
    <w:bookmarkStart w:id="98" w:name="page99"/>
    <w:bookmarkEnd w:id="98"/>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Represents less than 1%</w:t>
      </w:r>
    </w:p>
    <w:p>
      <w:pPr>
        <w:spacing w:after="0" w:line="225" w:lineRule="exact"/>
        <w:rPr>
          <w:sz w:val="20"/>
          <w:szCs w:val="20"/>
          <w:color w:val="auto"/>
        </w:rPr>
      </w:pPr>
    </w:p>
    <w:p>
      <w:pPr>
        <w:ind w:firstLine="8"/>
        <w:spacing w:after="0" w:line="249" w:lineRule="auto"/>
        <w:tabs>
          <w:tab w:leader="none" w:pos="201"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principal balance of the loans not secured by real estate collateral are included in the jurisdiction representing the principal place of business.</w:t>
      </w:r>
    </w:p>
    <w:p>
      <w:pPr>
        <w:spacing w:after="0" w:line="169" w:lineRule="exact"/>
        <w:rPr>
          <w:rFonts w:ascii="Times New Roman" w:cs="Times New Roman" w:eastAsia="Times New Roman" w:hAnsi="Times New Roman"/>
          <w:sz w:val="24"/>
          <w:szCs w:val="24"/>
          <w:color w:val="auto"/>
          <w:vertAlign w:val="superscript"/>
        </w:rPr>
      </w:pPr>
    </w:p>
    <w:p>
      <w:pPr>
        <w:ind w:left="200" w:hanging="192"/>
        <w:spacing w:after="0"/>
        <w:tabs>
          <w:tab w:leader="none" w:pos="200"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'Other' jurisdiction includes loans with collateral in Connecticut, New Jersey, Washington.</w:t>
      </w:r>
    </w:p>
    <w:p>
      <w:pPr>
        <w:spacing w:after="0" w:line="161"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Refer to footnote 3 to our consolidated financial statements for the year ended December 31, 2025 titled “</w:t>
      </w:r>
      <w:r>
        <w:rPr>
          <w:rFonts w:ascii="Times New Roman" w:cs="Times New Roman" w:eastAsia="Times New Roman" w:hAnsi="Times New Roman"/>
          <w:sz w:val="20"/>
          <w:szCs w:val="20"/>
          <w:i w:val="1"/>
          <w:iCs w:val="1"/>
          <w:color w:val="auto"/>
        </w:rPr>
        <w:t>Loans Held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Investment, net</w:t>
      </w:r>
      <w:r>
        <w:rPr>
          <w:rFonts w:ascii="Times New Roman" w:cs="Times New Roman" w:eastAsia="Times New Roman" w:hAnsi="Times New Roman"/>
          <w:sz w:val="20"/>
          <w:szCs w:val="20"/>
          <w:color w:val="auto"/>
        </w:rPr>
        <w:t>” for more information on CECL.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Real Estate Risk</w:t>
      </w:r>
    </w:p>
    <w:p>
      <w:pPr>
        <w:spacing w:after="0" w:line="199"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Conditions</w:t>
      </w:r>
    </w:p>
    <w:p>
      <w:pPr>
        <w:spacing w:after="0" w:line="19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5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15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5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47"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December 31, 2025, 51.7% of our portfolio is fully secured by real estate, 43.6% is partially secured by real estate, and 4.7% has no real estate collateral. Our portfolio on average had real estate collateral coverage of 1.2x as of December 31, 2025. Our loans are generally secured by equity pledges of the borrower and all asset liens and our portfolio had a weighted average loan to enterprise value ratio of 44.2%. As of December 31, 2024, 50.0% of our portfolio is fully secured by real estate, 46.7% is partially secured by real estate, and 3.3% has no real estate collateral. Our portfolio on average had real estate collateral coverage of 1.1x as of December 31, 2024, and a weighted average loan to enterprise value ratio of 49.8%.</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w:t>
      </w:r>
    </w:p>
    <w:p>
      <w:pPr>
        <w:spacing w:after="0" w:line="199" w:lineRule="exact"/>
        <w:rPr>
          <w:sz w:val="20"/>
          <w:szCs w:val="20"/>
          <w:color w:val="auto"/>
        </w:rPr>
      </w:pPr>
    </w:p>
    <w:p>
      <w:pPr>
        <w:jc w:val="both"/>
        <w:ind w:firstLine="355"/>
        <w:spacing w:after="0" w:line="299" w:lineRule="auto"/>
        <w:rPr>
          <w:sz w:val="20"/>
          <w:szCs w:val="20"/>
          <w:color w:val="auto"/>
        </w:rPr>
      </w:pPr>
      <w:r>
        <w:rPr>
          <w:rFonts w:ascii="Times New Roman" w:cs="Times New Roman" w:eastAsia="Times New Roman" w:hAnsi="Times New Roman"/>
          <w:sz w:val="19"/>
          <w:szCs w:val="19"/>
          <w:color w:val="auto"/>
        </w:rPr>
        <w:t>To the extent consistent with maintaining our REIT qualification and our exemption from registration under the Investment Company Act, we seek to manage risk exposure by closely monitoring our portfolio and actively managing the financing, interest</w:t>
      </w:r>
    </w:p>
    <w:p>
      <w:pPr>
        <w:sectPr>
          <w:pgSz w:w="12240" w:h="15840" w:orient="portrait"/>
          <w:cols w:equalWidth="0" w:num="1">
            <w:col w:w="10280"/>
          </w:cols>
          <w:pgMar w:left="1160" w:top="1440" w:right="800" w:bottom="254" w:gutter="0" w:footer="0" w:header="0"/>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80"/>
          </w:cols>
          <w:pgMar w:left="1160" w:top="1440" w:right="800" w:bottom="254" w:gutter="0" w:footer="0" w:header="0"/>
          <w:type w:val="continuous"/>
        </w:sectPr>
      </w:pPr>
    </w:p>
    <w:bookmarkStart w:id="99" w:name="page100"/>
    <w:bookmarkEnd w:id="99"/>
    <w:p>
      <w:pPr>
        <w:spacing w:after="0" w:line="272" w:lineRule="auto"/>
        <w:rPr>
          <w:sz w:val="20"/>
          <w:szCs w:val="20"/>
          <w:color w:val="auto"/>
        </w:rPr>
      </w:pPr>
      <w:r>
        <w:rPr>
          <w:rFonts w:ascii="Times New Roman" w:cs="Times New Roman" w:eastAsia="Times New Roman" w:hAnsi="Times New Roman"/>
          <w:sz w:val="20"/>
          <w:szCs w:val="20"/>
          <w:color w:val="auto"/>
        </w:rPr>
        <w:t>rate, credit, prepayment and convexity (a measure of the sensitivity of the duration of a loan to changes in interest rates) risks associated with holding our portfolio of loans. Generally, with the guidance and experience of our Manager:</w:t>
      </w:r>
    </w:p>
    <w:p>
      <w:pPr>
        <w:spacing w:after="0" w:line="145" w:lineRule="exact"/>
        <w:rPr>
          <w:sz w:val="20"/>
          <w:szCs w:val="20"/>
          <w:color w:val="auto"/>
        </w:rPr>
      </w:pPr>
    </w:p>
    <w:p>
      <w:pPr>
        <w:ind w:left="720" w:hanging="357"/>
        <w:spacing w:after="0" w:line="272" w:lineRule="auto"/>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we manage our portfolio through an interactive process with our Manager and service our self-originated loans through our Manager’s servicer;</w:t>
      </w:r>
    </w:p>
    <w:p>
      <w:pPr>
        <w:spacing w:after="0" w:line="144" w:lineRule="exact"/>
        <w:rPr>
          <w:rFonts w:ascii="Arial" w:cs="Arial" w:eastAsia="Arial" w:hAnsi="Arial"/>
          <w:sz w:val="20"/>
          <w:szCs w:val="20"/>
          <w:color w:val="auto"/>
        </w:rPr>
      </w:pPr>
    </w:p>
    <w:p>
      <w:pPr>
        <w:ind w:left="720" w:hanging="357"/>
        <w:spacing w:after="0" w:line="272" w:lineRule="auto"/>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we invest in a mix of floating-rate and fixed-rate loans to mitigate the interest rate risk associated with the financing of our portfolio;</w:t>
      </w:r>
    </w:p>
    <w:p>
      <w:pPr>
        <w:spacing w:after="0" w:line="144" w:lineRule="exact"/>
        <w:rPr>
          <w:rFonts w:ascii="Arial" w:cs="Arial" w:eastAsia="Arial" w:hAnsi="Arial"/>
          <w:sz w:val="20"/>
          <w:szCs w:val="20"/>
          <w:color w:val="auto"/>
        </w:rPr>
      </w:pPr>
    </w:p>
    <w:p>
      <w:pPr>
        <w:jc w:val="both"/>
        <w:ind w:left="720" w:hanging="357"/>
        <w:spacing w:after="0" w:line="254" w:lineRule="auto"/>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163" w:lineRule="exact"/>
        <w:rPr>
          <w:rFonts w:ascii="Arial" w:cs="Arial" w:eastAsia="Arial" w:hAnsi="Arial"/>
          <w:sz w:val="20"/>
          <w:szCs w:val="20"/>
          <w:color w:val="auto"/>
        </w:rPr>
      </w:pPr>
    </w:p>
    <w:p>
      <w:pPr>
        <w:jc w:val="both"/>
        <w:ind w:left="720" w:hanging="357"/>
        <w:spacing w:after="0" w:line="245" w:lineRule="auto"/>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ectPr>
          <w:pgSz w:w="12240" w:h="15840" w:orient="portrait"/>
          <w:cols w:equalWidth="0" w:num="1">
            <w:col w:w="10280"/>
          </w:cols>
          <w:pgMar w:left="116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80"/>
          </w:cols>
          <w:pgMar w:left="1160" w:top="1009" w:right="800" w:bottom="254"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11"/>
        </w:trPr>
        <w:tc>
          <w:tcPr>
            <w:tcW w:w="10120" w:type="dxa"/>
            <w:vAlign w:val="bottom"/>
            <w:tcBorders>
              <w:top w:val="single" w:sz="8" w:color="E3E3E3"/>
            </w:tcBorders>
            <w:gridSpan w:val="8"/>
            <w:shd w:val="clear" w:color="auto" w:fill="E3E3E3"/>
          </w:tcPr>
          <w:p>
            <w:pPr>
              <w:ind w:left="180"/>
              <w:spacing w:after="0" w:line="211" w:lineRule="exact"/>
              <w:rPr>
                <w:sz w:val="20"/>
                <w:szCs w:val="20"/>
                <w:color w:val="auto"/>
              </w:rPr>
            </w:pPr>
            <w:r>
              <w:rPr>
                <w:rFonts w:ascii="Times New Roman" w:cs="Times New Roman" w:eastAsia="Times New Roman" w:hAnsi="Times New Roman"/>
                <w:sz w:val="20"/>
                <w:szCs w:val="20"/>
                <w:color w:val="auto"/>
              </w:rPr>
              <w:t>Report of Independent Registered Public Accounting Firm (BDO USA, P.C.; Chicago, IL; PCAOB ID#243)</w:t>
            </w:r>
          </w:p>
        </w:tc>
        <w:tc>
          <w:tcPr>
            <w:tcW w:w="520" w:type="dxa"/>
            <w:vAlign w:val="bottom"/>
            <w:tcBorders>
              <w:top w:val="single" w:sz="8" w:color="auto"/>
            </w:tcBorders>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rPr>
              <w:t>F-2</w:t>
            </w:r>
          </w:p>
        </w:tc>
        <w:tc>
          <w:tcPr>
            <w:tcW w:w="20" w:type="dxa"/>
            <w:vAlign w:val="bottom"/>
            <w:tcBorders>
              <w:top w:val="single" w:sz="8" w:color="E3E3E3"/>
            </w:tcBorders>
            <w:shd w:val="clear" w:color="auto" w:fill="E3E3E3"/>
          </w:tcPr>
          <w:p>
            <w:pPr>
              <w:spacing w:after="0"/>
              <w:rPr>
                <w:sz w:val="18"/>
                <w:szCs w:val="18"/>
                <w:color w:val="auto"/>
              </w:rPr>
            </w:pPr>
          </w:p>
        </w:tc>
      </w:tr>
      <w:tr>
        <w:trPr>
          <w:trHeight w:val="224"/>
        </w:trPr>
        <w:tc>
          <w:tcPr>
            <w:tcW w:w="180" w:type="dxa"/>
            <w:vAlign w:val="bottom"/>
            <w:tcBorders>
              <w:top w:val="single" w:sz="8" w:color="E3E3E3"/>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120" w:type="dxa"/>
            <w:vAlign w:val="bottom"/>
            <w:tcBorders>
              <w:top w:val="single" w:sz="8" w:color="auto"/>
            </w:tcBorders>
          </w:tcPr>
          <w:p>
            <w:pPr>
              <w:spacing w:after="0"/>
              <w:rPr>
                <w:sz w:val="19"/>
                <w:szCs w:val="19"/>
                <w:color w:val="auto"/>
              </w:rPr>
            </w:pPr>
          </w:p>
        </w:tc>
        <w:tc>
          <w:tcPr>
            <w:tcW w:w="1380" w:type="dxa"/>
            <w:vAlign w:val="bottom"/>
            <w:tcBorders>
              <w:top w:val="single" w:sz="8" w:color="E3E3E3"/>
            </w:tcBorders>
          </w:tcPr>
          <w:p>
            <w:pPr>
              <w:spacing w:after="0"/>
              <w:rPr>
                <w:sz w:val="19"/>
                <w:szCs w:val="19"/>
                <w:color w:val="auto"/>
              </w:rPr>
            </w:pPr>
          </w:p>
        </w:tc>
        <w:tc>
          <w:tcPr>
            <w:tcW w:w="52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r>
      <w:tr>
        <w:trPr>
          <w:trHeight w:val="211"/>
        </w:trPr>
        <w:tc>
          <w:tcPr>
            <w:tcW w:w="10120" w:type="dxa"/>
            <w:vAlign w:val="bottom"/>
            <w:gridSpan w:val="8"/>
            <w:shd w:val="clear" w:color="auto" w:fill="E3E3E3"/>
          </w:tcPr>
          <w:p>
            <w:pPr>
              <w:ind w:left="180"/>
              <w:spacing w:after="0" w:line="211" w:lineRule="exact"/>
              <w:rPr>
                <w:sz w:val="20"/>
                <w:szCs w:val="20"/>
                <w:color w:val="auto"/>
              </w:rPr>
            </w:pPr>
            <w:r>
              <w:rPr>
                <w:rFonts w:ascii="Times New Roman" w:cs="Times New Roman" w:eastAsia="Times New Roman" w:hAnsi="Times New Roman"/>
                <w:sz w:val="20"/>
                <w:szCs w:val="20"/>
                <w:color w:val="auto"/>
              </w:rPr>
              <w:t>Consolidated Balance Sheets</w:t>
            </w:r>
          </w:p>
        </w:tc>
        <w:tc>
          <w:tcPr>
            <w:tcW w:w="540" w:type="dxa"/>
            <w:vAlign w:val="bottom"/>
            <w:gridSpan w:val="2"/>
            <w:shd w:val="clear" w:color="auto" w:fill="E3E3E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rPr>
              <w:t>F-3</w:t>
            </w:r>
          </w:p>
        </w:tc>
      </w:tr>
      <w:tr>
        <w:trPr>
          <w:trHeight w:val="224"/>
        </w:trPr>
        <w:tc>
          <w:tcPr>
            <w:tcW w:w="180" w:type="dxa"/>
            <w:vAlign w:val="bottom"/>
            <w:tcBorders>
              <w:top w:val="single" w:sz="8" w:color="E3E3E3"/>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460" w:type="dxa"/>
            <w:vAlign w:val="bottom"/>
            <w:tcBorders>
              <w:top w:val="single" w:sz="8" w:color="E3E3E3"/>
            </w:tcBorders>
          </w:tcPr>
          <w:p>
            <w:pPr>
              <w:spacing w:after="0"/>
              <w:rPr>
                <w:sz w:val="19"/>
                <w:szCs w:val="19"/>
                <w:color w:val="auto"/>
              </w:rPr>
            </w:pPr>
          </w:p>
        </w:tc>
        <w:tc>
          <w:tcPr>
            <w:tcW w:w="340" w:type="dxa"/>
            <w:vAlign w:val="bottom"/>
            <w:tcBorders>
              <w:top w:val="single" w:sz="8" w:color="E3E3E3"/>
            </w:tcBorders>
          </w:tcPr>
          <w:p>
            <w:pPr>
              <w:spacing w:after="0"/>
              <w:rPr>
                <w:sz w:val="19"/>
                <w:szCs w:val="19"/>
                <w:color w:val="auto"/>
              </w:rPr>
            </w:pPr>
          </w:p>
        </w:tc>
        <w:tc>
          <w:tcPr>
            <w:tcW w:w="60" w:type="dxa"/>
            <w:vAlign w:val="bottom"/>
            <w:tcBorders>
              <w:top w:val="single" w:sz="8" w:color="E3E3E3"/>
            </w:tcBorders>
          </w:tcPr>
          <w:p>
            <w:pPr>
              <w:spacing w:after="0"/>
              <w:rPr>
                <w:sz w:val="19"/>
                <w:szCs w:val="19"/>
                <w:color w:val="auto"/>
              </w:rPr>
            </w:pPr>
          </w:p>
        </w:tc>
        <w:tc>
          <w:tcPr>
            <w:tcW w:w="300" w:type="dxa"/>
            <w:vAlign w:val="bottom"/>
            <w:tcBorders>
              <w:top w:val="single" w:sz="8" w:color="E3E3E3"/>
            </w:tcBorders>
          </w:tcPr>
          <w:p>
            <w:pPr>
              <w:spacing w:after="0"/>
              <w:rPr>
                <w:sz w:val="19"/>
                <w:szCs w:val="19"/>
                <w:color w:val="auto"/>
              </w:rPr>
            </w:pPr>
          </w:p>
        </w:tc>
        <w:tc>
          <w:tcPr>
            <w:tcW w:w="5120" w:type="dxa"/>
            <w:vAlign w:val="bottom"/>
            <w:tcBorders>
              <w:top w:val="single" w:sz="8" w:color="E3E3E3"/>
            </w:tcBorders>
          </w:tcPr>
          <w:p>
            <w:pPr>
              <w:spacing w:after="0"/>
              <w:rPr>
                <w:sz w:val="19"/>
                <w:szCs w:val="19"/>
                <w:color w:val="auto"/>
              </w:rPr>
            </w:pPr>
          </w:p>
        </w:tc>
        <w:tc>
          <w:tcPr>
            <w:tcW w:w="1380" w:type="dxa"/>
            <w:vAlign w:val="bottom"/>
            <w:tcBorders>
              <w:top w:val="single" w:sz="8" w:color="E3E3E3"/>
            </w:tcBorders>
          </w:tcPr>
          <w:p>
            <w:pPr>
              <w:spacing w:after="0"/>
              <w:rPr>
                <w:sz w:val="19"/>
                <w:szCs w:val="19"/>
                <w:color w:val="auto"/>
              </w:rPr>
            </w:pPr>
          </w:p>
        </w:tc>
        <w:tc>
          <w:tcPr>
            <w:tcW w:w="52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r>
      <w:tr>
        <w:trPr>
          <w:trHeight w:val="211"/>
        </w:trPr>
        <w:tc>
          <w:tcPr>
            <w:tcW w:w="10120" w:type="dxa"/>
            <w:vAlign w:val="bottom"/>
            <w:gridSpan w:val="8"/>
            <w:shd w:val="clear" w:color="auto" w:fill="E3E3E3"/>
          </w:tcPr>
          <w:p>
            <w:pPr>
              <w:ind w:left="180"/>
              <w:spacing w:after="0" w:line="211" w:lineRule="exact"/>
              <w:rPr>
                <w:sz w:val="20"/>
                <w:szCs w:val="20"/>
                <w:color w:val="auto"/>
              </w:rPr>
            </w:pPr>
            <w:r>
              <w:rPr>
                <w:rFonts w:ascii="Times New Roman" w:cs="Times New Roman" w:eastAsia="Times New Roman" w:hAnsi="Times New Roman"/>
                <w:sz w:val="20"/>
                <w:szCs w:val="20"/>
                <w:color w:val="auto"/>
              </w:rPr>
              <w:t>Consolidated Statements of Operations</w:t>
            </w:r>
          </w:p>
        </w:tc>
        <w:tc>
          <w:tcPr>
            <w:tcW w:w="540" w:type="dxa"/>
            <w:vAlign w:val="bottom"/>
            <w:gridSpan w:val="2"/>
            <w:shd w:val="clear" w:color="auto" w:fill="E3E3E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rPr>
              <w:t>F-4</w:t>
            </w:r>
          </w:p>
        </w:tc>
      </w:tr>
      <w:tr>
        <w:trPr>
          <w:trHeight w:val="224"/>
        </w:trPr>
        <w:tc>
          <w:tcPr>
            <w:tcW w:w="180" w:type="dxa"/>
            <w:vAlign w:val="bottom"/>
            <w:tcBorders>
              <w:top w:val="single" w:sz="8" w:color="E3E3E3"/>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E3E3E3"/>
            </w:tcBorders>
          </w:tcPr>
          <w:p>
            <w:pPr>
              <w:spacing w:after="0"/>
              <w:rPr>
                <w:sz w:val="19"/>
                <w:szCs w:val="19"/>
                <w:color w:val="auto"/>
              </w:rPr>
            </w:pPr>
          </w:p>
        </w:tc>
        <w:tc>
          <w:tcPr>
            <w:tcW w:w="300" w:type="dxa"/>
            <w:vAlign w:val="bottom"/>
            <w:tcBorders>
              <w:top w:val="single" w:sz="8" w:color="E3E3E3"/>
            </w:tcBorders>
          </w:tcPr>
          <w:p>
            <w:pPr>
              <w:spacing w:after="0"/>
              <w:rPr>
                <w:sz w:val="19"/>
                <w:szCs w:val="19"/>
                <w:color w:val="auto"/>
              </w:rPr>
            </w:pPr>
          </w:p>
        </w:tc>
        <w:tc>
          <w:tcPr>
            <w:tcW w:w="5120" w:type="dxa"/>
            <w:vAlign w:val="bottom"/>
            <w:tcBorders>
              <w:top w:val="single" w:sz="8" w:color="E3E3E3"/>
            </w:tcBorders>
          </w:tcPr>
          <w:p>
            <w:pPr>
              <w:spacing w:after="0"/>
              <w:rPr>
                <w:sz w:val="19"/>
                <w:szCs w:val="19"/>
                <w:color w:val="auto"/>
              </w:rPr>
            </w:pPr>
          </w:p>
        </w:tc>
        <w:tc>
          <w:tcPr>
            <w:tcW w:w="1380" w:type="dxa"/>
            <w:vAlign w:val="bottom"/>
            <w:tcBorders>
              <w:top w:val="single" w:sz="8" w:color="E3E3E3"/>
            </w:tcBorders>
          </w:tcPr>
          <w:p>
            <w:pPr>
              <w:spacing w:after="0"/>
              <w:rPr>
                <w:sz w:val="19"/>
                <w:szCs w:val="19"/>
                <w:color w:val="auto"/>
              </w:rPr>
            </w:pPr>
          </w:p>
        </w:tc>
        <w:tc>
          <w:tcPr>
            <w:tcW w:w="52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r>
      <w:tr>
        <w:trPr>
          <w:trHeight w:val="211"/>
        </w:trPr>
        <w:tc>
          <w:tcPr>
            <w:tcW w:w="10120" w:type="dxa"/>
            <w:vAlign w:val="bottom"/>
            <w:gridSpan w:val="8"/>
            <w:shd w:val="clear" w:color="auto" w:fill="E3E3E3"/>
          </w:tcPr>
          <w:p>
            <w:pPr>
              <w:ind w:left="180"/>
              <w:spacing w:after="0" w:line="211" w:lineRule="exact"/>
              <w:rPr>
                <w:sz w:val="20"/>
                <w:szCs w:val="20"/>
                <w:color w:val="auto"/>
              </w:rPr>
            </w:pPr>
            <w:r>
              <w:rPr>
                <w:rFonts w:ascii="Times New Roman" w:cs="Times New Roman" w:eastAsia="Times New Roman" w:hAnsi="Times New Roman"/>
                <w:sz w:val="20"/>
                <w:szCs w:val="20"/>
                <w:color w:val="auto"/>
              </w:rPr>
              <w:t>Consolidated Statements of Equity</w:t>
            </w:r>
          </w:p>
        </w:tc>
        <w:tc>
          <w:tcPr>
            <w:tcW w:w="540" w:type="dxa"/>
            <w:vAlign w:val="bottom"/>
            <w:gridSpan w:val="2"/>
            <w:shd w:val="clear" w:color="auto" w:fill="E3E3E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rPr>
              <w:t>F-5</w:t>
            </w:r>
          </w:p>
        </w:tc>
      </w:tr>
      <w:tr>
        <w:trPr>
          <w:trHeight w:val="224"/>
        </w:trPr>
        <w:tc>
          <w:tcPr>
            <w:tcW w:w="180" w:type="dxa"/>
            <w:vAlign w:val="bottom"/>
            <w:tcBorders>
              <w:top w:val="single" w:sz="8" w:color="E3E3E3"/>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E3E3E3"/>
            </w:tcBorders>
          </w:tcPr>
          <w:p>
            <w:pPr>
              <w:spacing w:after="0"/>
              <w:rPr>
                <w:sz w:val="19"/>
                <w:szCs w:val="19"/>
                <w:color w:val="auto"/>
              </w:rPr>
            </w:pPr>
          </w:p>
        </w:tc>
        <w:tc>
          <w:tcPr>
            <w:tcW w:w="60" w:type="dxa"/>
            <w:vAlign w:val="bottom"/>
            <w:tcBorders>
              <w:top w:val="single" w:sz="8" w:color="E3E3E3"/>
            </w:tcBorders>
          </w:tcPr>
          <w:p>
            <w:pPr>
              <w:spacing w:after="0"/>
              <w:rPr>
                <w:sz w:val="19"/>
                <w:szCs w:val="19"/>
                <w:color w:val="auto"/>
              </w:rPr>
            </w:pPr>
          </w:p>
        </w:tc>
        <w:tc>
          <w:tcPr>
            <w:tcW w:w="300" w:type="dxa"/>
            <w:vAlign w:val="bottom"/>
            <w:tcBorders>
              <w:top w:val="single" w:sz="8" w:color="E3E3E3"/>
            </w:tcBorders>
          </w:tcPr>
          <w:p>
            <w:pPr>
              <w:spacing w:after="0"/>
              <w:rPr>
                <w:sz w:val="19"/>
                <w:szCs w:val="19"/>
                <w:color w:val="auto"/>
              </w:rPr>
            </w:pPr>
          </w:p>
        </w:tc>
        <w:tc>
          <w:tcPr>
            <w:tcW w:w="5120" w:type="dxa"/>
            <w:vAlign w:val="bottom"/>
            <w:tcBorders>
              <w:top w:val="single" w:sz="8" w:color="E3E3E3"/>
            </w:tcBorders>
          </w:tcPr>
          <w:p>
            <w:pPr>
              <w:spacing w:after="0"/>
              <w:rPr>
                <w:sz w:val="19"/>
                <w:szCs w:val="19"/>
                <w:color w:val="auto"/>
              </w:rPr>
            </w:pPr>
          </w:p>
        </w:tc>
        <w:tc>
          <w:tcPr>
            <w:tcW w:w="1380" w:type="dxa"/>
            <w:vAlign w:val="bottom"/>
            <w:tcBorders>
              <w:top w:val="single" w:sz="8" w:color="E3E3E3"/>
            </w:tcBorders>
          </w:tcPr>
          <w:p>
            <w:pPr>
              <w:spacing w:after="0"/>
              <w:rPr>
                <w:sz w:val="19"/>
                <w:szCs w:val="19"/>
                <w:color w:val="auto"/>
              </w:rPr>
            </w:pPr>
          </w:p>
        </w:tc>
        <w:tc>
          <w:tcPr>
            <w:tcW w:w="52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r>
      <w:tr>
        <w:trPr>
          <w:trHeight w:val="211"/>
        </w:trPr>
        <w:tc>
          <w:tcPr>
            <w:tcW w:w="10120" w:type="dxa"/>
            <w:vAlign w:val="bottom"/>
            <w:gridSpan w:val="8"/>
            <w:shd w:val="clear" w:color="auto" w:fill="E3E3E3"/>
          </w:tcPr>
          <w:p>
            <w:pPr>
              <w:ind w:left="180"/>
              <w:spacing w:after="0" w:line="211" w:lineRule="exact"/>
              <w:rPr>
                <w:sz w:val="20"/>
                <w:szCs w:val="20"/>
                <w:color w:val="auto"/>
              </w:rPr>
            </w:pPr>
            <w:r>
              <w:rPr>
                <w:rFonts w:ascii="Times New Roman" w:cs="Times New Roman" w:eastAsia="Times New Roman" w:hAnsi="Times New Roman"/>
                <w:sz w:val="20"/>
                <w:szCs w:val="20"/>
                <w:color w:val="auto"/>
              </w:rPr>
              <w:t>Consolidated Statements of Cash Flows</w:t>
            </w:r>
          </w:p>
        </w:tc>
        <w:tc>
          <w:tcPr>
            <w:tcW w:w="540" w:type="dxa"/>
            <w:vAlign w:val="bottom"/>
            <w:gridSpan w:val="2"/>
            <w:shd w:val="clear" w:color="auto" w:fill="E3E3E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rPr>
              <w:t>F-6</w:t>
            </w:r>
          </w:p>
        </w:tc>
      </w:tr>
      <w:tr>
        <w:trPr>
          <w:trHeight w:val="224"/>
        </w:trPr>
        <w:tc>
          <w:tcPr>
            <w:tcW w:w="180" w:type="dxa"/>
            <w:vAlign w:val="bottom"/>
            <w:tcBorders>
              <w:top w:val="single" w:sz="8" w:color="E3E3E3"/>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E3E3E3"/>
            </w:tcBorders>
          </w:tcPr>
          <w:p>
            <w:pPr>
              <w:spacing w:after="0"/>
              <w:rPr>
                <w:sz w:val="19"/>
                <w:szCs w:val="19"/>
                <w:color w:val="auto"/>
              </w:rPr>
            </w:pPr>
          </w:p>
        </w:tc>
        <w:tc>
          <w:tcPr>
            <w:tcW w:w="5120" w:type="dxa"/>
            <w:vAlign w:val="bottom"/>
            <w:tcBorders>
              <w:top w:val="single" w:sz="8" w:color="E3E3E3"/>
            </w:tcBorders>
          </w:tcPr>
          <w:p>
            <w:pPr>
              <w:spacing w:after="0"/>
              <w:rPr>
                <w:sz w:val="19"/>
                <w:szCs w:val="19"/>
                <w:color w:val="auto"/>
              </w:rPr>
            </w:pPr>
          </w:p>
        </w:tc>
        <w:tc>
          <w:tcPr>
            <w:tcW w:w="1380" w:type="dxa"/>
            <w:vAlign w:val="bottom"/>
            <w:tcBorders>
              <w:top w:val="single" w:sz="8" w:color="E3E3E3"/>
            </w:tcBorders>
          </w:tcPr>
          <w:p>
            <w:pPr>
              <w:spacing w:after="0"/>
              <w:rPr>
                <w:sz w:val="19"/>
                <w:szCs w:val="19"/>
                <w:color w:val="auto"/>
              </w:rPr>
            </w:pPr>
          </w:p>
        </w:tc>
        <w:tc>
          <w:tcPr>
            <w:tcW w:w="52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r>
      <w:tr>
        <w:trPr>
          <w:trHeight w:val="211"/>
        </w:trPr>
        <w:tc>
          <w:tcPr>
            <w:tcW w:w="180" w:type="dxa"/>
            <w:vAlign w:val="bottom"/>
            <w:shd w:val="clear" w:color="auto" w:fill="E3E3E3"/>
          </w:tcPr>
          <w:p>
            <w:pPr>
              <w:spacing w:after="0"/>
              <w:rPr>
                <w:sz w:val="18"/>
                <w:szCs w:val="18"/>
                <w:color w:val="auto"/>
              </w:rPr>
            </w:pPr>
          </w:p>
        </w:tc>
        <w:tc>
          <w:tcPr>
            <w:tcW w:w="9940" w:type="dxa"/>
            <w:vAlign w:val="bottom"/>
            <w:gridSpan w:val="7"/>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Notes to Consolidated Financial Statements</w:t>
            </w:r>
          </w:p>
        </w:tc>
        <w:tc>
          <w:tcPr>
            <w:tcW w:w="540" w:type="dxa"/>
            <w:vAlign w:val="bottom"/>
            <w:gridSpan w:val="2"/>
            <w:shd w:val="clear" w:color="auto" w:fill="E3E3E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rPr>
              <w:t>F-7</w:t>
            </w:r>
          </w:p>
        </w:tc>
      </w:tr>
      <w:tr>
        <w:trPr>
          <w:trHeight w:val="20"/>
        </w:trPr>
        <w:tc>
          <w:tcPr>
            <w:tcW w:w="180" w:type="dxa"/>
            <w:vAlign w:val="bottom"/>
            <w:shd w:val="clear" w:color="auto" w:fill="E3E3E3"/>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120" w:type="dxa"/>
            <w:vAlign w:val="bottom"/>
            <w:shd w:val="clear" w:color="auto" w:fill="E3E3E3"/>
          </w:tcPr>
          <w:p>
            <w:pPr>
              <w:spacing w:after="0" w:line="20" w:lineRule="exact"/>
              <w:rPr>
                <w:sz w:val="1"/>
                <w:szCs w:val="1"/>
                <w:color w:val="auto"/>
              </w:rPr>
            </w:pPr>
          </w:p>
        </w:tc>
        <w:tc>
          <w:tcPr>
            <w:tcW w:w="1380" w:type="dxa"/>
            <w:vAlign w:val="bottom"/>
            <w:shd w:val="clear" w:color="auto" w:fill="E3E3E3"/>
          </w:tcPr>
          <w:p>
            <w:pPr>
              <w:spacing w:after="0" w:line="20" w:lineRule="exact"/>
              <w:rPr>
                <w:sz w:val="1"/>
                <w:szCs w:val="1"/>
                <w:color w:val="auto"/>
              </w:rPr>
            </w:pPr>
          </w:p>
        </w:tc>
        <w:tc>
          <w:tcPr>
            <w:tcW w:w="520" w:type="dxa"/>
            <w:vAlign w:val="bottom"/>
            <w:shd w:val="clear" w:color="auto" w:fill="E3E3E3"/>
          </w:tcPr>
          <w:p>
            <w:pPr>
              <w:spacing w:after="0" w:line="20" w:lineRule="exact"/>
              <w:rPr>
                <w:sz w:val="1"/>
                <w:szCs w:val="1"/>
                <w:color w:val="auto"/>
              </w:rPr>
            </w:pPr>
          </w:p>
        </w:tc>
        <w:tc>
          <w:tcPr>
            <w:tcW w:w="20" w:type="dxa"/>
            <w:vAlign w:val="bottom"/>
            <w:shd w:val="clear" w:color="auto" w:fill="E3E3E3"/>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40"/>
          </w:cols>
          <w:pgMar w:left="800" w:top="1005"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640"/>
          </w:cols>
          <w:pgMar w:left="800" w:top="1005" w:right="800" w:bottom="254" w:gutter="0" w:footer="0" w:header="0"/>
          <w:type w:val="continuous"/>
        </w:sectPr>
      </w:pPr>
    </w:p>
    <w:bookmarkStart w:id="101" w:name="page102"/>
    <w:bookmarkEnd w:id="101"/>
    <w:p>
      <w:pPr>
        <w:ind w:left="28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Atlantic Real Estate Finance,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Chicago Atlantic Real Estate Finance, Inc. (the “Company”) as of December 31, 2025 and 2024, the related consolidated statements of operations,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years then ended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conformity with accounting principles generally accepted in the United States of America.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-877570</wp:posOffset>
            </wp:positionV>
            <wp:extent cx="6788785" cy="721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extLst>
                    </a:blip>
                    <a:srcRect/>
                    <a:stretch>
                      <a:fillRect/>
                    </a:stretch>
                  </pic:blipFill>
                  <pic:spPr bwMode="auto">
                    <a:xfrm>
                      <a:off x="0" y="0"/>
                      <a:ext cx="6788785" cy="721995"/>
                    </a:xfrm>
                    <a:prstGeom prst="rect">
                      <a:avLst/>
                    </a:prstGeom>
                    <a:noFill/>
                  </pic:spPr>
                </pic:pic>
              </a:graphicData>
            </a:graphic>
          </wp:anchor>
        </w:drawing>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12, 2026</w:t>
      </w:r>
    </w:p>
    <w:p>
      <w:pPr>
        <w:sectPr>
          <w:pgSz w:w="12240" w:h="15840" w:orient="portrait"/>
          <w:cols w:equalWidth="0" w:num="1">
            <w:col w:w="10640"/>
          </w:cols>
          <w:pgMar w:left="800" w:top="1058"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640"/>
          </w:cols>
          <w:pgMar w:left="800" w:top="1058" w:right="800" w:bottom="254"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CHICAGO ATLANTIC REAL ESTATE FINANCE,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51"/>
        </w:trPr>
        <w:tc>
          <w:tcPr>
            <w:tcW w:w="7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40" w:type="dxa"/>
            <w:vAlign w:val="bottom"/>
            <w:shd w:val="clear" w:color="auto" w:fill="E3E3E3"/>
          </w:tcPr>
          <w:p>
            <w:pPr>
              <w:spacing w:after="0"/>
              <w:rPr>
                <w:sz w:val="20"/>
                <w:szCs w:val="20"/>
                <w:color w:val="auto"/>
              </w:rPr>
            </w:pPr>
          </w:p>
        </w:tc>
        <w:tc>
          <w:tcPr>
            <w:tcW w:w="138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6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Loans held for investment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332,772,244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364,238,847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Loans held for investment - related party (Note 9)</w:t>
            </w:r>
          </w:p>
        </w:tc>
        <w:tc>
          <w:tcPr>
            <w:tcW w:w="140" w:type="dxa"/>
            <w:vAlign w:val="bottom"/>
            <w:tcBorders>
              <w:bottom w:val="single" w:sz="8" w:color="auto"/>
            </w:tcBorders>
            <w:shd w:val="clear" w:color="auto" w:fill="E3E3E3"/>
          </w:tcPr>
          <w:p>
            <w:pPr>
              <w:spacing w:after="0"/>
              <w:rPr>
                <w:sz w:val="20"/>
                <w:szCs w:val="20"/>
                <w:color w:val="auto"/>
              </w:rPr>
            </w:pPr>
          </w:p>
        </w:tc>
        <w:tc>
          <w:tcPr>
            <w:tcW w:w="13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76,183,323</w:t>
            </w:r>
          </w:p>
        </w:tc>
        <w:tc>
          <w:tcPr>
            <w:tcW w:w="260" w:type="dxa"/>
            <w:vAlign w:val="bottom"/>
            <w:shd w:val="clear" w:color="auto" w:fill="E3E3E3"/>
          </w:tcPr>
          <w:p>
            <w:pPr>
              <w:spacing w:after="0"/>
              <w:rPr>
                <w:sz w:val="20"/>
                <w:szCs w:val="20"/>
                <w:color w:val="auto"/>
              </w:rPr>
            </w:pPr>
          </w:p>
        </w:tc>
        <w:tc>
          <w:tcPr>
            <w:tcW w:w="120" w:type="dxa"/>
            <w:vAlign w:val="bottom"/>
            <w:tcBorders>
              <w:bottom w:val="single" w:sz="8" w:color="auto"/>
            </w:tcBorders>
            <w:shd w:val="clear" w:color="auto" w:fill="E3E3E3"/>
          </w:tcPr>
          <w:p>
            <w:pPr>
              <w:spacing w:after="0"/>
              <w:rPr>
                <w:sz w:val="20"/>
                <w:szCs w:val="20"/>
                <w:color w:val="auto"/>
              </w:rPr>
            </w:pPr>
          </w:p>
        </w:tc>
        <w:tc>
          <w:tcPr>
            <w:tcW w:w="13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38,238,199</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Loans held for investment, at carrying value</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408,955,567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402,477,046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Current expected credit loss reserve</w:t>
            </w:r>
          </w:p>
        </w:tc>
        <w:tc>
          <w:tcPr>
            <w:tcW w:w="140" w:type="dxa"/>
            <w:vAlign w:val="bottom"/>
            <w:shd w:val="clear" w:color="auto" w:fill="E3E3E3"/>
          </w:tcPr>
          <w:p>
            <w:pPr>
              <w:spacing w:after="0"/>
              <w:rPr>
                <w:sz w:val="20"/>
                <w:szCs w:val="20"/>
                <w:color w:val="auto"/>
              </w:rPr>
            </w:pPr>
          </w:p>
        </w:tc>
        <w:tc>
          <w:tcPr>
            <w:tcW w:w="164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(5,062,785)</w:t>
            </w:r>
          </w:p>
        </w:tc>
        <w:tc>
          <w:tcPr>
            <w:tcW w:w="120" w:type="dxa"/>
            <w:vAlign w:val="bottom"/>
            <w:shd w:val="clear" w:color="auto" w:fill="E3E3E3"/>
          </w:tcPr>
          <w:p>
            <w:pPr>
              <w:spacing w:after="0"/>
              <w:rPr>
                <w:sz w:val="20"/>
                <w:szCs w:val="20"/>
                <w:color w:val="auto"/>
              </w:rPr>
            </w:pPr>
          </w:p>
        </w:tc>
        <w:tc>
          <w:tcPr>
            <w:tcW w:w="14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(4,346,869)</w:t>
            </w:r>
          </w:p>
        </w:tc>
        <w:tc>
          <w:tcPr>
            <w:tcW w:w="0" w:type="dxa"/>
            <w:vAlign w:val="bottom"/>
          </w:tcPr>
          <w:p>
            <w:pPr>
              <w:spacing w:after="0"/>
              <w:rPr>
                <w:sz w:val="1"/>
                <w:szCs w:val="1"/>
                <w:color w:val="auto"/>
              </w:rPr>
            </w:pPr>
          </w:p>
        </w:tc>
      </w:tr>
      <w:tr>
        <w:trPr>
          <w:trHeight w:val="236"/>
        </w:trPr>
        <w:tc>
          <w:tcPr>
            <w:tcW w:w="7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Loans held for investment at carrying value, net</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403,892,782</w:t>
            </w: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398,130,177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Loans, at fair value - related party (amortized cost of $0 and $5,500,000, respectively)</w:t>
            </w:r>
          </w:p>
        </w:tc>
        <w:tc>
          <w:tcPr>
            <w:tcW w:w="140" w:type="dxa"/>
            <w:vAlign w:val="bottom"/>
            <w:shd w:val="clear" w:color="auto" w:fill="E3E3E3"/>
          </w:tcPr>
          <w:p>
            <w:pPr>
              <w:spacing w:after="0"/>
              <w:rPr>
                <w:sz w:val="20"/>
                <w:szCs w:val="20"/>
                <w:color w:val="auto"/>
              </w:rPr>
            </w:pP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5,335,000</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14,948,884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26,400,448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Interest receivable</w:t>
            </w:r>
          </w:p>
        </w:tc>
        <w:tc>
          <w:tcPr>
            <w:tcW w:w="140" w:type="dxa"/>
            <w:vAlign w:val="bottom"/>
            <w:shd w:val="clear" w:color="auto" w:fill="E3E3E3"/>
          </w:tcPr>
          <w:p>
            <w:pPr>
              <w:spacing w:after="0"/>
              <w:rPr>
                <w:sz w:val="20"/>
                <w:szCs w:val="20"/>
                <w:color w:val="auto"/>
              </w:rPr>
            </w:pP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4,009,800</w:t>
            </w:r>
          </w:p>
        </w:tc>
        <w:tc>
          <w:tcPr>
            <w:tcW w:w="26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1,453,823</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receivables and assets, net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874,245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459,187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Related party receivables</w:t>
            </w:r>
          </w:p>
        </w:tc>
        <w:tc>
          <w:tcPr>
            <w:tcW w:w="140" w:type="dxa"/>
            <w:vAlign w:val="bottom"/>
            <w:tcBorders>
              <w:bottom w:val="single" w:sz="8" w:color="auto"/>
            </w:tcBorders>
            <w:shd w:val="clear" w:color="auto" w:fill="E3E3E3"/>
          </w:tcPr>
          <w:p>
            <w:pPr>
              <w:spacing w:after="0"/>
              <w:rPr>
                <w:sz w:val="20"/>
                <w:szCs w:val="20"/>
                <w:color w:val="auto"/>
              </w:rPr>
            </w:pPr>
          </w:p>
        </w:tc>
        <w:tc>
          <w:tcPr>
            <w:tcW w:w="13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1,189,937</w:t>
            </w:r>
          </w:p>
        </w:tc>
        <w:tc>
          <w:tcPr>
            <w:tcW w:w="260" w:type="dxa"/>
            <w:vAlign w:val="bottom"/>
            <w:shd w:val="clear" w:color="auto" w:fill="E3E3E3"/>
          </w:tcPr>
          <w:p>
            <w:pPr>
              <w:spacing w:after="0"/>
              <w:rPr>
                <w:sz w:val="20"/>
                <w:szCs w:val="20"/>
                <w:color w:val="auto"/>
              </w:rPr>
            </w:pPr>
          </w:p>
        </w:tc>
        <w:tc>
          <w:tcPr>
            <w:tcW w:w="120" w:type="dxa"/>
            <w:vAlign w:val="bottom"/>
            <w:tcBorders>
              <w:bottom w:val="single" w:sz="8" w:color="auto"/>
            </w:tcBorders>
            <w:shd w:val="clear" w:color="auto" w:fill="E3E3E3"/>
          </w:tcPr>
          <w:p>
            <w:pPr>
              <w:spacing w:after="0"/>
              <w:rPr>
                <w:sz w:val="20"/>
                <w:szCs w:val="20"/>
                <w:color w:val="auto"/>
              </w:rPr>
            </w:pPr>
          </w:p>
        </w:tc>
        <w:tc>
          <w:tcPr>
            <w:tcW w:w="13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3,370,339</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424,915,648</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435,148,974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40" w:type="dxa"/>
            <w:vAlign w:val="bottom"/>
            <w:shd w:val="clear" w:color="auto" w:fill="E3E3E3"/>
          </w:tcPr>
          <w:p>
            <w:pPr>
              <w:spacing w:after="0"/>
              <w:rPr>
                <w:sz w:val="20"/>
                <w:szCs w:val="20"/>
                <w:color w:val="auto"/>
              </w:rPr>
            </w:pPr>
          </w:p>
        </w:tc>
        <w:tc>
          <w:tcPr>
            <w:tcW w:w="138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6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Revolving loan</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49,100,000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Notes payable, net</w:t>
            </w:r>
          </w:p>
        </w:tc>
        <w:tc>
          <w:tcPr>
            <w:tcW w:w="140" w:type="dxa"/>
            <w:vAlign w:val="bottom"/>
            <w:shd w:val="clear" w:color="auto" w:fill="E3E3E3"/>
          </w:tcPr>
          <w:p>
            <w:pPr>
              <w:spacing w:after="0"/>
              <w:rPr>
                <w:sz w:val="20"/>
                <w:szCs w:val="20"/>
                <w:color w:val="auto"/>
              </w:rPr>
            </w:pP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49,334,459</w:t>
            </w:r>
          </w:p>
        </w:tc>
        <w:tc>
          <w:tcPr>
            <w:tcW w:w="26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49,096,250</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Dividend payable</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11,157,220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13,605,153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Related party payables</w:t>
            </w:r>
          </w:p>
        </w:tc>
        <w:tc>
          <w:tcPr>
            <w:tcW w:w="140" w:type="dxa"/>
            <w:vAlign w:val="bottom"/>
            <w:shd w:val="clear" w:color="auto" w:fill="E3E3E3"/>
          </w:tcPr>
          <w:p>
            <w:pPr>
              <w:spacing w:after="0"/>
              <w:rPr>
                <w:sz w:val="20"/>
                <w:szCs w:val="20"/>
                <w:color w:val="auto"/>
              </w:rPr>
            </w:pP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2,214,920</w:t>
            </w:r>
          </w:p>
        </w:tc>
        <w:tc>
          <w:tcPr>
            <w:tcW w:w="26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2,043,403</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Management and incentive fees payable</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3,098,576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2,863,158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Interest payable</w:t>
            </w:r>
          </w:p>
        </w:tc>
        <w:tc>
          <w:tcPr>
            <w:tcW w:w="140" w:type="dxa"/>
            <w:vAlign w:val="bottom"/>
            <w:shd w:val="clear" w:color="auto" w:fill="E3E3E3"/>
          </w:tcPr>
          <w:p>
            <w:pPr>
              <w:spacing w:after="0"/>
              <w:rPr>
                <w:sz w:val="20"/>
                <w:szCs w:val="20"/>
                <w:color w:val="auto"/>
              </w:rPr>
            </w:pP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1,348,334</w:t>
            </w:r>
          </w:p>
        </w:tc>
        <w:tc>
          <w:tcPr>
            <w:tcW w:w="26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1,149,021</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and other liabilities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834,977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Interest reserve</w:t>
            </w:r>
          </w:p>
        </w:tc>
        <w:tc>
          <w:tcPr>
            <w:tcW w:w="140" w:type="dxa"/>
            <w:vAlign w:val="bottom"/>
            <w:tcBorders>
              <w:bottom w:val="single" w:sz="8" w:color="auto"/>
            </w:tcBorders>
            <w:shd w:val="clear" w:color="auto" w:fill="E3E3E3"/>
          </w:tcPr>
          <w:p>
            <w:pPr>
              <w:spacing w:after="0"/>
              <w:rPr>
                <w:sz w:val="20"/>
                <w:szCs w:val="20"/>
                <w:color w:val="auto"/>
              </w:rPr>
            </w:pPr>
          </w:p>
        </w:tc>
        <w:tc>
          <w:tcPr>
            <w:tcW w:w="13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12,686</w:t>
            </w:r>
          </w:p>
        </w:tc>
        <w:tc>
          <w:tcPr>
            <w:tcW w:w="260" w:type="dxa"/>
            <w:vAlign w:val="bottom"/>
            <w:shd w:val="clear" w:color="auto" w:fill="E3E3E3"/>
          </w:tcPr>
          <w:p>
            <w:pPr>
              <w:spacing w:after="0"/>
              <w:rPr>
                <w:sz w:val="20"/>
                <w:szCs w:val="20"/>
                <w:color w:val="auto"/>
              </w:rPr>
            </w:pPr>
          </w:p>
        </w:tc>
        <w:tc>
          <w:tcPr>
            <w:tcW w:w="120" w:type="dxa"/>
            <w:vAlign w:val="bottom"/>
            <w:tcBorders>
              <w:bottom w:val="single" w:sz="8" w:color="auto"/>
            </w:tcBorders>
            <w:shd w:val="clear" w:color="auto" w:fill="E3E3E3"/>
          </w:tcPr>
          <w:p>
            <w:pPr>
              <w:spacing w:after="0"/>
              <w:rPr>
                <w:sz w:val="20"/>
                <w:szCs w:val="20"/>
                <w:color w:val="auto"/>
              </w:rPr>
            </w:pPr>
          </w:p>
        </w:tc>
        <w:tc>
          <w:tcPr>
            <w:tcW w:w="13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1,297,878</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0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117,101,172</w:t>
            </w:r>
          </w:p>
        </w:tc>
        <w:tc>
          <w:tcPr>
            <w:tcW w:w="260" w:type="dxa"/>
            <w:vAlign w:val="bottom"/>
            <w:tcBorders>
              <w:bottom w:val="single" w:sz="8" w:color="E3E3E3"/>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126,190,877</w:t>
            </w:r>
          </w:p>
        </w:tc>
        <w:tc>
          <w:tcPr>
            <w:tcW w:w="8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Commitments and contingencies (Note 10)</w:t>
            </w:r>
          </w:p>
        </w:tc>
        <w:tc>
          <w:tcPr>
            <w:tcW w:w="140" w:type="dxa"/>
            <w:vAlign w:val="bottom"/>
            <w:shd w:val="clear" w:color="auto" w:fill="E3E3E3"/>
          </w:tcPr>
          <w:p>
            <w:pPr>
              <w:spacing w:after="0"/>
              <w:rPr>
                <w:sz w:val="20"/>
                <w:szCs w:val="20"/>
                <w:color w:val="auto"/>
              </w:rPr>
            </w:pPr>
          </w:p>
        </w:tc>
        <w:tc>
          <w:tcPr>
            <w:tcW w:w="138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6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7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300" w:type="dxa"/>
            <w:vAlign w:val="bottom"/>
            <w:shd w:val="clear" w:color="auto" w:fill="E3E3E3"/>
          </w:tcPr>
          <w:p>
            <w:pPr>
              <w:ind w:left="200"/>
              <w:spacing w:after="0" w:line="222" w:lineRule="exact"/>
              <w:rPr>
                <w:sz w:val="20"/>
                <w:szCs w:val="20"/>
                <w:color w:val="auto"/>
              </w:rPr>
            </w:pPr>
            <w:r>
              <w:rPr>
                <w:rFonts w:ascii="Times New Roman" w:cs="Times New Roman" w:eastAsia="Times New Roman" w:hAnsi="Times New Roman"/>
                <w:sz w:val="20"/>
                <w:szCs w:val="20"/>
                <w:color w:val="auto"/>
              </w:rPr>
              <w:t>Common stock, par value $0.01 per share, 100,000,000 shares authorized and</w:t>
            </w:r>
          </w:p>
        </w:tc>
        <w:tc>
          <w:tcPr>
            <w:tcW w:w="140" w:type="dxa"/>
            <w:vAlign w:val="bottom"/>
            <w:shd w:val="clear" w:color="auto" w:fill="E3E3E3"/>
          </w:tcPr>
          <w:p>
            <w:pPr>
              <w:spacing w:after="0"/>
              <w:rPr>
                <w:sz w:val="19"/>
                <w:szCs w:val="19"/>
                <w:color w:val="auto"/>
              </w:rPr>
            </w:pPr>
          </w:p>
        </w:tc>
        <w:tc>
          <w:tcPr>
            <w:tcW w:w="13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210,803</w:t>
            </w:r>
          </w:p>
        </w:tc>
        <w:tc>
          <w:tcPr>
            <w:tcW w:w="26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36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208,292</w:t>
            </w: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21,080,272 and 20,829,228 shares issued and outstanding, respectively</w:t>
            </w:r>
          </w:p>
        </w:tc>
        <w:tc>
          <w:tcPr>
            <w:tcW w:w="140" w:type="dxa"/>
            <w:vAlign w:val="bottom"/>
            <w:shd w:val="clear" w:color="auto" w:fill="E3E3E3"/>
          </w:tcPr>
          <w:p>
            <w:pPr>
              <w:spacing w:after="0"/>
              <w:rPr>
                <w:sz w:val="21"/>
                <w:szCs w:val="21"/>
                <w:color w:val="auto"/>
              </w:rPr>
            </w:pPr>
          </w:p>
        </w:tc>
        <w:tc>
          <w:tcPr>
            <w:tcW w:w="1380" w:type="dxa"/>
            <w:vAlign w:val="bottom"/>
            <w:vMerge w:val="continue"/>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360" w:type="dxa"/>
            <w:vAlign w:val="bottom"/>
            <w:vMerge w:val="continue"/>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paid-in-capital</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323,125,854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318,886,768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140" w:type="dxa"/>
            <w:vAlign w:val="bottom"/>
            <w:shd w:val="clear" w:color="auto" w:fill="E3E3E3"/>
          </w:tcPr>
          <w:p>
            <w:pPr>
              <w:spacing w:after="0"/>
              <w:rPr>
                <w:sz w:val="20"/>
                <w:szCs w:val="20"/>
                <w:color w:val="auto"/>
              </w:rPr>
            </w:pPr>
          </w:p>
        </w:tc>
        <w:tc>
          <w:tcPr>
            <w:tcW w:w="164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(15,522,181)</w:t>
            </w:r>
          </w:p>
        </w:tc>
        <w:tc>
          <w:tcPr>
            <w:tcW w:w="120" w:type="dxa"/>
            <w:vAlign w:val="bottom"/>
            <w:shd w:val="clear" w:color="auto" w:fill="E3E3E3"/>
          </w:tcPr>
          <w:p>
            <w:pPr>
              <w:spacing w:after="0"/>
              <w:rPr>
                <w:sz w:val="20"/>
                <w:szCs w:val="20"/>
                <w:color w:val="auto"/>
              </w:rPr>
            </w:pPr>
          </w:p>
        </w:tc>
        <w:tc>
          <w:tcPr>
            <w:tcW w:w="14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(10,136,963)</w:t>
            </w:r>
          </w:p>
        </w:tc>
        <w:tc>
          <w:tcPr>
            <w:tcW w:w="0" w:type="dxa"/>
            <w:vAlign w:val="bottom"/>
          </w:tcPr>
          <w:p>
            <w:pPr>
              <w:spacing w:after="0"/>
              <w:rPr>
                <w:sz w:val="1"/>
                <w:szCs w:val="1"/>
                <w:color w:val="auto"/>
              </w:rPr>
            </w:pPr>
          </w:p>
        </w:tc>
      </w:tr>
      <w:tr>
        <w:trPr>
          <w:trHeight w:val="236"/>
        </w:trPr>
        <w:tc>
          <w:tcPr>
            <w:tcW w:w="7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307,814,476</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308,958,097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30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3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424,915,648</w:t>
            </w:r>
          </w:p>
        </w:tc>
        <w:tc>
          <w:tcPr>
            <w:tcW w:w="26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3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435,148,974</w:t>
            </w:r>
          </w:p>
        </w:tc>
        <w:tc>
          <w:tcPr>
            <w:tcW w:w="80" w:type="dxa"/>
            <w:vAlign w:val="bottom"/>
            <w:tcBorders>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640"/>
          </w:cols>
          <w:pgMar w:left="800" w:top="1005"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640"/>
          </w:cols>
          <w:pgMar w:left="800" w:top="1005" w:right="800" w:bottom="254"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CHICAGO ATLANTIC REAL ESTATE FINANCE,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80" w:type="dxa"/>
            <w:vAlign w:val="bottom"/>
            <w:gridSpan w:val="6"/>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r>
      <w:tr>
        <w:trPr>
          <w:trHeight w:val="251"/>
        </w:trPr>
        <w:tc>
          <w:tcPr>
            <w:tcW w:w="622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00" w:type="dxa"/>
            <w:vAlign w:val="bottom"/>
            <w:tcBorders>
              <w:bottom w:val="single" w:sz="8" w:color="E3E3E3"/>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3E3E3"/>
            </w:tcBorders>
          </w:tcPr>
          <w:p>
            <w:pPr>
              <w:spacing w:after="0"/>
              <w:rPr>
                <w:sz w:val="21"/>
                <w:szCs w:val="21"/>
                <w:color w:val="auto"/>
              </w:rPr>
            </w:pPr>
          </w:p>
        </w:tc>
      </w:tr>
      <w:tr>
        <w:trPr>
          <w:trHeight w:val="236"/>
        </w:trPr>
        <w:tc>
          <w:tcPr>
            <w:tcW w:w="62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68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48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r>
      <w:tr>
        <w:trPr>
          <w:trHeight w:val="241"/>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tcPr>
          <w:p>
            <w:pPr>
              <w:spacing w:after="0"/>
              <w:rPr>
                <w:sz w:val="20"/>
                <w:szCs w:val="20"/>
                <w:color w:val="auto"/>
              </w:rPr>
            </w:pP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62,936,040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62,104,092</w:t>
            </w:r>
          </w:p>
        </w:tc>
        <w:tc>
          <w:tcPr>
            <w:tcW w:w="80" w:type="dxa"/>
            <w:vAlign w:val="bottom"/>
          </w:tcPr>
          <w:p>
            <w:pPr>
              <w:spacing w:after="0"/>
              <w:rPr>
                <w:sz w:val="20"/>
                <w:szCs w:val="20"/>
                <w:color w:val="auto"/>
              </w:rPr>
            </w:pPr>
          </w:p>
        </w:tc>
      </w:tr>
      <w:tr>
        <w:trPr>
          <w:trHeight w:val="241"/>
        </w:trPr>
        <w:tc>
          <w:tcPr>
            <w:tcW w:w="62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980" w:type="dxa"/>
            <w:vAlign w:val="bottom"/>
            <w:gridSpan w:val="2"/>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auto"/>
              </w:rPr>
              <w:t>(7,545,641)</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56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(7,153,207)</w:t>
            </w:r>
          </w:p>
        </w:tc>
      </w:tr>
      <w:tr>
        <w:trPr>
          <w:trHeight w:val="236"/>
        </w:trPr>
        <w:tc>
          <w:tcPr>
            <w:tcW w:w="622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55,390,399</w:t>
            </w:r>
          </w:p>
        </w:tc>
        <w:tc>
          <w:tcPr>
            <w:tcW w:w="300" w:type="dxa"/>
            <w:vAlign w:val="bottom"/>
            <w:tcBorders>
              <w:bottom w:val="single" w:sz="8" w:color="E3E3E3"/>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54,950,885</w:t>
            </w:r>
          </w:p>
        </w:tc>
        <w:tc>
          <w:tcPr>
            <w:tcW w:w="80" w:type="dxa"/>
            <w:vAlign w:val="bottom"/>
            <w:tcBorders>
              <w:bottom w:val="single" w:sz="8" w:color="E3E3E3"/>
            </w:tcBorders>
          </w:tcPr>
          <w:p>
            <w:pPr>
              <w:spacing w:after="0"/>
              <w:rPr>
                <w:sz w:val="20"/>
                <w:szCs w:val="20"/>
                <w:color w:val="auto"/>
              </w:rPr>
            </w:pPr>
          </w:p>
        </w:tc>
      </w:tr>
      <w:tr>
        <w:trPr>
          <w:trHeight w:val="236"/>
        </w:trPr>
        <w:tc>
          <w:tcPr>
            <w:tcW w:w="62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68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48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r>
      <w:tr>
        <w:trPr>
          <w:trHeight w:val="241"/>
        </w:trPr>
        <w:tc>
          <w:tcPr>
            <w:tcW w:w="6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62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Management and incentive fees, net</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8,202,136</w:t>
            </w: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8,061,896</w:t>
            </w:r>
          </w:p>
        </w:tc>
        <w:tc>
          <w:tcPr>
            <w:tcW w:w="80" w:type="dxa"/>
            <w:vAlign w:val="bottom"/>
            <w:shd w:val="clear" w:color="auto" w:fill="E3E3E3"/>
          </w:tcPr>
          <w:p>
            <w:pPr>
              <w:spacing w:after="0"/>
              <w:rPr>
                <w:sz w:val="20"/>
                <w:szCs w:val="20"/>
                <w:color w:val="auto"/>
              </w:rPr>
            </w:pPr>
          </w:p>
        </w:tc>
      </w:tr>
      <w:tr>
        <w:trPr>
          <w:trHeight w:val="241"/>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 expense</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5,304,451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5,388,967</w:t>
            </w:r>
          </w:p>
        </w:tc>
        <w:tc>
          <w:tcPr>
            <w:tcW w:w="80" w:type="dxa"/>
            <w:vAlign w:val="bottom"/>
          </w:tcPr>
          <w:p>
            <w:pPr>
              <w:spacing w:after="0"/>
              <w:rPr>
                <w:sz w:val="20"/>
                <w:szCs w:val="20"/>
                <w:color w:val="auto"/>
              </w:rPr>
            </w:pPr>
          </w:p>
        </w:tc>
      </w:tr>
      <w:tr>
        <w:trPr>
          <w:trHeight w:val="241"/>
        </w:trPr>
        <w:tc>
          <w:tcPr>
            <w:tcW w:w="62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Professional fees</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1,938,422</w:t>
            </w: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1,811,067</w:t>
            </w:r>
          </w:p>
        </w:tc>
        <w:tc>
          <w:tcPr>
            <w:tcW w:w="80" w:type="dxa"/>
            <w:vAlign w:val="bottom"/>
            <w:shd w:val="clear" w:color="auto" w:fill="E3E3E3"/>
          </w:tcPr>
          <w:p>
            <w:pPr>
              <w:spacing w:after="0"/>
              <w:rPr>
                <w:sz w:val="20"/>
                <w:szCs w:val="20"/>
                <w:color w:val="auto"/>
              </w:rPr>
            </w:pPr>
          </w:p>
        </w:tc>
      </w:tr>
      <w:tr>
        <w:trPr>
          <w:trHeight w:val="241"/>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based compensation</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3,368,861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3,058,674</w:t>
            </w:r>
          </w:p>
        </w:tc>
        <w:tc>
          <w:tcPr>
            <w:tcW w:w="80" w:type="dxa"/>
            <w:vAlign w:val="bottom"/>
          </w:tcPr>
          <w:p>
            <w:pPr>
              <w:spacing w:after="0"/>
              <w:rPr>
                <w:sz w:val="20"/>
                <w:szCs w:val="20"/>
                <w:color w:val="auto"/>
              </w:rPr>
            </w:pPr>
          </w:p>
        </w:tc>
      </w:tr>
      <w:tr>
        <w:trPr>
          <w:trHeight w:val="241"/>
        </w:trPr>
        <w:tc>
          <w:tcPr>
            <w:tcW w:w="62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Provision (benefit) for current expected credit losses</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731,051</w:t>
            </w: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56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(583,298)</w:t>
            </w:r>
          </w:p>
        </w:tc>
      </w:tr>
      <w:tr>
        <w:trPr>
          <w:trHeight w:val="236"/>
        </w:trPr>
        <w:tc>
          <w:tcPr>
            <w:tcW w:w="622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b w:val="1"/>
                <w:bCs w:val="1"/>
                <w:color w:val="auto"/>
              </w:rPr>
              <w:t>Total expenses</w:t>
            </w: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19,544,921</w:t>
            </w:r>
          </w:p>
        </w:tc>
        <w:tc>
          <w:tcPr>
            <w:tcW w:w="300" w:type="dxa"/>
            <w:vAlign w:val="bottom"/>
            <w:tcBorders>
              <w:bottom w:val="single" w:sz="8" w:color="E3E3E3"/>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17,737,306</w:t>
            </w:r>
          </w:p>
        </w:tc>
        <w:tc>
          <w:tcPr>
            <w:tcW w:w="80" w:type="dxa"/>
            <w:vAlign w:val="bottom"/>
            <w:tcBorders>
              <w:bottom w:val="single" w:sz="8" w:color="E3E3E3"/>
            </w:tcBorders>
          </w:tcPr>
          <w:p>
            <w:pPr>
              <w:spacing w:after="0"/>
              <w:rPr>
                <w:sz w:val="20"/>
                <w:szCs w:val="20"/>
                <w:color w:val="auto"/>
              </w:rPr>
            </w:pPr>
          </w:p>
        </w:tc>
      </w:tr>
      <w:tr>
        <w:trPr>
          <w:trHeight w:val="236"/>
        </w:trPr>
        <w:tc>
          <w:tcPr>
            <w:tcW w:w="62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Change in unrealized gain (loss) on investments</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165,000</w:t>
            </w: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(240,604)</w:t>
            </w:r>
          </w:p>
        </w:tc>
        <w:tc>
          <w:tcPr>
            <w:tcW w:w="80" w:type="dxa"/>
            <w:vAlign w:val="bottom"/>
            <w:shd w:val="clear" w:color="auto" w:fill="E3E3E3"/>
          </w:tcPr>
          <w:p>
            <w:pPr>
              <w:spacing w:after="0"/>
              <w:rPr>
                <w:sz w:val="20"/>
                <w:szCs w:val="20"/>
                <w:color w:val="auto"/>
              </w:rPr>
            </w:pPr>
          </w:p>
        </w:tc>
      </w:tr>
      <w:tr>
        <w:trPr>
          <w:trHeight w:val="241"/>
        </w:trPr>
        <w:tc>
          <w:tcPr>
            <w:tcW w:w="622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20"/>
                <w:szCs w:val="20"/>
                <w:color w:val="auto"/>
              </w:rPr>
              <w:t>Realized gain on debt securities, at fair value</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72,428</w:t>
            </w:r>
          </w:p>
        </w:tc>
        <w:tc>
          <w:tcPr>
            <w:tcW w:w="80" w:type="dxa"/>
            <w:vAlign w:val="bottom"/>
            <w:tcBorders>
              <w:bottom w:val="single" w:sz="8" w:color="E3E3E3"/>
            </w:tcBorders>
          </w:tcPr>
          <w:p>
            <w:pPr>
              <w:spacing w:after="0"/>
              <w:rPr>
                <w:sz w:val="20"/>
                <w:szCs w:val="20"/>
                <w:color w:val="auto"/>
              </w:rPr>
            </w:pPr>
          </w:p>
        </w:tc>
      </w:tr>
      <w:tr>
        <w:trPr>
          <w:trHeight w:val="236"/>
        </w:trPr>
        <w:tc>
          <w:tcPr>
            <w:tcW w:w="62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Net income before income taxes</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36,010,478</w:t>
            </w: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37,045,403</w:t>
            </w:r>
          </w:p>
        </w:tc>
        <w:tc>
          <w:tcPr>
            <w:tcW w:w="80" w:type="dxa"/>
            <w:vAlign w:val="bottom"/>
            <w:shd w:val="clear" w:color="auto" w:fill="E3E3E3"/>
          </w:tcPr>
          <w:p>
            <w:pPr>
              <w:spacing w:after="0"/>
              <w:rPr>
                <w:sz w:val="20"/>
                <w:szCs w:val="20"/>
                <w:color w:val="auto"/>
              </w:rPr>
            </w:pPr>
          </w:p>
        </w:tc>
      </w:tr>
      <w:tr>
        <w:trPr>
          <w:trHeight w:val="241"/>
        </w:trPr>
        <w:tc>
          <w:tcPr>
            <w:tcW w:w="622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3E3E3"/>
            </w:tcBorders>
          </w:tcPr>
          <w:p>
            <w:pPr>
              <w:spacing w:after="0"/>
              <w:rPr>
                <w:sz w:val="20"/>
                <w:szCs w:val="20"/>
                <w:color w:val="auto"/>
              </w:rPr>
            </w:pPr>
          </w:p>
        </w:tc>
      </w:tr>
      <w:tr>
        <w:trPr>
          <w:trHeight w:val="256"/>
        </w:trPr>
        <w:tc>
          <w:tcPr>
            <w:tcW w:w="622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20" w:type="dxa"/>
            <w:vAlign w:val="bottom"/>
            <w:tcBorders>
              <w:bottom w:val="single" w:sz="8" w:color="auto"/>
            </w:tcBorders>
            <w:shd w:val="clear" w:color="auto" w:fill="E3E3E3"/>
          </w:tcPr>
          <w:p>
            <w:pPr>
              <w:spacing w:after="0"/>
              <w:rPr>
                <w:sz w:val="22"/>
                <w:szCs w:val="22"/>
                <w:color w:val="auto"/>
              </w:rPr>
            </w:pPr>
          </w:p>
        </w:tc>
        <w:tc>
          <w:tcPr>
            <w:tcW w:w="420" w:type="dxa"/>
            <w:vAlign w:val="bottom"/>
            <w:tcBorders>
              <w:bottom w:val="single" w:sz="8" w:color="auto"/>
            </w:tcBorders>
            <w:shd w:val="clear" w:color="auto" w:fill="E3E3E3"/>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36,010,478</w:t>
            </w:r>
          </w:p>
        </w:tc>
        <w:tc>
          <w:tcPr>
            <w:tcW w:w="30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auto"/>
            </w:tcBorders>
            <w:shd w:val="clear" w:color="auto" w:fill="E3E3E3"/>
          </w:tcPr>
          <w:p>
            <w:pPr>
              <w:spacing w:after="0"/>
              <w:rPr>
                <w:sz w:val="22"/>
                <w:szCs w:val="22"/>
                <w:color w:val="auto"/>
              </w:rPr>
            </w:pPr>
          </w:p>
        </w:tc>
        <w:tc>
          <w:tcPr>
            <w:tcW w:w="420" w:type="dxa"/>
            <w:vAlign w:val="bottom"/>
            <w:tcBorders>
              <w:bottom w:val="single" w:sz="8" w:color="auto"/>
            </w:tcBorders>
            <w:shd w:val="clear" w:color="auto" w:fill="E3E3E3"/>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37,045,403</w:t>
            </w:r>
          </w:p>
        </w:tc>
        <w:tc>
          <w:tcPr>
            <w:tcW w:w="80" w:type="dxa"/>
            <w:vAlign w:val="bottom"/>
            <w:tcBorders>
              <w:bottom w:val="single" w:sz="8" w:color="E3E3E3"/>
            </w:tcBorders>
            <w:shd w:val="clear" w:color="auto" w:fill="E3E3E3"/>
          </w:tcPr>
          <w:p>
            <w:pPr>
              <w:spacing w:after="0"/>
              <w:rPr>
                <w:sz w:val="22"/>
                <w:szCs w:val="22"/>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6"/>
        </w:trPr>
        <w:tc>
          <w:tcPr>
            <w:tcW w:w="6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62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Earnings per common share:</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68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48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r>
      <w:tr>
        <w:trPr>
          <w:trHeight w:val="241"/>
        </w:trPr>
        <w:tc>
          <w:tcPr>
            <w:tcW w:w="6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Basic earnings per common share</w:t>
            </w:r>
          </w:p>
        </w:tc>
        <w:tc>
          <w:tcPr>
            <w:tcW w:w="440" w:type="dxa"/>
            <w:vAlign w:val="bottom"/>
            <w:gridSpan w:val="2"/>
          </w:tcPr>
          <w:p>
            <w:pPr>
              <w:jc w:val="right"/>
              <w:ind w:right="258"/>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80" w:type="dxa"/>
            <w:vAlign w:val="bottom"/>
          </w:tcPr>
          <w:p>
            <w:pPr>
              <w:spacing w:after="0"/>
              <w:rPr>
                <w:sz w:val="20"/>
                <w:szCs w:val="20"/>
                <w:color w:val="auto"/>
              </w:rPr>
            </w:pPr>
          </w:p>
        </w:tc>
      </w:tr>
      <w:tr>
        <w:trPr>
          <w:trHeight w:val="241"/>
        </w:trPr>
        <w:tc>
          <w:tcPr>
            <w:tcW w:w="62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Diluted earnings per common share</w:t>
            </w:r>
          </w:p>
        </w:tc>
        <w:tc>
          <w:tcPr>
            <w:tcW w:w="440" w:type="dxa"/>
            <w:vAlign w:val="bottom"/>
            <w:gridSpan w:val="2"/>
            <w:shd w:val="clear" w:color="auto" w:fill="E3E3E3"/>
          </w:tcPr>
          <w:p>
            <w:pPr>
              <w:jc w:val="right"/>
              <w:ind w:right="258"/>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80" w:type="dxa"/>
            <w:vAlign w:val="bottom"/>
            <w:shd w:val="clear" w:color="auto" w:fill="E3E3E3"/>
          </w:tcPr>
          <w:p>
            <w:pPr>
              <w:spacing w:after="0"/>
              <w:rPr>
                <w:sz w:val="20"/>
                <w:szCs w:val="20"/>
                <w:color w:val="auto"/>
              </w:rPr>
            </w:pPr>
          </w:p>
        </w:tc>
      </w:tr>
      <w:tr>
        <w:trPr>
          <w:trHeight w:val="241"/>
        </w:trPr>
        <w:tc>
          <w:tcPr>
            <w:tcW w:w="6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62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Weighted average number of common shares outstanding:</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68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48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r>
      <w:tr>
        <w:trPr>
          <w:trHeight w:val="241"/>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Basic weighted average shares of common stock outstanding</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21,003,635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19,279,501</w:t>
            </w:r>
          </w:p>
        </w:tc>
        <w:tc>
          <w:tcPr>
            <w:tcW w:w="80" w:type="dxa"/>
            <w:vAlign w:val="bottom"/>
          </w:tcPr>
          <w:p>
            <w:pPr>
              <w:spacing w:after="0"/>
              <w:rPr>
                <w:sz w:val="20"/>
                <w:szCs w:val="20"/>
                <w:color w:val="auto"/>
              </w:rPr>
            </w:pPr>
          </w:p>
        </w:tc>
      </w:tr>
      <w:tr>
        <w:trPr>
          <w:trHeight w:val="241"/>
        </w:trPr>
        <w:tc>
          <w:tcPr>
            <w:tcW w:w="62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Diluted weighted average shares of common stock outstanding</w:t>
            </w: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21,431,650</w:t>
            </w: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2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19,713,916</w:t>
            </w:r>
          </w:p>
        </w:tc>
        <w:tc>
          <w:tcPr>
            <w:tcW w:w="80" w:type="dxa"/>
            <w:vAlign w:val="bottom"/>
            <w:shd w:val="clear" w:color="auto" w:fill="E3E3E3"/>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640"/>
          </w:cols>
          <w:pgMar w:left="800" w:top="1005"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640"/>
          </w:cols>
          <w:pgMar w:left="800" w:top="1005" w:right="800" w:bottom="254"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CHICAGO ATLANTIC REAL ESTATE FINANCE,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EQUITY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8"/>
              </w:rPr>
              <w:t>Additional</w:t>
            </w:r>
          </w:p>
        </w:tc>
        <w:tc>
          <w:tcPr>
            <w:tcW w:w="12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Accumulate</w:t>
            </w: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6"/>
              </w:rPr>
              <w:t>Total</w:t>
            </w:r>
          </w:p>
        </w:tc>
        <w:tc>
          <w:tcPr>
            <w:tcW w:w="0" w:type="dxa"/>
            <w:vAlign w:val="bottom"/>
          </w:tcPr>
          <w:p>
            <w:pPr>
              <w:spacing w:after="0"/>
              <w:rPr>
                <w:sz w:val="1"/>
                <w:szCs w:val="1"/>
                <w:color w:val="auto"/>
              </w:rPr>
            </w:pPr>
          </w:p>
        </w:tc>
      </w:tr>
      <w:tr>
        <w:trPr>
          <w:trHeight w:val="251"/>
        </w:trPr>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tcBorders>
              <w:bottom w:val="single" w:sz="8" w:color="auto"/>
            </w:tcBorders>
            <w:gridSpan w:val="4"/>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8"/>
              </w:rPr>
              <w:t>Paid-In-</w:t>
            </w:r>
          </w:p>
        </w:tc>
        <w:tc>
          <w:tcPr>
            <w:tcW w:w="120" w:type="dxa"/>
            <w:vAlign w:val="bottom"/>
          </w:tcPr>
          <w:p>
            <w:pPr>
              <w:spacing w:after="0"/>
              <w:rPr>
                <w:sz w:val="21"/>
                <w:szCs w:val="21"/>
                <w:color w:val="auto"/>
              </w:rPr>
            </w:pP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d</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Stockholders'</w:t>
            </w:r>
          </w:p>
        </w:tc>
        <w:tc>
          <w:tcPr>
            <w:tcW w:w="0" w:type="dxa"/>
            <w:vAlign w:val="bottom"/>
          </w:tcPr>
          <w:p>
            <w:pPr>
              <w:spacing w:after="0"/>
              <w:rPr>
                <w:sz w:val="1"/>
                <w:szCs w:val="1"/>
                <w:color w:val="auto"/>
              </w:rPr>
            </w:pPr>
          </w:p>
        </w:tc>
      </w:tr>
      <w:tr>
        <w:trPr>
          <w:trHeight w:val="236"/>
        </w:trPr>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7"/>
              </w:rPr>
              <w:t>Capital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6"/>
              </w:rPr>
              <w:t>Equity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38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Balance at January 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18,197,192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181,972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277,483,092</w:t>
            </w:r>
          </w:p>
        </w:tc>
        <w:tc>
          <w:tcPr>
            <w:tcW w:w="2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(5,811,673)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271,853,391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60" w:type="dxa"/>
            <w:vAlign w:val="bottom"/>
            <w:gridSpan w:val="4"/>
            <w:shd w:val="clear" w:color="auto" w:fill="E3E3E3"/>
          </w:tcPr>
          <w:p>
            <w:pPr>
              <w:ind w:left="200"/>
              <w:spacing w:after="0" w:line="222" w:lineRule="exact"/>
              <w:rPr>
                <w:sz w:val="20"/>
                <w:szCs w:val="20"/>
                <w:color w:val="auto"/>
              </w:rPr>
            </w:pPr>
            <w:r>
              <w:rPr>
                <w:rFonts w:ascii="Times New Roman" w:cs="Times New Roman" w:eastAsia="Times New Roman" w:hAnsi="Times New Roman"/>
                <w:sz w:val="20"/>
                <w:szCs w:val="20"/>
                <w:color w:val="auto"/>
              </w:rPr>
              <w:t>Issuance of common stock, net of offering</w:t>
            </w:r>
          </w:p>
        </w:tc>
        <w:tc>
          <w:tcPr>
            <w:tcW w:w="11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2,489,290</w:t>
            </w:r>
          </w:p>
        </w:tc>
        <w:tc>
          <w:tcPr>
            <w:tcW w:w="2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00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24,893</w:t>
            </w:r>
          </w:p>
        </w:tc>
        <w:tc>
          <w:tcPr>
            <w:tcW w:w="2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38,346,429</w:t>
            </w:r>
          </w:p>
        </w:tc>
        <w:tc>
          <w:tcPr>
            <w:tcW w:w="240" w:type="dxa"/>
            <w:vAlign w:val="bottom"/>
            <w:tcBorders>
              <w:right w:val="single" w:sz="8" w:color="E3E3E3"/>
            </w:tcBorders>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9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06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38,371,489</w:t>
            </w: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costs</w:t>
            </w:r>
          </w:p>
        </w:tc>
        <w:tc>
          <w:tcPr>
            <w:tcW w:w="1140" w:type="dxa"/>
            <w:vAlign w:val="bottom"/>
            <w:vMerge w:val="continue"/>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00" w:type="dxa"/>
            <w:vAlign w:val="bottom"/>
            <w:vMerge w:val="continue"/>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20" w:type="dxa"/>
            <w:vAlign w:val="bottom"/>
            <w:vMerge w:val="continue"/>
            <w:shd w:val="clear" w:color="auto" w:fill="E3E3E3"/>
          </w:tcPr>
          <w:p>
            <w:pPr>
              <w:spacing w:after="0"/>
              <w:rPr>
                <w:sz w:val="21"/>
                <w:szCs w:val="21"/>
                <w:color w:val="auto"/>
              </w:rPr>
            </w:pPr>
          </w:p>
        </w:tc>
        <w:tc>
          <w:tcPr>
            <w:tcW w:w="240" w:type="dxa"/>
            <w:vAlign w:val="bottom"/>
            <w:tcBorders>
              <w:right w:val="single" w:sz="8" w:color="E3E3E3"/>
            </w:tcBorders>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920" w:type="dxa"/>
            <w:vAlign w:val="bottom"/>
            <w:vMerge w:val="continue"/>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60" w:type="dxa"/>
            <w:vAlign w:val="bottom"/>
            <w:vMerge w:val="continue"/>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60" w:type="dxa"/>
            <w:vAlign w:val="bottom"/>
            <w:gridSpan w:val="4"/>
          </w:tcPr>
          <w:p>
            <w:pPr>
              <w:ind w:left="200"/>
              <w:spacing w:after="0" w:line="222" w:lineRule="exact"/>
              <w:rPr>
                <w:sz w:val="20"/>
                <w:szCs w:val="20"/>
                <w:color w:val="auto"/>
              </w:rPr>
            </w:pPr>
            <w:r>
              <w:rPr>
                <w:rFonts w:ascii="Times New Roman" w:cs="Times New Roman" w:eastAsia="Times New Roman" w:hAnsi="Times New Roman"/>
                <w:sz w:val="20"/>
                <w:szCs w:val="20"/>
                <w:color w:val="auto"/>
              </w:rPr>
              <w:t>Issuance of common stock from employee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incentive plan (Note 10)</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142,746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(1,427)</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8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3,058,674</w:t>
            </w:r>
          </w:p>
        </w:tc>
        <w:tc>
          <w:tcPr>
            <w:tcW w:w="240" w:type="dxa"/>
            <w:vAlign w:val="bottom"/>
            <w:tcBorders>
              <w:right w:val="single" w:sz="8" w:color="E3E3E3"/>
            </w:tcBorders>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3,058,674</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860" w:type="dxa"/>
            <w:vAlign w:val="bottom"/>
            <w:gridSpan w:val="4"/>
          </w:tcPr>
          <w:p>
            <w:pPr>
              <w:ind w:left="200"/>
              <w:spacing w:after="0" w:line="222" w:lineRule="exact"/>
              <w:rPr>
                <w:sz w:val="20"/>
                <w:szCs w:val="20"/>
                <w:color w:val="auto"/>
              </w:rPr>
            </w:pPr>
            <w:r>
              <w:rPr>
                <w:rFonts w:ascii="Times New Roman" w:cs="Times New Roman" w:eastAsia="Times New Roman" w:hAnsi="Times New Roman"/>
                <w:sz w:val="20"/>
                <w:szCs w:val="20"/>
                <w:color w:val="auto"/>
              </w:rPr>
              <w:t>Dividends declared on restricted stock</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(409,276)</w:t>
            </w:r>
          </w:p>
        </w:tc>
        <w:tc>
          <w:tcPr>
            <w:tcW w:w="16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(409,276)</w:t>
            </w:r>
          </w:p>
        </w:tc>
        <w:tc>
          <w:tcPr>
            <w:tcW w:w="0" w:type="dxa"/>
            <w:vAlign w:val="bottom"/>
          </w:tcPr>
          <w:p>
            <w:pPr>
              <w:spacing w:after="0"/>
              <w:rPr>
                <w:sz w:val="1"/>
                <w:szCs w:val="1"/>
                <w:color w:val="auto"/>
              </w:rPr>
            </w:pPr>
          </w:p>
        </w:tc>
      </w:tr>
      <w:tr>
        <w:trPr>
          <w:trHeight w:val="222"/>
        </w:trPr>
        <w:tc>
          <w:tcPr>
            <w:tcW w:w="3860" w:type="dxa"/>
            <w:vAlign w:val="bottom"/>
            <w:gridSpan w:val="4"/>
            <w:shd w:val="clear" w:color="auto" w:fill="E3E3E3"/>
          </w:tcPr>
          <w:p>
            <w:pPr>
              <w:ind w:left="200"/>
              <w:spacing w:after="0" w:line="222" w:lineRule="exact"/>
              <w:rPr>
                <w:sz w:val="20"/>
                <w:szCs w:val="20"/>
                <w:color w:val="auto"/>
              </w:rPr>
            </w:pPr>
            <w:r>
              <w:rPr>
                <w:rFonts w:ascii="Times New Roman" w:cs="Times New Roman" w:eastAsia="Times New Roman" w:hAnsi="Times New Roman"/>
                <w:sz w:val="20"/>
                <w:szCs w:val="20"/>
                <w:color w:val="auto"/>
              </w:rPr>
              <w:t>Dividends declared on common shares</w:t>
            </w:r>
          </w:p>
        </w:tc>
        <w:tc>
          <w:tcPr>
            <w:tcW w:w="114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20" w:type="dxa"/>
            <w:vAlign w:val="bottom"/>
            <w:shd w:val="clear" w:color="auto" w:fill="E3E3E3"/>
          </w:tcPr>
          <w:p>
            <w:pPr>
              <w:spacing w:after="0"/>
              <w:rPr>
                <w:sz w:val="19"/>
                <w:szCs w:val="19"/>
                <w:color w:val="auto"/>
              </w:rPr>
            </w:pPr>
          </w:p>
        </w:tc>
        <w:tc>
          <w:tcPr>
            <w:tcW w:w="240" w:type="dxa"/>
            <w:vAlign w:val="bottom"/>
            <w:tcBorders>
              <w:right w:val="single" w:sz="8" w:color="E3E3E3"/>
            </w:tcBorders>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92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(40,961,58</w:t>
            </w:r>
          </w:p>
        </w:tc>
        <w:tc>
          <w:tcPr>
            <w:tcW w:w="2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($2.06 per share)</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E3E3E3"/>
            </w:tcBorders>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4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shd w:val="clear" w:color="auto" w:fill="E3E3E3"/>
          </w:tcPr>
          <w:p>
            <w:pPr>
              <w:spacing w:after="0"/>
              <w:rPr>
                <w:sz w:val="21"/>
                <w:szCs w:val="21"/>
                <w:color w:val="auto"/>
              </w:rPr>
            </w:pPr>
          </w:p>
        </w:tc>
        <w:tc>
          <w:tcPr>
            <w:tcW w:w="11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(40,961,584)</w:t>
            </w:r>
          </w:p>
        </w:tc>
        <w:tc>
          <w:tcPr>
            <w:tcW w:w="0" w:type="dxa"/>
            <w:vAlign w:val="bottom"/>
          </w:tcPr>
          <w:p>
            <w:pPr>
              <w:spacing w:after="0"/>
              <w:rPr>
                <w:sz w:val="1"/>
                <w:szCs w:val="1"/>
                <w:color w:val="auto"/>
              </w:rPr>
            </w:pPr>
          </w:p>
        </w:tc>
      </w:tr>
      <w:tr>
        <w:trPr>
          <w:trHeight w:val="241"/>
        </w:trPr>
        <w:tc>
          <w:tcPr>
            <w:tcW w:w="3860" w:type="dxa"/>
            <w:vAlign w:val="bottom"/>
            <w:tcBorders>
              <w:bottom w:val="single" w:sz="8" w:color="E3E3E3"/>
            </w:tcBorders>
            <w:gridSpan w:val="4"/>
          </w:tcPr>
          <w:p>
            <w:pPr>
              <w:ind w:left="200"/>
              <w:spacing w:after="0"/>
              <w:rPr>
                <w:sz w:val="20"/>
                <w:szCs w:val="20"/>
                <w:color w:val="auto"/>
              </w:rPr>
            </w:pPr>
            <w:r>
              <w:rPr>
                <w:rFonts w:ascii="Times New Roman" w:cs="Times New Roman" w:eastAsia="Times New Roman" w:hAnsi="Times New Roman"/>
                <w:sz w:val="20"/>
                <w:szCs w:val="20"/>
                <w:color w:val="auto"/>
              </w:rPr>
              <w:t>Net 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E3E3E3"/>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E3E3E3"/>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E3E3E3"/>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37,045,403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37,045,403</w:t>
            </w:r>
          </w:p>
        </w:tc>
        <w:tc>
          <w:tcPr>
            <w:tcW w:w="8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4"/>
            <w:shd w:val="clear" w:color="auto" w:fill="E3E3E3"/>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14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120" w:type="dxa"/>
            <w:vAlign w:val="bottom"/>
            <w:shd w:val="clear" w:color="auto" w:fill="E3E3E3"/>
          </w:tcPr>
          <w:p>
            <w:pPr>
              <w:spacing w:after="0"/>
              <w:rPr>
                <w:sz w:val="18"/>
                <w:szCs w:val="18"/>
                <w:color w:val="auto"/>
              </w:rPr>
            </w:pPr>
          </w:p>
        </w:tc>
        <w:tc>
          <w:tcPr>
            <w:tcW w:w="240" w:type="dxa"/>
            <w:vAlign w:val="bottom"/>
            <w:tcBorders>
              <w:right w:val="single" w:sz="8" w:color="E3E3E3"/>
            </w:tcBorders>
            <w:shd w:val="clear" w:color="auto" w:fill="E3E3E3"/>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(10,136,96</w:t>
            </w:r>
          </w:p>
        </w:tc>
        <w:tc>
          <w:tcPr>
            <w:tcW w:w="220" w:type="dxa"/>
            <w:vAlign w:val="bottom"/>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106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800" w:type="dxa"/>
            <w:vAlign w:val="bottom"/>
            <w:shd w:val="clear" w:color="auto" w:fill="E3E3E3"/>
          </w:tcPr>
          <w:p>
            <w:pPr>
              <w:spacing w:after="0"/>
              <w:rPr>
                <w:sz w:val="23"/>
                <w:szCs w:val="23"/>
                <w:color w:val="auto"/>
              </w:rPr>
            </w:pPr>
          </w:p>
        </w:tc>
        <w:tc>
          <w:tcPr>
            <w:tcW w:w="20" w:type="dxa"/>
            <w:vAlign w:val="bottom"/>
            <w:shd w:val="clear" w:color="auto" w:fill="E3E3E3"/>
          </w:tcPr>
          <w:p>
            <w:pPr>
              <w:spacing w:after="0"/>
              <w:rPr>
                <w:sz w:val="23"/>
                <w:szCs w:val="23"/>
                <w:color w:val="auto"/>
              </w:rPr>
            </w:pPr>
          </w:p>
        </w:tc>
        <w:tc>
          <w:tcPr>
            <w:tcW w:w="20" w:type="dxa"/>
            <w:vAlign w:val="bottom"/>
            <w:shd w:val="clear" w:color="auto" w:fill="E3E3E3"/>
          </w:tcPr>
          <w:p>
            <w:pPr>
              <w:spacing w:after="0"/>
              <w:rPr>
                <w:sz w:val="23"/>
                <w:szCs w:val="23"/>
                <w:color w:val="auto"/>
              </w:rPr>
            </w:pPr>
          </w:p>
        </w:tc>
        <w:tc>
          <w:tcPr>
            <w:tcW w:w="20" w:type="dxa"/>
            <w:vAlign w:val="bottom"/>
            <w:shd w:val="clear" w:color="auto" w:fill="E3E3E3"/>
          </w:tcPr>
          <w:p>
            <w:pPr>
              <w:spacing w:after="0"/>
              <w:rPr>
                <w:sz w:val="23"/>
                <w:szCs w:val="23"/>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20,829,228</w:t>
            </w:r>
          </w:p>
        </w:tc>
        <w:tc>
          <w:tcPr>
            <w:tcW w:w="220" w:type="dxa"/>
            <w:vAlign w:val="bottom"/>
            <w:shd w:val="clear" w:color="auto" w:fill="E3E3E3"/>
          </w:tcPr>
          <w:p>
            <w:pPr>
              <w:spacing w:after="0"/>
              <w:rPr>
                <w:sz w:val="23"/>
                <w:szCs w:val="23"/>
                <w:color w:val="auto"/>
              </w:rPr>
            </w:pPr>
          </w:p>
        </w:tc>
        <w:tc>
          <w:tcPr>
            <w:tcW w:w="160" w:type="dxa"/>
            <w:vAlign w:val="bottom"/>
            <w:shd w:val="clear" w:color="auto" w:fill="E3E3E3"/>
          </w:tcPr>
          <w:p>
            <w:pPr>
              <w:spacing w:after="0"/>
              <w:rPr>
                <w:sz w:val="23"/>
                <w:szCs w:val="23"/>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208,292</w:t>
            </w:r>
          </w:p>
        </w:tc>
        <w:tc>
          <w:tcPr>
            <w:tcW w:w="220" w:type="dxa"/>
            <w:vAlign w:val="bottom"/>
            <w:shd w:val="clear" w:color="auto" w:fill="E3E3E3"/>
          </w:tcPr>
          <w:p>
            <w:pPr>
              <w:spacing w:after="0"/>
              <w:rPr>
                <w:sz w:val="23"/>
                <w:szCs w:val="23"/>
                <w:color w:val="auto"/>
              </w:rPr>
            </w:pPr>
          </w:p>
        </w:tc>
        <w:tc>
          <w:tcPr>
            <w:tcW w:w="120" w:type="dxa"/>
            <w:vAlign w:val="bottom"/>
            <w:shd w:val="clear" w:color="auto" w:fill="E3E3E3"/>
          </w:tcPr>
          <w:p>
            <w:pPr>
              <w:spacing w:after="0"/>
              <w:rPr>
                <w:sz w:val="23"/>
                <w:szCs w:val="23"/>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318,886,768</w:t>
            </w:r>
          </w:p>
        </w:tc>
        <w:tc>
          <w:tcPr>
            <w:tcW w:w="240" w:type="dxa"/>
            <w:vAlign w:val="bottom"/>
            <w:tcBorders>
              <w:right w:val="single" w:sz="8" w:color="E3E3E3"/>
            </w:tcBorders>
            <w:shd w:val="clear" w:color="auto" w:fill="E3E3E3"/>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w:t>
            </w:r>
          </w:p>
        </w:tc>
        <w:tc>
          <w:tcPr>
            <w:tcW w:w="160" w:type="dxa"/>
            <w:vAlign w:val="bottom"/>
            <w:shd w:val="clear" w:color="auto" w:fill="E3E3E3"/>
          </w:tcPr>
          <w:p>
            <w:pPr>
              <w:spacing w:after="0"/>
              <w:rPr>
                <w:sz w:val="23"/>
                <w:szCs w:val="23"/>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308,958,097</w:t>
            </w:r>
          </w:p>
        </w:tc>
        <w:tc>
          <w:tcPr>
            <w:tcW w:w="80" w:type="dxa"/>
            <w:vAlign w:val="bottom"/>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E3E3E3"/>
            </w:tcBorders>
            <w:gridSpan w:val="3"/>
          </w:tcPr>
          <w:p>
            <w:pPr>
              <w:ind w:left="200"/>
              <w:spacing w:after="0" w:line="197" w:lineRule="exact"/>
              <w:rPr>
                <w:sz w:val="20"/>
                <w:szCs w:val="20"/>
                <w:color w:val="auto"/>
              </w:rPr>
            </w:pPr>
            <w:r>
              <w:rPr>
                <w:rFonts w:ascii="Times New Roman" w:cs="Times New Roman" w:eastAsia="Times New Roman" w:hAnsi="Times New Roman"/>
                <w:sz w:val="20"/>
                <w:szCs w:val="20"/>
                <w:color w:val="auto"/>
              </w:rPr>
              <w:t>Issuance of common stock, net of offering</w:t>
            </w:r>
          </w:p>
        </w:tc>
        <w:tc>
          <w:tcPr>
            <w:tcW w:w="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E3E3E3"/>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E3E3E3"/>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E3E3E3"/>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E3E3E3"/>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872,090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872,736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60" w:type="dxa"/>
            <w:vAlign w:val="bottom"/>
            <w:gridSpan w:val="4"/>
            <w:shd w:val="clear" w:color="auto" w:fill="E3E3E3"/>
          </w:tcPr>
          <w:p>
            <w:pPr>
              <w:ind w:left="200"/>
              <w:spacing w:after="0" w:line="222" w:lineRule="exact"/>
              <w:rPr>
                <w:sz w:val="20"/>
                <w:szCs w:val="20"/>
                <w:color w:val="auto"/>
              </w:rPr>
            </w:pPr>
            <w:r>
              <w:rPr>
                <w:rFonts w:ascii="Times New Roman" w:cs="Times New Roman" w:eastAsia="Times New Roman" w:hAnsi="Times New Roman"/>
                <w:sz w:val="20"/>
                <w:szCs w:val="20"/>
                <w:color w:val="auto"/>
              </w:rPr>
              <w:t>Issuance of common stock from employee</w:t>
            </w:r>
          </w:p>
        </w:tc>
        <w:tc>
          <w:tcPr>
            <w:tcW w:w="11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186,487</w:t>
            </w:r>
          </w:p>
        </w:tc>
        <w:tc>
          <w:tcPr>
            <w:tcW w:w="2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00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1,865</w:t>
            </w:r>
          </w:p>
        </w:tc>
        <w:tc>
          <w:tcPr>
            <w:tcW w:w="2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360" w:type="dxa"/>
            <w:vAlign w:val="bottom"/>
            <w:tcBorders>
              <w:right w:val="single" w:sz="8" w:color="E3E3E3"/>
            </w:tcBorders>
            <w:gridSpan w:val="2"/>
            <w:vMerge w:val="restart"/>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(1,865)</w:t>
            </w:r>
          </w:p>
        </w:tc>
        <w:tc>
          <w:tcPr>
            <w:tcW w:w="120" w:type="dxa"/>
            <w:vAlign w:val="bottom"/>
            <w:shd w:val="clear" w:color="auto" w:fill="E3E3E3"/>
          </w:tcPr>
          <w:p>
            <w:pPr>
              <w:spacing w:after="0"/>
              <w:rPr>
                <w:sz w:val="19"/>
                <w:szCs w:val="19"/>
                <w:color w:val="auto"/>
              </w:rPr>
            </w:pPr>
          </w:p>
        </w:tc>
        <w:tc>
          <w:tcPr>
            <w:tcW w:w="9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06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incentive plan (Note 10)</w:t>
            </w:r>
          </w:p>
        </w:tc>
        <w:tc>
          <w:tcPr>
            <w:tcW w:w="1140" w:type="dxa"/>
            <w:vAlign w:val="bottom"/>
            <w:vMerge w:val="continue"/>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00" w:type="dxa"/>
            <w:vAlign w:val="bottom"/>
            <w:vMerge w:val="continue"/>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360" w:type="dxa"/>
            <w:vAlign w:val="bottom"/>
            <w:tcBorders>
              <w:right w:val="single" w:sz="8" w:color="E3E3E3"/>
            </w:tcBorders>
            <w:gridSpan w:val="2"/>
            <w:vMerge w:val="continue"/>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920" w:type="dxa"/>
            <w:vAlign w:val="bottom"/>
            <w:vMerge w:val="continue"/>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60" w:type="dxa"/>
            <w:vAlign w:val="bottom"/>
            <w:vMerge w:val="continue"/>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3,368,861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3,368,861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860" w:type="dxa"/>
            <w:vAlign w:val="bottom"/>
            <w:gridSpan w:val="4"/>
            <w:shd w:val="clear" w:color="auto" w:fill="E3E3E3"/>
          </w:tcPr>
          <w:p>
            <w:pPr>
              <w:ind w:left="200"/>
              <w:spacing w:after="0" w:line="222" w:lineRule="exact"/>
              <w:rPr>
                <w:sz w:val="20"/>
                <w:szCs w:val="20"/>
                <w:color w:val="auto"/>
              </w:rPr>
            </w:pPr>
            <w:r>
              <w:rPr>
                <w:rFonts w:ascii="Times New Roman" w:cs="Times New Roman" w:eastAsia="Times New Roman" w:hAnsi="Times New Roman"/>
                <w:sz w:val="20"/>
                <w:szCs w:val="20"/>
                <w:color w:val="auto"/>
              </w:rPr>
              <w:t>Dividends declared on restricted stock</w:t>
            </w:r>
          </w:p>
        </w:tc>
        <w:tc>
          <w:tcPr>
            <w:tcW w:w="11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100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E3E3E3"/>
            </w:tcBorders>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40" w:type="dxa"/>
            <w:vAlign w:val="bottom"/>
            <w:gridSpan w:val="2"/>
            <w:vMerge w:val="restart"/>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rPr>
              <w:t>(1,857,425)</w:t>
            </w:r>
          </w:p>
        </w:tc>
        <w:tc>
          <w:tcPr>
            <w:tcW w:w="160" w:type="dxa"/>
            <w:vAlign w:val="bottom"/>
            <w:shd w:val="clear" w:color="auto" w:fill="E3E3E3"/>
          </w:tcPr>
          <w:p>
            <w:pPr>
              <w:spacing w:after="0"/>
              <w:rPr>
                <w:sz w:val="19"/>
                <w:szCs w:val="19"/>
                <w:color w:val="auto"/>
              </w:rPr>
            </w:pPr>
          </w:p>
        </w:tc>
        <w:tc>
          <w:tcPr>
            <w:tcW w:w="1140" w:type="dxa"/>
            <w:vAlign w:val="bottom"/>
            <w:gridSpan w:val="2"/>
            <w:vMerge w:val="restart"/>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(1,857,425)</w:t>
            </w:r>
          </w:p>
        </w:tc>
        <w:tc>
          <w:tcPr>
            <w:tcW w:w="0" w:type="dxa"/>
            <w:vAlign w:val="bottom"/>
          </w:tcPr>
          <w:p>
            <w:pPr>
              <w:spacing w:after="0"/>
              <w:rPr>
                <w:sz w:val="1"/>
                <w:szCs w:val="1"/>
                <w:color w:val="auto"/>
              </w:rPr>
            </w:pPr>
          </w:p>
        </w:tc>
      </w:tr>
      <w:tr>
        <w:trPr>
          <w:trHeight w:val="247"/>
        </w:trPr>
        <w:tc>
          <w:tcPr>
            <w:tcW w:w="38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awards</w:t>
            </w:r>
          </w:p>
        </w:tc>
        <w:tc>
          <w:tcPr>
            <w:tcW w:w="1140" w:type="dxa"/>
            <w:vAlign w:val="bottom"/>
            <w:vMerge w:val="continue"/>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000" w:type="dxa"/>
            <w:vAlign w:val="bottom"/>
            <w:vMerge w:val="continue"/>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20" w:type="dxa"/>
            <w:vAlign w:val="bottom"/>
            <w:vMerge w:val="continue"/>
            <w:shd w:val="clear" w:color="auto" w:fill="E3E3E3"/>
          </w:tcPr>
          <w:p>
            <w:pPr>
              <w:spacing w:after="0"/>
              <w:rPr>
                <w:sz w:val="21"/>
                <w:szCs w:val="21"/>
                <w:color w:val="auto"/>
              </w:rPr>
            </w:pPr>
          </w:p>
        </w:tc>
        <w:tc>
          <w:tcPr>
            <w:tcW w:w="240" w:type="dxa"/>
            <w:vAlign w:val="bottom"/>
            <w:tcBorders>
              <w:right w:val="single" w:sz="8" w:color="E3E3E3"/>
            </w:tcBorders>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40" w:type="dxa"/>
            <w:vAlign w:val="bottom"/>
            <w:gridSpan w:val="2"/>
            <w:vMerge w:val="continue"/>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1140" w:type="dxa"/>
            <w:vAlign w:val="bottom"/>
            <w:gridSpan w:val="2"/>
            <w:vMerge w:val="continue"/>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860" w:type="dxa"/>
            <w:vAlign w:val="bottom"/>
            <w:gridSpan w:val="4"/>
          </w:tcPr>
          <w:p>
            <w:pPr>
              <w:ind w:left="200"/>
              <w:spacing w:after="0" w:line="222" w:lineRule="exact"/>
              <w:rPr>
                <w:sz w:val="20"/>
                <w:szCs w:val="20"/>
                <w:color w:val="auto"/>
              </w:rPr>
            </w:pPr>
            <w:r>
              <w:rPr>
                <w:rFonts w:ascii="Times New Roman" w:cs="Times New Roman" w:eastAsia="Times New Roman" w:hAnsi="Times New Roman"/>
                <w:sz w:val="20"/>
                <w:szCs w:val="20"/>
                <w:color w:val="auto"/>
              </w:rPr>
              <w:t>Dividends declared on common shares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(39,538,27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($1.88 per share)</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(39,538,271)</w:t>
            </w:r>
          </w:p>
        </w:tc>
        <w:tc>
          <w:tcPr>
            <w:tcW w:w="0" w:type="dxa"/>
            <w:vAlign w:val="bottom"/>
          </w:tcPr>
          <w:p>
            <w:pPr>
              <w:spacing w:after="0"/>
              <w:rPr>
                <w:sz w:val="1"/>
                <w:szCs w:val="1"/>
                <w:color w:val="auto"/>
              </w:rPr>
            </w:pPr>
          </w:p>
        </w:tc>
      </w:tr>
      <w:tr>
        <w:trPr>
          <w:trHeight w:val="241"/>
        </w:trPr>
        <w:tc>
          <w:tcPr>
            <w:tcW w:w="3860" w:type="dxa"/>
            <w:vAlign w:val="bottom"/>
            <w:gridSpan w:val="4"/>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Net income</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1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right w:val="single" w:sz="8" w:color="E3E3E3"/>
            </w:tcBorders>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7"/>
              </w:rPr>
              <w:t>36,010,478</w:t>
            </w:r>
          </w:p>
        </w:tc>
        <w:tc>
          <w:tcPr>
            <w:tcW w:w="2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36,010,478</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40" w:type="dxa"/>
            <w:vAlign w:val="bottom"/>
            <w:tcBorders>
              <w:top w:val="single" w:sz="8" w:color="auto"/>
            </w:tcBorders>
            <w:gridSpan w:val="2"/>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(15,522,18</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21,080,272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210,803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323,125,854</w:t>
            </w:r>
          </w:p>
        </w:tc>
        <w:tc>
          <w:tcPr>
            <w:tcW w:w="2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307,814,476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5122545</wp:posOffset>
                </wp:positionH>
                <wp:positionV relativeFrom="paragraph">
                  <wp:posOffset>-2138045</wp:posOffset>
                </wp:positionV>
                <wp:extent cx="668655" cy="29718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8655" cy="297180"/>
                        </a:xfrm>
                        <a:prstGeom prst="rect">
                          <a:avLst/>
                        </a:prstGeom>
                        <a:solidFill>
                          <a:srgbClr val="E3E3E3"/>
                        </a:solidFill>
                      </wps:spPr>
                      <wps:bodyPr/>
                    </wps:wsp>
                  </a:graphicData>
                </a:graphic>
              </wp:anchor>
            </w:drawing>
          </mc:Choice>
          <mc:Fallback>
            <w:pict>
              <v:rect id="Shape 39" o:spid="_x0000_s1064" style="position:absolute;margin-left:403.35pt;margin-top:-168.3499pt;width:52.65pt;height:2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5791200</wp:posOffset>
                </wp:positionH>
                <wp:positionV relativeFrom="paragraph">
                  <wp:posOffset>-2148205</wp:posOffset>
                </wp:positionV>
                <wp:extent cx="139065" cy="30734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065" cy="307340"/>
                        </a:xfrm>
                        <a:prstGeom prst="rect">
                          <a:avLst/>
                        </a:prstGeom>
                        <a:solidFill>
                          <a:srgbClr val="E3E3E3"/>
                        </a:solidFill>
                      </wps:spPr>
                      <wps:bodyPr/>
                    </wps:wsp>
                  </a:graphicData>
                </a:graphic>
              </wp:anchor>
            </w:drawing>
          </mc:Choice>
          <mc:Fallback>
            <w:pict>
              <v:rect id="Shape 40" o:spid="_x0000_s1065" style="position:absolute;margin-left:456pt;margin-top:-169.1499pt;width:10.95pt;height:2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10640"/>
          </w:cols>
          <w:pgMar w:left="800" w:top="1005"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640"/>
          </w:cols>
          <w:pgMar w:left="800" w:top="1005" w:right="800" w:bottom="254"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CHICAGO ATLANTIC REAL ESTATE FINANCE,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0" w:type="dxa"/>
            <w:vAlign w:val="bottom"/>
          </w:tcPr>
          <w:p>
            <w:pPr>
              <w:spacing w:after="0"/>
              <w:rPr>
                <w:sz w:val="1"/>
                <w:szCs w:val="1"/>
                <w:color w:val="auto"/>
              </w:rPr>
            </w:pPr>
          </w:p>
        </w:tc>
      </w:tr>
      <w:tr>
        <w:trPr>
          <w:trHeight w:val="225"/>
        </w:trPr>
        <w:tc>
          <w:tcPr>
            <w:tcW w:w="6780" w:type="dxa"/>
            <w:vAlign w:val="bottom"/>
            <w:tcBorders>
              <w:bottom w:val="single" w:sz="8" w:color="E3E3E3"/>
            </w:tcBorders>
          </w:tcPr>
          <w:p>
            <w:pPr>
              <w:spacing w:after="0"/>
              <w:rPr>
                <w:sz w:val="19"/>
                <w:szCs w:val="19"/>
                <w:color w:val="auto"/>
              </w:rPr>
            </w:pPr>
          </w:p>
        </w:tc>
        <w:tc>
          <w:tcPr>
            <w:tcW w:w="680" w:type="dxa"/>
            <w:vAlign w:val="bottom"/>
            <w:tcBorders>
              <w:bottom w:val="single" w:sz="8" w:color="E3E3E3"/>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E3E3E3"/>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E3E3E3"/>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Pr>
          <w:p>
            <w:pPr>
              <w:spacing w:after="0"/>
              <w:rPr>
                <w:sz w:val="18"/>
                <w:szCs w:val="18"/>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36,010,478</w:t>
            </w:r>
          </w:p>
        </w:tc>
        <w:tc>
          <w:tcPr>
            <w:tcW w:w="260" w:type="dxa"/>
            <w:vAlign w:val="bottom"/>
          </w:tcPr>
          <w:p>
            <w:pPr>
              <w:spacing w:after="0"/>
              <w:rPr>
                <w:sz w:val="18"/>
                <w:szCs w:val="18"/>
                <w:color w:val="auto"/>
              </w:rPr>
            </w:pP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37,045,403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spacing w:after="0"/>
              <w:rPr>
                <w:sz w:val="18"/>
                <w:szCs w:val="18"/>
                <w:color w:val="auto"/>
              </w:rPr>
            </w:pP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Accretion of deferred loan origination fees and other discounts</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42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18"/>
                <w:szCs w:val="18"/>
                <w:color w:val="auto"/>
              </w:rPr>
              <w:t>(2,187,528)</w:t>
            </w:r>
          </w:p>
        </w:tc>
        <w:tc>
          <w:tcPr>
            <w:tcW w:w="400" w:type="dxa"/>
            <w:vAlign w:val="bottom"/>
            <w:shd w:val="clear" w:color="auto" w:fill="E3E3E3"/>
          </w:tcPr>
          <w:p>
            <w:pPr>
              <w:spacing w:after="0"/>
              <w:rPr>
                <w:sz w:val="18"/>
                <w:szCs w:val="18"/>
                <w:color w:val="auto"/>
              </w:rPr>
            </w:pPr>
          </w:p>
        </w:tc>
        <w:tc>
          <w:tcPr>
            <w:tcW w:w="11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auto"/>
              </w:rPr>
              <w:t>(1,697,139)</w:t>
            </w: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Paid-in-kind interest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(6,162,563)</w:t>
            </w: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(9,147,837)</w:t>
            </w: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Interest received through net settlement transactions</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42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18"/>
                <w:szCs w:val="18"/>
                <w:color w:val="auto"/>
              </w:rPr>
              <w:t>(1,365,150)</w:t>
            </w: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(583,298)</w:t>
            </w: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Change in unrealized (gain) loss on investments</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42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18"/>
                <w:szCs w:val="18"/>
                <w:color w:val="auto"/>
              </w:rPr>
              <w:t>(165,000)</w:t>
            </w: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240,604</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(72,428)</w:t>
            </w: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406,663</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256,998</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3,368,861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3,058,674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(2,555,977)</w:t>
            </w: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(449,683)</w:t>
            </w: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42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18"/>
                <w:szCs w:val="18"/>
                <w:color w:val="auto"/>
              </w:rPr>
              <w:t>(473,513)</w:t>
            </w: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185,256</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reserve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(1,285,192)</w:t>
            </w: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(3,971,608)</w:t>
            </w: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Related party payables</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171,517</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1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auto"/>
              </w:rPr>
              <w:t>(8,128)</w:t>
            </w: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2,180,402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(3,263,114)</w:t>
            </w: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Proceeds from the redemption of debt securities, at fair value</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839,093</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235,418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(380,617)</w:t>
            </w: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199,313</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597,435</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(316,172)</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680" w:type="dxa"/>
            <w:vAlign w:val="bottom"/>
            <w:tcBorders>
              <w:top w:val="single" w:sz="8" w:color="E3E3E3"/>
            </w:tcBorders>
            <w:shd w:val="clear" w:color="auto" w:fill="E3E3E3"/>
          </w:tcPr>
          <w:p>
            <w:pPr>
              <w:spacing w:after="0"/>
              <w:rPr>
                <w:sz w:val="18"/>
                <w:szCs w:val="18"/>
                <w:color w:val="auto"/>
              </w:rPr>
            </w:pPr>
          </w:p>
        </w:tc>
        <w:tc>
          <w:tcPr>
            <w:tcW w:w="260" w:type="dxa"/>
            <w:vAlign w:val="bottom"/>
            <w:tcBorders>
              <w:top w:val="single" w:sz="8" w:color="auto"/>
              <w:bottom w:val="single" w:sz="8" w:color="auto"/>
            </w:tcBorders>
            <w:shd w:val="clear" w:color="auto" w:fill="E3E3E3"/>
          </w:tcPr>
          <w:p>
            <w:pPr>
              <w:spacing w:after="0"/>
              <w:rPr>
                <w:sz w:val="18"/>
                <w:szCs w:val="18"/>
                <w:color w:val="auto"/>
              </w:rPr>
            </w:pPr>
          </w:p>
        </w:tc>
        <w:tc>
          <w:tcPr>
            <w:tcW w:w="1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b w:val="1"/>
                <w:bCs w:val="1"/>
                <w:color w:val="auto"/>
              </w:rPr>
              <w:t>28,792,608</w:t>
            </w:r>
          </w:p>
        </w:tc>
        <w:tc>
          <w:tcPr>
            <w:tcW w:w="260" w:type="dxa"/>
            <w:vAlign w:val="bottom"/>
            <w:tcBorders>
              <w:top w:val="single" w:sz="8" w:color="E3E3E3"/>
            </w:tcBorders>
            <w:shd w:val="clear" w:color="auto" w:fill="E3E3E3"/>
          </w:tcPr>
          <w:p>
            <w:pPr>
              <w:spacing w:after="0"/>
              <w:rPr>
                <w:sz w:val="18"/>
                <w:szCs w:val="18"/>
                <w:color w:val="auto"/>
              </w:rPr>
            </w:pPr>
          </w:p>
        </w:tc>
        <w:tc>
          <w:tcPr>
            <w:tcW w:w="400" w:type="dxa"/>
            <w:vAlign w:val="bottom"/>
            <w:tcBorders>
              <w:top w:val="single" w:sz="8" w:color="auto"/>
              <w:bottom w:val="single" w:sz="8" w:color="auto"/>
            </w:tcBorders>
            <w:shd w:val="clear" w:color="auto" w:fill="E3E3E3"/>
          </w:tcPr>
          <w:p>
            <w:pPr>
              <w:spacing w:after="0"/>
              <w:rPr>
                <w:sz w:val="18"/>
                <w:szCs w:val="18"/>
                <w:color w:val="auto"/>
              </w:rPr>
            </w:pPr>
          </w:p>
        </w:tc>
        <w:tc>
          <w:tcPr>
            <w:tcW w:w="10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b w:val="1"/>
                <w:bCs w:val="1"/>
                <w:color w:val="auto"/>
              </w:rPr>
              <w:t>23,159,376</w:t>
            </w:r>
          </w:p>
        </w:tc>
        <w:tc>
          <w:tcPr>
            <w:tcW w:w="80" w:type="dxa"/>
            <w:vAlign w:val="bottom"/>
            <w:tcBorders>
              <w:top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Issuance of and fundings of loans held for investment</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42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18"/>
                <w:szCs w:val="18"/>
                <w:color w:val="auto"/>
              </w:rPr>
              <w:t>(75,984,388)</w:t>
            </w:r>
          </w:p>
        </w:tc>
        <w:tc>
          <w:tcPr>
            <w:tcW w:w="400" w:type="dxa"/>
            <w:vAlign w:val="bottom"/>
            <w:shd w:val="clear" w:color="auto" w:fill="E3E3E3"/>
          </w:tcPr>
          <w:p>
            <w:pPr>
              <w:spacing w:after="0"/>
              <w:rPr>
                <w:sz w:val="18"/>
                <w:szCs w:val="18"/>
                <w:color w:val="auto"/>
              </w:rPr>
            </w:pPr>
          </w:p>
        </w:tc>
        <w:tc>
          <w:tcPr>
            <w:tcW w:w="11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auto"/>
              </w:rPr>
              <w:t>(155,257,974)</w:t>
            </w: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 held for investment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79,221,108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102,461,111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Principal repayment of loans held at fair value</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1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auto"/>
              </w:rPr>
              <w:t>(5,500,000)</w:t>
            </w:r>
          </w:p>
        </w:tc>
        <w:tc>
          <w:tcPr>
            <w:tcW w:w="0" w:type="dxa"/>
            <w:vAlign w:val="bottom"/>
          </w:tcPr>
          <w:p>
            <w:pPr>
              <w:spacing w:after="0"/>
              <w:rPr>
                <w:sz w:val="1"/>
                <w:szCs w:val="1"/>
                <w:color w:val="auto"/>
              </w:rPr>
            </w:pPr>
          </w:p>
        </w:tc>
      </w:tr>
      <w:tr>
        <w:trPr>
          <w:trHeight w:val="218"/>
        </w:trPr>
        <w:tc>
          <w:tcPr>
            <w:tcW w:w="6780" w:type="dxa"/>
            <w:vAlign w:val="bottom"/>
            <w:tcBorders>
              <w:bottom w:val="single" w:sz="8" w:color="E3E3E3"/>
            </w:tcBorders>
          </w:tcPr>
          <w:p>
            <w:pPr>
              <w:ind w:left="200"/>
              <w:spacing w:after="0"/>
              <w:rPr>
                <w:sz w:val="20"/>
                <w:szCs w:val="20"/>
                <w:color w:val="auto"/>
              </w:rPr>
            </w:pPr>
            <w:r>
              <w:rPr>
                <w:rFonts w:ascii="Times New Roman" w:cs="Times New Roman" w:eastAsia="Times New Roman" w:hAnsi="Times New Roman"/>
                <w:sz w:val="18"/>
                <w:szCs w:val="18"/>
                <w:color w:val="auto"/>
              </w:rPr>
              <w:t>Proceeds from sale of loans</w:t>
            </w:r>
          </w:p>
        </w:tc>
        <w:tc>
          <w:tcPr>
            <w:tcW w:w="680" w:type="dxa"/>
            <w:vAlign w:val="bottom"/>
            <w:tcBorders>
              <w:bottom w:val="single" w:sz="8" w:color="E3E3E3"/>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E3E3E3"/>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19,000,000</w:t>
            </w:r>
          </w:p>
        </w:tc>
        <w:tc>
          <w:tcPr>
            <w:tcW w:w="8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680" w:type="dxa"/>
            <w:vAlign w:val="bottom"/>
            <w:shd w:val="clear" w:color="auto" w:fill="E3E3E3"/>
          </w:tcPr>
          <w:p>
            <w:pPr>
              <w:spacing w:after="0"/>
              <w:rPr>
                <w:sz w:val="18"/>
                <w:szCs w:val="18"/>
                <w:color w:val="auto"/>
              </w:rPr>
            </w:pPr>
          </w:p>
        </w:tc>
        <w:tc>
          <w:tcPr>
            <w:tcW w:w="260" w:type="dxa"/>
            <w:vAlign w:val="bottom"/>
            <w:tcBorders>
              <w:bottom w:val="single" w:sz="8" w:color="auto"/>
            </w:tcBorders>
            <w:shd w:val="clear" w:color="auto" w:fill="E3E3E3"/>
          </w:tcPr>
          <w:p>
            <w:pPr>
              <w:spacing w:after="0"/>
              <w:rPr>
                <w:sz w:val="18"/>
                <w:szCs w:val="18"/>
                <w:color w:val="auto"/>
              </w:rPr>
            </w:pP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b w:val="1"/>
                <w:bCs w:val="1"/>
                <w:color w:val="auto"/>
              </w:rPr>
              <w:t>8,736,720</w:t>
            </w:r>
          </w:p>
        </w:tc>
        <w:tc>
          <w:tcPr>
            <w:tcW w:w="260" w:type="dxa"/>
            <w:vAlign w:val="bottom"/>
            <w:shd w:val="clear" w:color="auto" w:fill="E3E3E3"/>
          </w:tcPr>
          <w:p>
            <w:pPr>
              <w:spacing w:after="0"/>
              <w:rPr>
                <w:sz w:val="18"/>
                <w:szCs w:val="18"/>
                <w:color w:val="auto"/>
              </w:rPr>
            </w:pPr>
          </w:p>
        </w:tc>
        <w:tc>
          <w:tcPr>
            <w:tcW w:w="400" w:type="dxa"/>
            <w:vAlign w:val="bottom"/>
            <w:tcBorders>
              <w:bottom w:val="single" w:sz="8" w:color="auto"/>
            </w:tcBorders>
            <w:shd w:val="clear" w:color="auto" w:fill="E3E3E3"/>
          </w:tcPr>
          <w:p>
            <w:pPr>
              <w:spacing w:after="0"/>
              <w:rPr>
                <w:sz w:val="18"/>
                <w:szCs w:val="18"/>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b w:val="1"/>
                <w:bCs w:val="1"/>
                <w:color w:val="auto"/>
              </w:rPr>
              <w:t>(39,296,863)</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1,033,474</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39,591,879</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Proceeds from borrowings on revolving loan</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142,100,000</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159,000,000</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borrowings on revolving loan</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(148,000,000)</w:t>
            </w: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(170,000,000)</w:t>
            </w: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Dividends paid to common shareholders</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42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18"/>
                <w:szCs w:val="18"/>
                <w:color w:val="auto"/>
              </w:rPr>
              <w:t>(43,843,629)</w:t>
            </w:r>
          </w:p>
        </w:tc>
        <w:tc>
          <w:tcPr>
            <w:tcW w:w="400" w:type="dxa"/>
            <w:vAlign w:val="bottom"/>
            <w:shd w:val="clear" w:color="auto" w:fill="E3E3E3"/>
          </w:tcPr>
          <w:p>
            <w:pPr>
              <w:spacing w:after="0"/>
              <w:rPr>
                <w:sz w:val="18"/>
                <w:szCs w:val="18"/>
                <w:color w:val="auto"/>
              </w:rPr>
            </w:pPr>
          </w:p>
        </w:tc>
        <w:tc>
          <w:tcPr>
            <w:tcW w:w="11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auto"/>
              </w:rPr>
              <w:t>(41,632,363)</w:t>
            </w: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(109,999)</w:t>
            </w:r>
          </w:p>
        </w:tc>
        <w:tc>
          <w:tcPr>
            <w:tcW w:w="4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(1,099,231)</w:t>
            </w:r>
          </w:p>
        </w:tc>
        <w:tc>
          <w:tcPr>
            <w:tcW w:w="0" w:type="dxa"/>
            <w:vAlign w:val="bottom"/>
          </w:tcPr>
          <w:p>
            <w:pPr>
              <w:spacing w:after="0"/>
              <w:rPr>
                <w:sz w:val="1"/>
                <w:szCs w:val="1"/>
                <w:color w:val="auto"/>
              </w:rPr>
            </w:pPr>
          </w:p>
        </w:tc>
      </w:tr>
      <w:tr>
        <w:trPr>
          <w:trHeight w:val="23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68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42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18"/>
                <w:szCs w:val="18"/>
                <w:color w:val="auto"/>
              </w:rPr>
              <w:t>(160,738)</w:t>
            </w:r>
          </w:p>
        </w:tc>
        <w:tc>
          <w:tcPr>
            <w:tcW w:w="400" w:type="dxa"/>
            <w:vAlign w:val="bottom"/>
            <w:shd w:val="clear" w:color="auto" w:fill="E3E3E3"/>
          </w:tcPr>
          <w:p>
            <w:pPr>
              <w:spacing w:after="0"/>
              <w:rPr>
                <w:sz w:val="20"/>
                <w:szCs w:val="20"/>
                <w:color w:val="auto"/>
              </w:rPr>
            </w:pPr>
          </w:p>
        </w:tc>
        <w:tc>
          <w:tcPr>
            <w:tcW w:w="11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18"/>
                <w:szCs w:val="18"/>
                <w:color w:val="auto"/>
              </w:rPr>
              <w:t>(1,220,390)</w:t>
            </w:r>
          </w:p>
        </w:tc>
        <w:tc>
          <w:tcPr>
            <w:tcW w:w="0" w:type="dxa"/>
            <w:vAlign w:val="bottom"/>
          </w:tcPr>
          <w:p>
            <w:pPr>
              <w:spacing w:after="0"/>
              <w:rPr>
                <w:sz w:val="1"/>
                <w:szCs w:val="1"/>
                <w:color w:val="auto"/>
              </w:rPr>
            </w:pPr>
          </w:p>
        </w:tc>
      </w:tr>
      <w:tr>
        <w:trPr>
          <w:trHeight w:val="193"/>
        </w:trPr>
        <w:tc>
          <w:tcPr>
            <w:tcW w:w="6780" w:type="dxa"/>
            <w:vAlign w:val="bottom"/>
            <w:tcBorders>
              <w:top w:val="single" w:sz="8" w:color="E3E3E3"/>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(used in)/provided by financing activities</w:t>
            </w:r>
          </w:p>
        </w:tc>
        <w:tc>
          <w:tcPr>
            <w:tcW w:w="680" w:type="dxa"/>
            <w:vAlign w:val="bottom"/>
            <w:tcBorders>
              <w:top w:val="single" w:sz="8" w:color="E3E3E3"/>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(48,980,892)</w:t>
            </w:r>
          </w:p>
        </w:tc>
        <w:tc>
          <w:tcPr>
            <w:tcW w:w="260" w:type="dxa"/>
            <w:vAlign w:val="bottom"/>
            <w:tcBorders>
              <w:top w:val="single" w:sz="8" w:color="E3E3E3"/>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34,639,895</w:t>
            </w:r>
          </w:p>
        </w:tc>
        <w:tc>
          <w:tcPr>
            <w:tcW w:w="80" w:type="dxa"/>
            <w:vAlign w:val="bottom"/>
            <w:tcBorders>
              <w:top w:val="single" w:sz="8" w:color="E3E3E3"/>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42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(11,451,564)</w:t>
            </w: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b w:val="1"/>
                <w:bCs w:val="1"/>
                <w:color w:val="auto"/>
              </w:rPr>
              <w:t>18,502,408</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680" w:type="dxa"/>
            <w:vAlign w:val="bottom"/>
            <w:tcBorders>
              <w:bottom w:val="single" w:sz="8" w:color="E3E3E3"/>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26,400,448</w:t>
            </w:r>
          </w:p>
        </w:tc>
        <w:tc>
          <w:tcPr>
            <w:tcW w:w="260" w:type="dxa"/>
            <w:vAlign w:val="bottom"/>
            <w:tcBorders>
              <w:bottom w:val="single" w:sz="8" w:color="E3E3E3"/>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7,898,040</w:t>
            </w:r>
          </w:p>
        </w:tc>
        <w:tc>
          <w:tcPr>
            <w:tcW w:w="8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8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680" w:type="dxa"/>
            <w:vAlign w:val="bottom"/>
            <w:tcBorders>
              <w:bottom w:val="single" w:sz="8" w:color="E3E3E3"/>
            </w:tcBorders>
            <w:shd w:val="clear" w:color="auto" w:fill="E3E3E3"/>
          </w:tcPr>
          <w:p>
            <w:pPr>
              <w:spacing w:after="0"/>
              <w:rPr>
                <w:sz w:val="20"/>
                <w:szCs w:val="20"/>
                <w:color w:val="auto"/>
              </w:rPr>
            </w:pPr>
          </w:p>
        </w:tc>
        <w:tc>
          <w:tcPr>
            <w:tcW w:w="260" w:type="dxa"/>
            <w:vAlign w:val="bottom"/>
            <w:tcBorders>
              <w:bottom w:val="single" w:sz="8" w:color="auto"/>
            </w:tcBorders>
            <w:shd w:val="clear" w:color="auto" w:fill="E3E3E3"/>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b w:val="1"/>
                <w:bCs w:val="1"/>
                <w:color w:val="auto"/>
              </w:rPr>
              <w:t>14,948,884</w:t>
            </w:r>
          </w:p>
        </w:tc>
        <w:tc>
          <w:tcPr>
            <w:tcW w:w="260" w:type="dxa"/>
            <w:vAlign w:val="bottom"/>
            <w:tcBorders>
              <w:bottom w:val="single" w:sz="8" w:color="E3E3E3"/>
            </w:tcBorders>
            <w:shd w:val="clear" w:color="auto" w:fill="E3E3E3"/>
          </w:tcPr>
          <w:p>
            <w:pPr>
              <w:spacing w:after="0"/>
              <w:rPr>
                <w:sz w:val="20"/>
                <w:szCs w:val="20"/>
                <w:color w:val="auto"/>
              </w:rPr>
            </w:pPr>
          </w:p>
        </w:tc>
        <w:tc>
          <w:tcPr>
            <w:tcW w:w="400" w:type="dxa"/>
            <w:vAlign w:val="bottom"/>
            <w:tcBorders>
              <w:bottom w:val="single" w:sz="8" w:color="auto"/>
            </w:tcBorders>
            <w:shd w:val="clear" w:color="auto" w:fill="E3E3E3"/>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b w:val="1"/>
                <w:bCs w:val="1"/>
                <w:color w:val="auto"/>
              </w:rPr>
              <w:t>26,400,448</w:t>
            </w:r>
          </w:p>
        </w:tc>
        <w:tc>
          <w:tcPr>
            <w:tcW w:w="80" w:type="dxa"/>
            <w:vAlign w:val="bottom"/>
            <w:tcBorders>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and investing activities</w:t>
            </w: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7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Interest reserve withheld from funding of loans</w:t>
            </w:r>
          </w:p>
        </w:tc>
        <w:tc>
          <w:tcPr>
            <w:tcW w:w="940" w:type="dxa"/>
            <w:vAlign w:val="bottom"/>
            <w:gridSpan w:val="2"/>
            <w:shd w:val="clear" w:color="auto" w:fill="E3E3E3"/>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176,760</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4,194,597</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OID withheld from funding of loans held for investment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2,062,541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Dividends declared and not yet paid</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11,157,220</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13,605,153</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loans held for investment to loans held for sale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Non-cash exchange of loans with related party (Note 9)</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5,960,888</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68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6,939,666</w:t>
            </w:r>
          </w:p>
        </w:tc>
        <w:tc>
          <w:tcPr>
            <w:tcW w:w="260" w:type="dxa"/>
            <w:vAlign w:val="bottom"/>
            <w:shd w:val="clear" w:color="auto" w:fill="E3E3E3"/>
          </w:tcPr>
          <w:p>
            <w:pPr>
              <w:spacing w:after="0"/>
              <w:rPr>
                <w:sz w:val="18"/>
                <w:szCs w:val="18"/>
                <w:color w:val="auto"/>
              </w:rPr>
            </w:pPr>
          </w:p>
        </w:tc>
        <w:tc>
          <w:tcPr>
            <w:tcW w:w="40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6,205,623</w:t>
            </w:r>
          </w:p>
        </w:tc>
        <w:tc>
          <w:tcPr>
            <w:tcW w:w="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640"/>
          </w:cols>
          <w:pgMar w:left="800" w:top="1005" w:right="800" w:bottom="254" w:gutter="0" w:footer="0" w:header="0"/>
        </w:sectPr>
      </w:pP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640"/>
          </w:cols>
          <w:pgMar w:left="800" w:top="1005" w:right="800" w:bottom="254"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consolidated financial statements.</w:t>
      </w:r>
    </w:p>
    <w:p>
      <w:pPr>
        <w:sectPr>
          <w:pgSz w:w="12240" w:h="15840" w:orient="portrait"/>
          <w:cols w:equalWidth="0" w:num="1">
            <w:col w:w="9360"/>
          </w:cols>
          <w:pgMar w:left="1440" w:top="1011" w:right="144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360"/>
          </w:cols>
          <w:pgMar w:left="1440" w:top="1011" w:right="1440" w:bottom="254" w:gutter="0" w:footer="0" w:header="0"/>
          <w:type w:val="continuous"/>
        </w:sectPr>
      </w:pPr>
    </w:p>
    <w:bookmarkStart w:id="107" w:name="page108"/>
    <w:bookmarkEnd w:id="107"/>
    <w:p>
      <w:pPr>
        <w:jc w:val="center"/>
        <w:spacing w:after="0" w:line="377" w:lineRule="auto"/>
        <w:rPr>
          <w:sz w:val="20"/>
          <w:szCs w:val="20"/>
          <w:color w:val="auto"/>
        </w:rPr>
      </w:pPr>
      <w:r>
        <w:rPr>
          <w:rFonts w:ascii="Times New Roman" w:cs="Times New Roman" w:eastAsia="Times New Roman" w:hAnsi="Times New Roman"/>
          <w:sz w:val="20"/>
          <w:szCs w:val="20"/>
          <w:b w:val="1"/>
          <w:bCs w:val="1"/>
          <w:color w:val="auto"/>
        </w:rPr>
        <w:t>CHICAGO ATLANTIC REAL ESTATE FINANCE, INC. NOTES TO THE CONSOLIDATED FINANCIAL STATEMENTS AS OF DECEMBER 31,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99"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Chicago Atlantic Real Estate Finance, Inc., and its wholly owned consolidated subsidiary, Chicago Atlantic Lincoln, LLC (“CAL”) (collectively the “Company”, “we”, or “our”), is a commercial real estate finance company that incorporated in the state of Maryland on March 30, 2021 and completed its initial public offering (the "IPO") in December 2021.</w:t>
      </w:r>
    </w:p>
    <w:p>
      <w:pPr>
        <w:spacing w:after="0" w:line="147"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The Company may also lend to and invest in companies or properties that are not related to the cannabis industry if they provide return characteristics consistent with its investment objective.</w:t>
      </w:r>
    </w:p>
    <w:p>
      <w:pPr>
        <w:spacing w:after="0" w:line="162"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The Company is externally managed by Chicago Atlantic REIT Manager, LLC (the “Manager”), a Delaware limited liability company, pursuant to the terms of the Management Agreement dated May 1, 2021, and amended in October 2021, by and among the Company and the Manager. After the initial three-year term, the management agreement is automatically renewed for one-year periods unless the Company or the Manager elects not to renew in accordance with the terms of the Management Agreement. Following the initial term, the Management Agreement was most recently automatically renewed on April 30, 2025.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9). All of the Company’s investment decisions are made by the investment committee of the Manager, subject to oversight by the Company’s board of directors (the “Board”). The Manager is wholly-owned by Chicago Atlantic Group, LP. (the “Sponsor”).</w:t>
      </w:r>
    </w:p>
    <w:p>
      <w:pPr>
        <w:spacing w:after="0" w:line="162"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Company has elected to be taxed as a real estate investment trust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spacing w:after="0" w:line="152" w:lineRule="exact"/>
        <w:rPr>
          <w:sz w:val="20"/>
          <w:szCs w:val="20"/>
          <w:color w:val="auto"/>
        </w:rPr>
      </w:pPr>
    </w:p>
    <w:p>
      <w:pPr>
        <w:ind w:right="5300"/>
        <w:spacing w:after="0" w:line="445" w:lineRule="auto"/>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b w:val="1"/>
          <w:bCs w:val="1"/>
          <w:i w:val="1"/>
          <w:iCs w:val="1"/>
          <w:color w:val="auto"/>
        </w:rPr>
        <w:t>Basis of Presentation</w:t>
      </w:r>
    </w:p>
    <w:p>
      <w:pPr>
        <w:spacing w:after="0" w:line="1"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on the accrual basis of accounting in conformity with accounting principles generally accepted in the United States of America (“GAAP”). Our consolidated financial statements present the financial position, results of operations, and cash flows for the Company, including the accounts of its wholly owned consolidated financing subsidiary, CAL. The consolidated financial statements reflect all adjustments that, in the opinion of management, are necessary for the fair presentation of the Company's results of operations and financial condition as of and for the periods presented. All intercompany accounts and transactions have been eliminated in consolidation.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 in the Preparation of Consolidated Financial Statements</w:t>
      </w:r>
    </w:p>
    <w:p>
      <w:pPr>
        <w:spacing w:after="0" w:line="19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valuation of loans held at fair value and the provision for current expected credit losses.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Reclassifications</w:t>
      </w:r>
    </w:p>
    <w:p>
      <w:pPr>
        <w:spacing w:after="0" w:line="19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Certain prior period amounts have been reclassified to conform to the current period presentation. Specifically, interest payable, which was previously included within accounts payable and other liabilities, is presented as a separate line item on the Consolidated Balance Sheets. Additionally, dividends declared on restricted stock awards which were previously included in dividends declared on common shares, were reclassified and presented as an individual line item on the Consolidated Statements of Equity.</w:t>
      </w:r>
    </w:p>
    <w:p>
      <w:pPr>
        <w:sectPr>
          <w:pgSz w:w="12240" w:h="15840" w:orient="portrait"/>
          <w:cols w:equalWidth="0" w:num="1">
            <w:col w:w="10640"/>
          </w:cols>
          <w:pgMar w:left="800" w:top="1005" w:right="800" w:bottom="254"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640"/>
          </w:cols>
          <w:pgMar w:left="800" w:top="1005" w:right="800" w:bottom="254" w:gutter="0" w:footer="0" w:header="0"/>
          <w:type w:val="continuous"/>
        </w:sectPr>
      </w:pPr>
    </w:p>
    <w:bookmarkStart w:id="108" w:name="page109"/>
    <w:bookmarkEnd w:id="108"/>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The reclassifications were made to improve transparency regarding the Company’s accrued interest obligations and dividends paid on vested restricted stock awards. The reclassifications had no impact on total assets, total liabilities, stockholders’ equity, net income, or cash flows for the periods presented.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9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The Company’s cash and cash equivalents are held with financial institutions, and, at times, may exceed the Federal Deposit Insurance Corporation (“FDIC”) insured limits. The Company and the Manager seek to manage this credit risk relating to cash by monitoring the financial stability of the financial institutions and their ability to continue in business for the foreseeable future.</w:t>
      </w:r>
    </w:p>
    <w:p>
      <w:pPr>
        <w:spacing w:after="0" w:line="147"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Cash and cash equivalents include funds on deposit with financial institutions, including demand deposits with financial institutions. Cash and short-term investments with an original maturity of three months or less when acquired are considered cash and cash equivalents for the purpose of the consolidated balance sheets and consolidated statements of cash flows.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Risks</w:t>
      </w:r>
    </w:p>
    <w:p>
      <w:pPr>
        <w:spacing w:after="0" w:line="19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Financial instruments that may subject the Company to concentrations of credit risk consist primarily of cash and cash equivalents, loans, and interest receivable. Concentration of credit risk relating to loans and interest receivable are managed by the Company and the Manager through robust portfolio monitoring and performing due diligence prior to origination or acquisition and through the use of non-recourse financing, when and where available and appropriate.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Loans</w:t>
      </w:r>
    </w:p>
    <w:p>
      <w:pPr>
        <w:spacing w:after="0" w:line="193"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The Company originates commercial real estate (“CRE”) loans and related debt instruments that it has both the intent and ability to hold for the foreseeable future, and are therefore classified as held for investment.</w:t>
      </w:r>
    </w:p>
    <w:p>
      <w:pPr>
        <w:spacing w:after="0" w:line="131" w:lineRule="exact"/>
        <w:rPr>
          <w:sz w:val="20"/>
          <w:szCs w:val="20"/>
          <w:color w:val="auto"/>
        </w:rPr>
      </w:pPr>
    </w:p>
    <w:p>
      <w:pPr>
        <w:jc w:val="both"/>
        <w:ind w:firstLine="355"/>
        <w:spacing w:after="0" w:line="266" w:lineRule="auto"/>
        <w:rPr>
          <w:sz w:val="20"/>
          <w:szCs w:val="20"/>
          <w:color w:val="auto"/>
        </w:rPr>
      </w:pPr>
      <w:r>
        <w:rPr>
          <w:rFonts w:ascii="Times New Roman" w:cs="Times New Roman" w:eastAsia="Times New Roman" w:hAnsi="Times New Roman"/>
          <w:sz w:val="19"/>
          <w:szCs w:val="19"/>
          <w:color w:val="auto"/>
        </w:rPr>
        <w:t>Loans that are held-for-investment are carried at their aggregate outstanding face amount, net of applicable (i) unamortized origination or acquisition premium and discounts, (ii) unamortized deferred fees and other direct loan origination costs, (iii) valuation allowance for credit losses and (iv) write-downs of uncollectible loans. The Company uses a method which approximates the effective interest method to amortize origination or acquisition premiums and discounts and deferred fees or other direct loan origination costs.</w:t>
      </w:r>
    </w:p>
    <w:p>
      <w:pPr>
        <w:spacing w:after="0" w:line="139"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9"/>
          <w:szCs w:val="19"/>
          <w:color w:val="auto"/>
        </w:rPr>
        <w:t>The Company’s loans are primarily collateralized by real estate, equipment, licenses and/or other collateral assets of borrowers. The extent of any credit deterioration associated with the performance and/or value of the underlying collateral property and the financial and operating capability of the borrower could impact the expected amounts received. The Company monitors performance of its portfolio of loans held for investment under the following methodology: (1) borrower review, which evaluates each borrower’s financial condition including consideration of interest and principal payment history, ability to execute its business plan, and assessment of any alleged actual, threatened, or pending litigation; (2) economic review, which contemplates the value of underlying collateral (i.e. leasing performance, unit sales and cash flow of the collateral and its ability to cover debt service, as well as the residual loan balance at maturity); (3) property review, which considers current environmental risks, changes in insurance costs or coverage, current site visibility, capital expenditures and market perception; and (4) market review, which analyzes the collateral from a supply and demand perspective of similar property types, as well as from a capital markets perspective. Changes in other observable market data may be utilized in determining the immediate recognition of expected credit losses over the life of financial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Loans held for sale</w:t>
      </w:r>
    </w:p>
    <w:p>
      <w:pPr>
        <w:spacing w:after="0" w:line="19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Once the Company decides to sell a loan, it is transferred from held for investment to held-for-sale and carried at the lower of cost or fair value. On the date a loan is transferred into the held-for-sale category, any previously recorded allowance for credit losses is reversed in earnings and the loan is recorded at its amortized cost. If the amortized cost exceeds the loan’s fair value at the date of transfer, a valuation allowance is recorded equal to the difference between amortized cost basis and fair value. There were no loans classified as held-for-sale as of December 31, 2025 and 2024. Refer to Note 4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Loans held at fair value</w:t>
      </w:r>
    </w:p>
    <w:p>
      <w:pPr>
        <w:spacing w:after="0" w:line="19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The Company generally holds its loans at amortized cost as long-term investments, but may occasionally carry certain of its loans at fair value as elected on an instrument by instrument basis. Investments in loans at fair value are carried at fair value on the Company’s consolidated balance sheets, with changes in fair value recorded in change in unrealized (loss) gain on investments in the consolidated statement of operations. Refer to Notes 5 and 14 for more information on the valuations of such investments.</w:t>
      </w:r>
    </w:p>
    <w:p>
      <w:pPr>
        <w:spacing w:after="0" w:line="153"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Upfront costs and fees, such as origination, commitment, underwriting and structuring fees related to items for which the fair value option is elected, are recognized in earnings as incurred and not deferred.</w:t>
      </w:r>
    </w:p>
    <w:p>
      <w:pPr>
        <w:sectPr>
          <w:pgSz w:w="12240" w:h="15840" w:orient="portrait"/>
          <w:cols w:equalWidth="0" w:num="1">
            <w:col w:w="10640"/>
          </w:cols>
          <w:pgMar w:left="800" w:top="1009" w:right="800" w:bottom="254"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640"/>
          </w:cols>
          <w:pgMar w:left="800" w:top="1009" w:right="800" w:bottom="254" w:gutter="0" w:footer="0" w:header="0"/>
          <w:type w:val="continuous"/>
        </w:sectPr>
      </w:pPr>
    </w:p>
    <w:bookmarkStart w:id="109" w:name="page110"/>
    <w:bookmarkEnd w:id="109"/>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Current Expected Credit Losses</w:t>
      </w:r>
    </w:p>
    <w:p>
      <w:pPr>
        <w:spacing w:after="0" w:line="193" w:lineRule="exact"/>
        <w:rPr>
          <w:sz w:val="20"/>
          <w:szCs w:val="20"/>
          <w:color w:val="auto"/>
        </w:rPr>
      </w:pPr>
    </w:p>
    <w:p>
      <w:pPr>
        <w:jc w:val="both"/>
        <w:ind w:left="1" w:firstLine="355"/>
        <w:spacing w:after="0" w:line="239" w:lineRule="auto"/>
        <w:rPr>
          <w:sz w:val="20"/>
          <w:szCs w:val="20"/>
          <w:color w:val="auto"/>
        </w:rPr>
      </w:pPr>
      <w:r>
        <w:rPr>
          <w:rFonts w:ascii="Times New Roman" w:cs="Times New Roman" w:eastAsia="Times New Roman" w:hAnsi="Times New Roman"/>
          <w:sz w:val="20"/>
          <w:szCs w:val="20"/>
          <w:color w:val="auto"/>
        </w:rPr>
        <w:t xml:space="preserve">The Company measures current expected credit losses (“CECL”) for loans held for investment at the end of each reporting period based on Accounting Standards Codification ("ASC") Topic 326, </w:t>
      </w:r>
      <w:r>
        <w:rPr>
          <w:rFonts w:ascii="Times New Roman" w:cs="Times New Roman" w:eastAsia="Times New Roman" w:hAnsi="Times New Roman"/>
          <w:sz w:val="20"/>
          <w:szCs w:val="20"/>
          <w:i w:val="1"/>
          <w:iCs w:val="1"/>
          <w:color w:val="auto"/>
        </w:rPr>
        <w:t>Financial Instruments – Credit Losses (“ASC 326”)</w:t>
      </w:r>
      <w:r>
        <w:rPr>
          <w:rFonts w:ascii="Times New Roman" w:cs="Times New Roman" w:eastAsia="Times New Roman" w:hAnsi="Times New Roman"/>
          <w:sz w:val="20"/>
          <w:szCs w:val="20"/>
          <w:color w:val="auto"/>
        </w:rPr>
        <w:t>. The Company estimates its current expected credit loss reserve (“CECL Reserve”) on both the outstanding balances and unfunded commitments on loans held for investment and requires consideration of a broader range of historical experience adjusted for current conditions and reasonable and supportable forecast information to inform the CECL Reserve using a model that considers multiple datapoints and methodologies that may include the probability of default and expected loss given default for each individual loan, discounted cash flows (“DCF”), and other inputs which may include the risk rating of the loan, how recently the loan was originated compared to the measurement date, and expected prepayment if applicable. Calculation of the CECL Reserve requires loan specific data, which may include base information about the loan terms and other information about the borrower including but not limited to; fixed charge coverage ratio, loan-to-value, property type and geographic location. Estimating the CECL Reserve also requires significant judgment with respect to various factors, including but not limited to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 In order to estimate the future expected loan losses relevant to the Company’s portfolio, the Company may consider historical market loan loss data provided by a third-party data service. The third party’s loan database includes historical loss data for commercial mortgage-backed securities (“CMBS”), which the Company believes is a reasonably comparable and available data set to its type of loans. See Note 3 of these consolidated financial statements for CECL related disclosures.</w:t>
      </w:r>
    </w:p>
    <w:p>
      <w:pPr>
        <w:spacing w:after="0" w:line="162" w:lineRule="exact"/>
        <w:rPr>
          <w:sz w:val="20"/>
          <w:szCs w:val="20"/>
          <w:color w:val="auto"/>
        </w:rPr>
      </w:pPr>
    </w:p>
    <w:p>
      <w:pPr>
        <w:jc w:val="both"/>
        <w:ind w:left="1" w:firstLine="355"/>
        <w:spacing w:after="0" w:line="246" w:lineRule="auto"/>
        <w:rPr>
          <w:sz w:val="20"/>
          <w:szCs w:val="20"/>
          <w:color w:val="auto"/>
        </w:rPr>
      </w:pPr>
      <w:r>
        <w:rPr>
          <w:rFonts w:ascii="Times New Roman" w:cs="Times New Roman" w:eastAsia="Times New Roman" w:hAnsi="Times New Roman"/>
          <w:sz w:val="20"/>
          <w:szCs w:val="20"/>
          <w:color w:val="auto"/>
        </w:rPr>
        <w:t xml:space="preserve">Subsequent period increases and decreases to expected credit losses impact earnings and are recorded within the (benefit) provision for current expected credit losses in the Company’s consolidated statements of operations. The CECL Reserve related to outstanding balances on loans held for investment is a valuation account that is deducted from the amortized cost basis of the Company’s loans held for investment in the Company’s consolidated balance sheets. The CECL Reserve related to unfunded commitments on loans held for investment is recorded within accounts payable and other liabilities on the Company’s consolidated balance sheets. </w:t>
      </w:r>
      <w:r>
        <w:rPr>
          <w:rFonts w:ascii="Times New Roman" w:cs="Times New Roman" w:eastAsia="Times New Roman" w:hAnsi="Times New Roman"/>
          <w:sz w:val="19"/>
          <w:szCs w:val="19"/>
          <w:color w:val="auto"/>
        </w:rPr>
        <w:t>The Company has made an accounting policy election to exclude accrued interest receivable from the amortized cost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basis of the related loans held for investment in determining the CECL Reserve, as any uncollectible accrued interest receivable, if deemed to be uncollectible, will be written off timely with any previously accrued uncollected interest on the loan charged to interest income in the same period.</w:t>
      </w:r>
    </w:p>
    <w:p>
      <w:pPr>
        <w:spacing w:after="0" w:line="1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93" w:lineRule="exact"/>
        <w:rPr>
          <w:sz w:val="20"/>
          <w:szCs w:val="20"/>
          <w:color w:val="auto"/>
        </w:rPr>
      </w:pPr>
    </w:p>
    <w:p>
      <w:pPr>
        <w:jc w:val="both"/>
        <w:ind w:left="1" w:firstLine="355"/>
        <w:spacing w:after="0" w:line="242" w:lineRule="auto"/>
        <w:rPr>
          <w:sz w:val="20"/>
          <w:szCs w:val="20"/>
          <w:color w:val="auto"/>
        </w:rPr>
      </w:pPr>
      <w:r>
        <w:rPr>
          <w:rFonts w:ascii="Times New Roman" w:cs="Times New Roman" w:eastAsia="Times New Roman" w:hAnsi="Times New Roman"/>
          <w:sz w:val="20"/>
          <w:szCs w:val="20"/>
          <w:color w:val="auto"/>
        </w:rPr>
        <w:t>The Company may occasionally report selected financial assets and liabilities at fair value. The Company defines fair value as the price that would be received to sell an asset or paid to transfer a liability in an orderly transaction between market participants at the measurement date. Fair value measurement assumes that the transaction to sell the asset or transfer the liability takes place either in the principal market for the asset or liability, or, in the absence of a principal market, in the most advantageous market for the asset or liability. The Company discloses the fair value of its financial assets and liabilities based on observable market information where available or on market participant assumptions. These assumptions are subjective in nature and involve matters of judgment and, therefore, fair values cannot always be determined with precision. When determining fair value, the Company maximizes the use of observable inputs and minimizes the use of unobservable inputs. The three levels of the fair value hierarchy are as follows:</w:t>
      </w:r>
    </w:p>
    <w:p>
      <w:pPr>
        <w:spacing w:after="0" w:line="168" w:lineRule="exact"/>
        <w:rPr>
          <w:sz w:val="20"/>
          <w:szCs w:val="20"/>
          <w:color w:val="auto"/>
        </w:rPr>
      </w:pPr>
    </w:p>
    <w:p>
      <w:pPr>
        <w:ind w:left="361" w:right="80" w:hanging="361"/>
        <w:spacing w:after="0" w:line="263" w:lineRule="auto"/>
        <w:tabs>
          <w:tab w:leader="none" w:pos="361"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Level 1—Valuations based on quoted prices in active markets for identical assets or liabilities that the Company has the ability to access.</w:t>
      </w:r>
    </w:p>
    <w:p>
      <w:pPr>
        <w:spacing w:after="0" w:line="143" w:lineRule="exact"/>
        <w:rPr>
          <w:rFonts w:ascii="Arial" w:cs="Arial" w:eastAsia="Arial" w:hAnsi="Arial"/>
          <w:sz w:val="20"/>
          <w:szCs w:val="20"/>
          <w:color w:val="auto"/>
        </w:rPr>
      </w:pPr>
    </w:p>
    <w:p>
      <w:pPr>
        <w:ind w:left="361" w:right="40" w:hanging="361"/>
        <w:spacing w:after="0" w:line="263" w:lineRule="auto"/>
        <w:tabs>
          <w:tab w:leader="none" w:pos="361"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Level 2—Valuations based on quoted prices in markets that are not active or for which all significant inputs are observable, either directly or indirectly.</w:t>
      </w:r>
    </w:p>
    <w:p>
      <w:pPr>
        <w:spacing w:after="0" w:line="143" w:lineRule="exact"/>
        <w:rPr>
          <w:rFonts w:ascii="Arial" w:cs="Arial" w:eastAsia="Arial" w:hAnsi="Arial"/>
          <w:sz w:val="20"/>
          <w:szCs w:val="20"/>
          <w:color w:val="auto"/>
        </w:rPr>
      </w:pPr>
    </w:p>
    <w:p>
      <w:pPr>
        <w:ind w:left="361" w:hanging="361"/>
        <w:spacing w:after="0"/>
        <w:tabs>
          <w:tab w:leader="none" w:pos="361"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Level 3—Valuations based on inputs that are unobservable and significant to the overall fair value measurement.</w:t>
      </w:r>
    </w:p>
    <w:p>
      <w:pPr>
        <w:spacing w:after="0" w:line="193" w:lineRule="exact"/>
        <w:rPr>
          <w:sz w:val="20"/>
          <w:szCs w:val="20"/>
          <w:color w:val="auto"/>
        </w:rPr>
      </w:pPr>
    </w:p>
    <w:p>
      <w:pPr>
        <w:jc w:val="both"/>
        <w:ind w:left="1" w:firstLine="355"/>
        <w:spacing w:after="0" w:line="255" w:lineRule="auto"/>
        <w:rPr>
          <w:sz w:val="20"/>
          <w:szCs w:val="20"/>
          <w:color w:val="auto"/>
        </w:rPr>
      </w:pPr>
      <w:r>
        <w:rPr>
          <w:rFonts w:ascii="Times New Roman" w:cs="Times New Roman" w:eastAsia="Times New Roman" w:hAnsi="Times New Roman"/>
          <w:sz w:val="20"/>
          <w:szCs w:val="20"/>
          <w:color w:val="auto"/>
        </w:rPr>
        <w:t>If inputs used to measure fair value fall into different levels of the fair value hierarchy, a loan’s level is based on the lowest level of input that is significant to the fair value measurement. The Company’s assessment of the significance of a particular input to the fair value measurement in its entirety requires judgment and considers factors specific to the instrument being measured.</w:t>
      </w:r>
    </w:p>
    <w:p>
      <w:pPr>
        <w:spacing w:after="0" w:line="147" w:lineRule="exact"/>
        <w:rPr>
          <w:sz w:val="20"/>
          <w:szCs w:val="20"/>
          <w:color w:val="auto"/>
        </w:rPr>
      </w:pPr>
    </w:p>
    <w:p>
      <w:pPr>
        <w:jc w:val="both"/>
        <w:ind w:left="1" w:firstLine="355"/>
        <w:spacing w:after="0" w:line="299" w:lineRule="auto"/>
        <w:rPr>
          <w:sz w:val="20"/>
          <w:szCs w:val="20"/>
          <w:color w:val="auto"/>
        </w:rPr>
      </w:pPr>
      <w:r>
        <w:rPr>
          <w:rFonts w:ascii="Times New Roman" w:cs="Times New Roman" w:eastAsia="Times New Roman" w:hAnsi="Times New Roman"/>
          <w:sz w:val="19"/>
          <w:szCs w:val="19"/>
          <w:color w:val="auto"/>
        </w:rPr>
        <w:t>In cases where quoted market prices are not available, fair values are based upon the application of discount rates to estimated future cash flows using market yields, or other valuation methodologies. Any changes to the valuation methodology will be reviewed</w:t>
      </w:r>
    </w:p>
    <w:p>
      <w:pPr>
        <w:sectPr>
          <w:pgSz w:w="12240" w:h="15840" w:orient="portrait"/>
          <w:cols w:equalWidth="0" w:num="1">
            <w:col w:w="10641"/>
          </w:cols>
          <w:pgMar w:left="799" w:top="1011" w:right="800" w:bottom="266"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641"/>
          </w:cols>
          <w:pgMar w:left="799" w:top="1011" w:right="800" w:bottom="266" w:gutter="0" w:footer="0" w:header="0"/>
          <w:type w:val="continuous"/>
        </w:sectPr>
      </w:pPr>
    </w:p>
    <w:bookmarkStart w:id="110" w:name="page111"/>
    <w:bookmarkEnd w:id="110"/>
    <w:p>
      <w:pPr>
        <w:jc w:val="both"/>
        <w:spacing w:after="0" w:line="244" w:lineRule="auto"/>
        <w:rPr>
          <w:sz w:val="20"/>
          <w:szCs w:val="20"/>
          <w:color w:val="auto"/>
        </w:rPr>
      </w:pPr>
      <w:r>
        <w:rPr>
          <w:rFonts w:ascii="Times New Roman" w:cs="Times New Roman" w:eastAsia="Times New Roman" w:hAnsi="Times New Roman"/>
          <w:sz w:val="20"/>
          <w:szCs w:val="20"/>
          <w:color w:val="auto"/>
        </w:rPr>
        <w:t>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1"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The Company accounts for stock-based compensation issued to employees of the Manager and its affiliates and the members of the Board pursuant to an equity incentive compensation plan, titled the 2021 Omnibus Incentive Plan (the “2021 Plan”) at the date of grant based on the fair value of the award and recognizes the cost over the service period, which is usually the vesting period. Forfeitures are recognized as they occur. The fair value of equity-based compensation awards is based on the estimated fair value of the Company’s common stock, based on the Company’s stock price on grant date, and approved by the Board. Fair values of award grants also recognize any ongoing restrictions on the sale of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Issuance Costs</w:t>
      </w:r>
    </w:p>
    <w:p>
      <w:pPr>
        <w:spacing w:after="0" w:line="191" w:lineRule="exact"/>
        <w:rPr>
          <w:sz w:val="20"/>
          <w:szCs w:val="20"/>
          <w:color w:val="auto"/>
        </w:rPr>
      </w:pPr>
    </w:p>
    <w:p>
      <w:pPr>
        <w:jc w:val="both"/>
        <w:ind w:firstLine="355"/>
        <w:spacing w:after="0" w:line="299" w:lineRule="auto"/>
        <w:rPr>
          <w:sz w:val="20"/>
          <w:szCs w:val="20"/>
          <w:color w:val="auto"/>
        </w:rPr>
      </w:pPr>
      <w:r>
        <w:rPr>
          <w:rFonts w:ascii="Times New Roman" w:cs="Times New Roman" w:eastAsia="Times New Roman" w:hAnsi="Times New Roman"/>
          <w:sz w:val="19"/>
          <w:szCs w:val="19"/>
          <w:color w:val="auto"/>
        </w:rPr>
        <w:t>Debt issuance costs on the Revolving Loan are capitalized and amortized over the term on a straight-line basis. Unamortized debt issuance costs on the Company's Revolving Loan are included in other receivables and assets, net, on the consolidated balance sheets.</w:t>
      </w:r>
    </w:p>
    <w:p>
      <w:pPr>
        <w:spacing w:after="0" w:line="108"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Debt issuance costs relating to the Notes Payable are recorded as a direct reduction to the face value of the Notes Payable on the consolidated balance sheets and are amortized over the term using the effective interest method.</w:t>
      </w:r>
    </w:p>
    <w:p>
      <w:pPr>
        <w:spacing w:after="0" w:line="131"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Unamortized debt issuance costs are subsequently expensed if the associated debt instrument is repaid prior to maturity. Amortization of debt issuance costs is reported as interest expense in the consolidated statements of operations. See Note 8 of these consolidated financial statements for further consideration.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Offering Costs</w:t>
      </w:r>
    </w:p>
    <w:p>
      <w:pPr>
        <w:spacing w:after="0" w:line="193"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Costs associated with the offering of common shares of the Company including, but not limited to legal, accounting, printing, filing fees, and other fees incurred directly related to the offering, are capitalized as incurred. Deferred offering costs are charged to additional paid-in-capital upon the completion of an offering or ratably as securities relating to a shelf offering are sold. Should an offering of the authorized common stock of the Company prove to be unsuccessful, these deferred costs, as well as additional expenses to be incurred, will be charged to operations. Deferred offering costs are included in the line item, Other receivables and assets, net within the consolidated balance sheets in the amount of $132,044 and $136,143 as of December 31, 2025 and 2024,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9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Interest income from loans is accrued based on the outstanding principal amount and the contractual terms of each loan. Loan origination fees and costs, and other discounts or premiums (collectively, “OID”) are recorded as an adjustment to the amortized cost basis of the loan and are accreted or amortized to interest income over the initial loan term as a yield adjustment using a method which approximates the effective interest method. Delayed draw loans may earn interest or unused fees on the undrawn portion of the loan, which is recognized as interest income in the period earned.</w:t>
      </w:r>
    </w:p>
    <w:p>
      <w:pPr>
        <w:spacing w:after="0" w:line="156"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Certain of the Company’s loans contain a paid-in-kind interest income provision (“PIK interest”). The PIK interest, computed at the contractual rate specified in the applicable loan agreement, is added to the principal balance of the loan, rather than being paid in cash, and is generally collected upon repayment of the outstanding principal. Recognition of PIK interest includes assessments of collectability and may discontinue accrual of interest income, including PIK interest, when there is reasonable doubt that the interest income will be collected. To the extent required to maintain the Company’s status as a REIT, and/or to avoid incurring an excise tax, accrued income such as this may need to be distributed to stockholders in the form of dividends for the year earned, even though the Company has not yet collected the cash.</w:t>
      </w:r>
    </w:p>
    <w:p>
      <w:pPr>
        <w:spacing w:after="0" w:line="159"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Interest income on debt securities designated as trading securities is recognized on an accrual basis and is reported as interest receivable until collected. Interest income is accrued based on the outstanding face amount and the contractual terms of the securities. Realized gains or losses on debt securities are measured by the difference between the net proceeds from the disposition and the amortized and/or accreted cost basis of the investment using the specific identification method without regard to unrealized gains or losses previously recognized, and include loans charged off during the period, net of recoveries.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2240" w:h="15840" w:orient="portrait"/>
          <w:cols w:equalWidth="0" w:num="1">
            <w:col w:w="10640"/>
          </w:cols>
          <w:pgMar w:left="800" w:top="1009" w:right="800" w:bottom="254"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i w:val="1"/>
          <w:iCs w:val="1"/>
          <w:color w:val="auto"/>
        </w:rPr>
        <w:t>Non-Accrual</w:t>
      </w:r>
    </w:p>
    <w:p>
      <w:pPr>
        <w:spacing w:after="0" w:line="193" w:lineRule="exact"/>
        <w:rPr>
          <w:sz w:val="20"/>
          <w:szCs w:val="20"/>
          <w:color w:val="auto"/>
        </w:rPr>
      </w:pPr>
    </w:p>
    <w:p>
      <w:pPr>
        <w:jc w:val="both"/>
        <w:ind w:firstLine="355"/>
        <w:spacing w:after="0" w:line="259" w:lineRule="auto"/>
        <w:rPr>
          <w:sz w:val="20"/>
          <w:szCs w:val="20"/>
          <w:color w:val="auto"/>
        </w:rPr>
      </w:pPr>
      <w:r>
        <w:rPr>
          <w:rFonts w:ascii="Times New Roman" w:cs="Times New Roman" w:eastAsia="Times New Roman" w:hAnsi="Times New Roman"/>
          <w:sz w:val="19"/>
          <w:szCs w:val="19"/>
          <w:color w:val="auto"/>
        </w:rPr>
        <w:t>Loans are generally placed on non-accrual status when principal or interest payments are past due 90 days or more or when there is reasonable doubt about the full recovery of principal and interest. Accrued and unpaid interest is generally reversed against interest income in the period the loan is placed on non-accrual status. Interest payments received on non-accrual loans may be recognized as income or applied to principal depending upon management’s judgment regarding the borrower’s ability to make pending principal and interest payments. Non-accrual loans are restored to accrual status when principal and interest payments are brought current, the borrower demonstrates sustained repayment performance, and/or the loan becomes well secured and is in the process of collection.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Fee Income</w:t>
      </w:r>
    </w:p>
    <w:p>
      <w:pPr>
        <w:spacing w:after="0" w:line="19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Other fees, including prepayment fees and exit or success fees, are recognized as interest income when received. From time to time, the Company may also receive fees for underwriting, syndication, arranging, or other types of fees (collectively "Structuring Fees") in the course of origination of its investments. To the extent such fees are not deemed to be yield enhancements and are not paid to all lenders in the syndication, such Structuring Fees are recognized in interest income when received.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Realized and Unrealized Gains and Losses</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Realized gains or losses are measured by the difference between the net proceeds from the repayment or sale and the amortized and/or accreted cost basis of the investment using the specific identification method without regard to unrealized gains or losses previously recognized, and include loans charged off during the period, net of recoveries. An unrealized gain arises when the value of the loan portfolio exceeds its cost and an unrealized loss arises when the value of the loan portfolio is less than its cost. The change in unrealized gains or losses primarily reflect the change in loan values, including the reversal of previously recorded unrealized gains or losses when gains or losses are realized.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party receivables</w:t>
      </w:r>
    </w:p>
    <w:p>
      <w:pPr>
        <w:spacing w:after="0" w:line="19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Related party receivables represent interest and principal payments received from borrowers by the Company’s affiliated loan administrative agent prior to the balance sheet date that were not remitted to the Company until subsequent to the balance sheet date. The related party receivables as of December 31, 2025 were collected in January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Reserves</w:t>
      </w:r>
    </w:p>
    <w:p>
      <w:pPr>
        <w:spacing w:after="0" w:line="193"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The Company utilizes interest reserves on certain loans which are applied to future interest payments. Such reserves are established at the time of loan origination. The interest reserve is recorded as a liability as it represents unearned interest revenue. The interest reserve is relieved when the interest on the loan is earned, and interest income is recorded in the period when the interest is earned in accordance with the credit agreement. The interest payment is deducted from the interest reserve deposit balance on the date when the interest payment is due. The decision to establish an interest reserve is made during the underwriting process and considers the creditworthiness and expertise of the borrower, the feasibility of the project, and the debt coverage provided by the real estate and other pledged collateral. It is the Company’s policy to recognize income for this interest component as long as the borrower is progressing as originally projected and if there has been no deterioration in the financial condition of the borrower or the underlying project. The Company’s standard accounting policies for interest income recognition are applied to all loans, including those with interest reserves.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193" w:lineRule="exact"/>
        <w:rPr>
          <w:sz w:val="20"/>
          <w:szCs w:val="20"/>
          <w:color w:val="auto"/>
        </w:rPr>
      </w:pPr>
    </w:p>
    <w:p>
      <w:pPr>
        <w:jc w:val="both"/>
        <w:ind w:firstLine="355"/>
        <w:spacing w:after="0" w:line="273" w:lineRule="auto"/>
        <w:rPr>
          <w:sz w:val="20"/>
          <w:szCs w:val="20"/>
          <w:color w:val="auto"/>
        </w:rPr>
      </w:pPr>
      <w:r>
        <w:rPr>
          <w:rFonts w:ascii="Times New Roman" w:cs="Times New Roman" w:eastAsia="Times New Roman" w:hAnsi="Times New Roman"/>
          <w:sz w:val="20"/>
          <w:szCs w:val="20"/>
          <w:color w:val="auto"/>
        </w:rPr>
        <w:t>Interest expense, in accordance with the Company’s financing agreements, is recorded on an accrual basis. General and administrative expenses, including professional fees, are expensed as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The Company is a Maryland corporation and has elected to be taxed as a REIT under the Code, commencing with its taxable year ended December 31, 2021. The Company believes that it has qualified as a REIT and that its method of operation will enable it to continue to qualify as a REIT. However, no assurances can be given that the Company’s beliefs or expectations will be fulfilled, since qualification as a REIT depends on the Company satisfying numerous asset, income and distribution tests which depends, in part, on the Company’s operating results. To qualify as a REIT, the Company must meet a number of organizational and operational requirements, including various income, asset, and distribution tests.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Tests</w:t>
      </w:r>
    </w:p>
    <w:p>
      <w:pPr>
        <w:sectPr>
          <w:pgSz w:w="12240" w:h="15840" w:orient="portrait"/>
          <w:cols w:equalWidth="0" w:num="1">
            <w:col w:w="10640"/>
          </w:cols>
          <w:pgMar w:left="800" w:top="1011"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0640"/>
          </w:cols>
          <w:pgMar w:left="800" w:top="1011" w:right="800" w:bottom="266" w:gutter="0" w:footer="0" w:header="0"/>
          <w:type w:val="continuous"/>
        </w:sectPr>
      </w:pPr>
    </w:p>
    <w:bookmarkStart w:id="112" w:name="page113"/>
    <w:bookmarkEnd w:id="112"/>
    <w:p>
      <w:pPr>
        <w:jc w:val="both"/>
        <w:ind w:firstLine="355"/>
        <w:spacing w:after="0"/>
        <w:rPr>
          <w:sz w:val="20"/>
          <w:szCs w:val="20"/>
          <w:color w:val="auto"/>
        </w:rPr>
      </w:pPr>
      <w:r>
        <w:rPr>
          <w:rFonts w:ascii="Times New Roman" w:cs="Times New Roman" w:eastAsia="Times New Roman" w:hAnsi="Times New Roman"/>
          <w:sz w:val="20"/>
          <w:szCs w:val="20"/>
          <w:color w:val="auto"/>
        </w:rPr>
        <w:t>In order to maintain our REIT qualification,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investments relating to real property or mortgages on real property, including interest income derived from mortgage loans secured by real property (including certain types of mortgage-backed securities), rents from real property, dividends received from other REITs, and gains from the sale of designated real estate assets, as well as,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 Tests</w:t>
      </w:r>
    </w:p>
    <w:p>
      <w:pPr>
        <w:spacing w:after="0" w:line="19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19"/>
          <w:szCs w:val="19"/>
          <w:color w:val="auto"/>
        </w:rPr>
        <w:t>At the close of each calendar quarter, we must also satisfy five tests relating to the nature of our assets. First, at least 75% of the value of our total assets must be represented by some combination of designated real estate assets, cash, cash items, U.S. Government securities and, under some circumstances, stock or debt instruments purchased with new capital. Second, the value of any one issuer’s securities that we own may not exceed 5% of the value of our total assets. Third, we may not own more than 10% of any one issuer’s outstanding securities, as measured by either value (the "10% of value asset test") or voting power. The 5% and 10% asset tests do not apply to securities that qualify under the 75% asset test or to securities of a TRS and qualified REIT subsidiaries, and the 10% of value asset test does not apply to "straight debt" having specified characteristics and to certain other securities. Fourth, the aggregate value of all securities of TRSs that we hold may not exceed 20% of the value of our total assets. 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Distribution Tests</w:t>
      </w:r>
    </w:p>
    <w:p>
      <w:pPr>
        <w:spacing w:after="0" w:line="193" w:lineRule="exact"/>
        <w:rPr>
          <w:sz w:val="20"/>
          <w:szCs w:val="20"/>
          <w:color w:val="auto"/>
        </w:rPr>
      </w:pPr>
    </w:p>
    <w:p>
      <w:pPr>
        <w:jc w:val="both"/>
        <w:ind w:firstLine="404"/>
        <w:spacing w:after="0" w:line="253" w:lineRule="auto"/>
        <w:rPr>
          <w:sz w:val="20"/>
          <w:szCs w:val="20"/>
          <w:color w:val="auto"/>
        </w:rPr>
      </w:pPr>
      <w:r>
        <w:rPr>
          <w:rFonts w:ascii="Times New Roman" w:cs="Times New Roman" w:eastAsia="Times New Roman" w:hAnsi="Times New Roman"/>
          <w:sz w:val="19"/>
          <w:szCs w:val="19"/>
          <w:color w:val="auto"/>
        </w:rPr>
        <w:t>The Company is required to distribute annually to its stockholders,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if the Company distributes less than the sum of 1) 85% of its ordinary income for the calendar year, 2) 95% of its capital gain net income for the calendar year, and 3) any undistributed shortfall from its prior calendar year (the “Required Distribution”) to its stockholders during any calendar year (including any distributions declared by the last day of the calendar year but paid in the subsequent year), then it is required to pay a non-deductible excise tax equal to 4% of any shortfall between the Required Distribution and the amount that was actually distributed. The 90% distribution requirement does not require the distribution of net capital gains. However, if the Company elects to retain any of its net capital gain for any tax year, it must notify its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and receive an income tax credit for such amount. Furthermore, such retained capital gain may be subject to the nondeductible 4% excise tax. If it is determined that the Company’s estimated current year taxable income will be in excess of estimated dividend distributions (including capital gain dividend) for the current year from such income, the Company accrues excise tax on estimated excess taxable income as such taxable income is earned. The annual expense is calculated in accordance with applicable tax regulations.</w:t>
      </w:r>
    </w:p>
    <w:p>
      <w:pPr>
        <w:spacing w:after="0" w:line="151"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The Financial Accounting Standards Board (“FASB”) ASC Topic 740,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documented and supported as of December 31, 2025 and 2024. Based on the Company’s evaluation, there is no reserve for any uncertain income tax positions. Accrued interest and penalties, if any, are included within other liabilities in the consolidated balance sheets and within income tax expense on the consolidated statements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per Share</w:t>
      </w:r>
    </w:p>
    <w:p>
      <w:pPr>
        <w:spacing w:after="0" w:line="19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Company calculates basic earnings / (loss) per share by dividing net income / (loss) allocable to common stockholders for the period by the weighted average shares of common stock outstanding for that period. Diluted earnings / (loss) per share takes into effect any dilutive instruments using the treasury stock method, except when doing so would be anti-dilutive. As of December 31, 2025 and 2024, there were dilutive instruments relating to restricted stock awards granted in connection with the 2021 Plan. See Note 12 included in these consolidated financial statements for the earnings per share calculations.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2240" w:h="15840" w:orient="portrait"/>
          <w:cols w:equalWidth="0" w:num="1">
            <w:col w:w="10640"/>
          </w:cols>
          <w:pgMar w:left="800" w:top="1009" w:right="800" w:bottom="254"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19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In accordance with ASC Topic 280: Segment Reporting ("ASC 280"), the Company has determined that it has a single operating segment. As a result, the Company's segment accounting policies are the same as described herein and the Company does not have any intra-segment sales nor transfer of assets. Refer to Note 15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93"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 xml:space="preserve">In November 2024, the Financial Accounting Standards Board ("FASB") issued Accounting Standards Update ("ASU") 2024-03, </w:t>
      </w:r>
      <w:r>
        <w:rPr>
          <w:rFonts w:ascii="Times New Roman" w:cs="Times New Roman" w:eastAsia="Times New Roman" w:hAnsi="Times New Roman"/>
          <w:sz w:val="20"/>
          <w:szCs w:val="20"/>
          <w:i w:val="1"/>
          <w:iCs w:val="1"/>
          <w:color w:val="auto"/>
        </w:rPr>
        <w:t xml:space="preserve">Income Statement - Reporting Comprehensive Income - Expense Disaggregation Disclosures </w:t>
      </w:r>
      <w:r>
        <w:rPr>
          <w:rFonts w:ascii="Times New Roman" w:cs="Times New Roman" w:eastAsia="Times New Roman" w:hAnsi="Times New Roman"/>
          <w:sz w:val="20"/>
          <w:szCs w:val="20"/>
          <w:color w:val="auto"/>
        </w:rPr>
        <w:t>("ASC 2024-03"), which requires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disaggregated disclosures of certain costs and expenses, including purchases of inventory, employee compensation, depreciation, amortization and depletion, within relevant income statement captions. ASU 2024-03 is effective for fiscal years beginning after December 15, 2025, and interim periods beginning with the first quarter ended March 31, 2028. Early adoption and retrospective application is permitted. The Company is currently evaluating the impact of this guidance on the Company's future consolidated financial statements.</w:t>
      </w:r>
    </w:p>
    <w:p>
      <w:pPr>
        <w:spacing w:after="0" w:line="159"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 xml:space="preserve">In November 2025, the FASB issued ASU 2025-08, </w:t>
      </w:r>
      <w:r>
        <w:rPr>
          <w:rFonts w:ascii="Times New Roman" w:cs="Times New Roman" w:eastAsia="Times New Roman" w:hAnsi="Times New Roman"/>
          <w:sz w:val="20"/>
          <w:szCs w:val="20"/>
          <w:i w:val="1"/>
          <w:iCs w:val="1"/>
          <w:color w:val="auto"/>
        </w:rPr>
        <w:t>Financial Instruments—Credit Losses (Topic 326): Accounting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Purchased Loans</w:t>
      </w:r>
      <w:r>
        <w:rPr>
          <w:rFonts w:ascii="Times New Roman" w:cs="Times New Roman" w:eastAsia="Times New Roman" w:hAnsi="Times New Roman"/>
          <w:sz w:val="20"/>
          <w:szCs w:val="20"/>
          <w:color w:val="auto"/>
        </w:rPr>
        <w:t>. This ASU clarifies the accounting for certain purchased loans by requiring entities to recognize an allowance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credit losses at the time of purchase for loans that do not qualify as purchased credit-deteriorated assets. The guidance also clarifies the measurement and presentation of the allowance for credit losses and related interest income recognition for such purchased loans. ASU 2025-08 is effective for fiscal years beginning after December 15, 2026, including interim periods within those fiscal years. Early adoption is permitted. The ASU is required to be applied prospectively. The Company is currently evaluating the impact of the adoption of ASU 2025-08 on its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-877570</wp:posOffset>
            </wp:positionV>
            <wp:extent cx="6788785" cy="721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a:extLst>
                        <a:ext uri="{28A0092B-C50C-407E-A947-70E740481C1C}"/>
                      </a:extLst>
                    </a:blip>
                    <a:srcRect/>
                    <a:stretch>
                      <a:fillRect/>
                    </a:stretch>
                  </pic:blipFill>
                  <pic:spPr bwMode="auto">
                    <a:xfrm>
                      <a:off x="0" y="0"/>
                      <a:ext cx="6788785" cy="72199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LOANS HELD FOR INVESTMENT, NET</w:t>
      </w:r>
    </w:p>
    <w:p>
      <w:pPr>
        <w:spacing w:after="0" w:line="199"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The Company primarily originates senior secured loans that it has the intent and ability to hold until maturity or payoff. Such loans are classified as held for investment and are reported on the consolidated balance sheets at amortized cost. Our loans bear interest rates that are either fixed or determined periodically on the basis of U.S. Prime Rate (“Prime”) or Secured Overnight Financing Rate (“SOFR”) plus a premium. Loans which bear interest on either Prime or SOFR are collectively referred to as "Floating-rate loans". The following tables present summarized information regarding our loans held for investment by interest rate type as of December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restart"/>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Total Principal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300"/>
              <w:spacing w:after="0" w:line="212" w:lineRule="exact"/>
              <w:rPr>
                <w:sz w:val="20"/>
                <w:szCs w:val="20"/>
                <w:color w:val="auto"/>
              </w:rPr>
            </w:pPr>
            <w:r>
              <w:rPr>
                <w:rFonts w:ascii="Times New Roman" w:cs="Times New Roman" w:eastAsia="Times New Roman" w:hAnsi="Times New Roman"/>
                <w:sz w:val="20"/>
                <w:szCs w:val="20"/>
                <w:b w:val="1"/>
                <w:bCs w:val="1"/>
                <w:color w:val="auto"/>
                <w:w w:val="99"/>
              </w:rPr>
              <w:t>Original Issue</w:t>
            </w:r>
          </w:p>
        </w:tc>
        <w:tc>
          <w:tcPr>
            <w:tcW w:w="180" w:type="dxa"/>
            <w:vAlign w:val="bottom"/>
          </w:tcPr>
          <w:p>
            <w:pPr>
              <w:spacing w:after="0"/>
              <w:rPr>
                <w:sz w:val="18"/>
                <w:szCs w:val="18"/>
                <w:color w:val="auto"/>
              </w:rPr>
            </w:pPr>
          </w:p>
        </w:tc>
        <w:tc>
          <w:tcPr>
            <w:tcW w:w="166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120" w:type="dxa"/>
            <w:vAlign w:val="bottom"/>
          </w:tcPr>
          <w:p>
            <w:pPr>
              <w:spacing w:after="0"/>
              <w:rPr>
                <w:sz w:val="18"/>
                <w:szCs w:val="18"/>
                <w:color w:val="auto"/>
              </w:rPr>
            </w:pPr>
          </w:p>
        </w:tc>
        <w:tc>
          <w:tcPr>
            <w:tcW w:w="1860" w:type="dxa"/>
            <w:vAlign w:val="bottom"/>
          </w:tcPr>
          <w:p>
            <w:pPr>
              <w:ind w:left="100"/>
              <w:spacing w:after="0" w:line="212" w:lineRule="exact"/>
              <w:rPr>
                <w:sz w:val="20"/>
                <w:szCs w:val="20"/>
                <w:color w:val="auto"/>
              </w:rPr>
            </w:pPr>
            <w:r>
              <w:rPr>
                <w:rFonts w:ascii="Times New Roman" w:cs="Times New Roman" w:eastAsia="Times New Roman" w:hAnsi="Times New Roman"/>
                <w:sz w:val="20"/>
                <w:szCs w:val="20"/>
                <w:b w:val="1"/>
                <w:bCs w:val="1"/>
                <w:color w:val="auto"/>
              </w:rPr>
              <w:t>Percentage of loans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140" w:type="dxa"/>
            <w:vAlign w:val="bottom"/>
            <w:tcBorders>
              <w:bottom w:val="single" w:sz="8" w:color="E3E3E3"/>
            </w:tcBorders>
          </w:tcPr>
          <w:p>
            <w:pPr>
              <w:spacing w:after="0"/>
              <w:rPr>
                <w:sz w:val="21"/>
                <w:szCs w:val="21"/>
                <w:color w:val="auto"/>
              </w:rPr>
            </w:pPr>
          </w:p>
        </w:tc>
        <w:tc>
          <w:tcPr>
            <w:tcW w:w="680" w:type="dxa"/>
            <w:vAlign w:val="bottom"/>
            <w:tcBorders>
              <w:bottom w:val="single" w:sz="8" w:color="E3E3E3"/>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E3E3E3"/>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Discount</w:t>
            </w:r>
          </w:p>
        </w:tc>
        <w:tc>
          <w:tcPr>
            <w:tcW w:w="100" w:type="dxa"/>
            <w:vAlign w:val="bottom"/>
            <w:tcBorders>
              <w:bottom w:val="single" w:sz="8" w:color="E3E3E3"/>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E3E3E3"/>
            </w:tcBorders>
          </w:tcPr>
          <w:p>
            <w:pPr>
              <w:spacing w:after="0"/>
              <w:rPr>
                <w:sz w:val="21"/>
                <w:szCs w:val="21"/>
                <w:color w:val="auto"/>
              </w:rPr>
            </w:pPr>
          </w:p>
        </w:tc>
        <w:tc>
          <w:tcPr>
            <w:tcW w:w="1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held for investment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1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Fixed-rate loans</w:t>
            </w:r>
          </w:p>
        </w:tc>
        <w:tc>
          <w:tcPr>
            <w:tcW w:w="680" w:type="dxa"/>
            <w:vAlign w:val="bottom"/>
            <w:shd w:val="clear" w:color="auto" w:fill="E3E3E3"/>
          </w:tcPr>
          <w:p>
            <w:pPr>
              <w:spacing w:after="0"/>
              <w:rPr>
                <w:sz w:val="20"/>
                <w:szCs w:val="20"/>
                <w:color w:val="auto"/>
              </w:rPr>
            </w:pPr>
          </w:p>
        </w:tc>
        <w:tc>
          <w:tcPr>
            <w:tcW w:w="200" w:type="dxa"/>
            <w:vAlign w:val="bottom"/>
            <w:shd w:val="clear" w:color="auto" w:fill="E3E3E3"/>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154,680,286</w:t>
            </w:r>
          </w:p>
        </w:tc>
        <w:tc>
          <w:tcPr>
            <w:tcW w:w="12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(803,019)</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153,877,267</w:t>
            </w:r>
          </w:p>
        </w:tc>
        <w:tc>
          <w:tcPr>
            <w:tcW w:w="120" w:type="dxa"/>
            <w:vAlign w:val="bottom"/>
            <w:tcBorders>
              <w:right w:val="single" w:sz="8" w:color="E3E3E3"/>
            </w:tcBorders>
            <w:shd w:val="clear" w:color="auto" w:fill="E3E3E3"/>
          </w:tcPr>
          <w:p>
            <w:pPr>
              <w:spacing w:after="0"/>
              <w:rPr>
                <w:sz w:val="20"/>
                <w:szCs w:val="20"/>
                <w:color w:val="auto"/>
              </w:rPr>
            </w:pPr>
          </w:p>
        </w:tc>
        <w:tc>
          <w:tcPr>
            <w:tcW w:w="2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37.6%</w:t>
            </w: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Floating-rate loans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256,394,802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(1,316,502)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255,078,300</w:t>
            </w:r>
          </w:p>
        </w:tc>
        <w:tc>
          <w:tcPr>
            <w:tcW w:w="120" w:type="dxa"/>
            <w:vAlign w:val="bottom"/>
          </w:tcPr>
          <w:p>
            <w:pPr>
              <w:spacing w:after="0"/>
              <w:rPr>
                <w:sz w:val="20"/>
                <w:szCs w:val="20"/>
                <w:color w:val="auto"/>
              </w:rPr>
            </w:pPr>
          </w:p>
        </w:tc>
        <w:tc>
          <w:tcPr>
            <w:tcW w:w="2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62.4%</w:t>
            </w:r>
          </w:p>
        </w:tc>
        <w:tc>
          <w:tcPr>
            <w:tcW w:w="0" w:type="dxa"/>
            <w:vAlign w:val="bottom"/>
          </w:tcPr>
          <w:p>
            <w:pPr>
              <w:spacing w:after="0"/>
              <w:rPr>
                <w:sz w:val="1"/>
                <w:szCs w:val="1"/>
                <w:color w:val="auto"/>
              </w:rPr>
            </w:pPr>
          </w:p>
        </w:tc>
      </w:tr>
      <w:tr>
        <w:trPr>
          <w:trHeight w:val="20"/>
        </w:trPr>
        <w:tc>
          <w:tcPr>
            <w:tcW w:w="214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w:t>
            </w:r>
          </w:p>
        </w:tc>
        <w:tc>
          <w:tcPr>
            <w:tcW w:w="680" w:type="dxa"/>
            <w:vAlign w:val="bottom"/>
            <w:shd w:val="clear" w:color="auto" w:fill="E3E3E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E3E3E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E3E3E3"/>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vMerge w:val="continue"/>
            <w:shd w:val="clear" w:color="auto" w:fill="E3E3E3"/>
          </w:tcPr>
          <w:p>
            <w:pPr>
              <w:spacing w:after="0"/>
              <w:rPr>
                <w:sz w:val="20"/>
                <w:szCs w:val="20"/>
                <w:color w:val="auto"/>
              </w:rPr>
            </w:pPr>
          </w:p>
        </w:tc>
        <w:tc>
          <w:tcPr>
            <w:tcW w:w="680" w:type="dxa"/>
            <w:vAlign w:val="bottom"/>
            <w:shd w:val="clear" w:color="auto" w:fill="E3E3E3"/>
          </w:tcPr>
          <w:p>
            <w:pPr>
              <w:spacing w:after="0"/>
              <w:rPr>
                <w:sz w:val="20"/>
                <w:szCs w:val="20"/>
                <w:color w:val="auto"/>
              </w:rPr>
            </w:pPr>
          </w:p>
        </w:tc>
        <w:tc>
          <w:tcPr>
            <w:tcW w:w="200" w:type="dxa"/>
            <w:vAlign w:val="bottom"/>
            <w:shd w:val="clear" w:color="auto" w:fill="E3E3E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411,075,088</w:t>
            </w:r>
          </w:p>
        </w:tc>
        <w:tc>
          <w:tcPr>
            <w:tcW w:w="12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(2,119,521)</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408,955,567</w:t>
            </w:r>
          </w:p>
        </w:tc>
        <w:tc>
          <w:tcPr>
            <w:tcW w:w="120" w:type="dxa"/>
            <w:vAlign w:val="bottom"/>
            <w:tcBorders>
              <w:right w:val="single" w:sz="8" w:color="E3E3E3"/>
            </w:tcBorders>
            <w:shd w:val="clear" w:color="auto" w:fill="E3E3E3"/>
          </w:tcPr>
          <w:p>
            <w:pPr>
              <w:spacing w:after="0"/>
              <w:rPr>
                <w:sz w:val="20"/>
                <w:szCs w:val="20"/>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100.0%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1"/>
        </w:trPr>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restart"/>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Total Principal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300"/>
              <w:spacing w:after="0" w:line="212" w:lineRule="exact"/>
              <w:rPr>
                <w:sz w:val="20"/>
                <w:szCs w:val="20"/>
                <w:color w:val="auto"/>
              </w:rPr>
            </w:pPr>
            <w:r>
              <w:rPr>
                <w:rFonts w:ascii="Times New Roman" w:cs="Times New Roman" w:eastAsia="Times New Roman" w:hAnsi="Times New Roman"/>
                <w:sz w:val="20"/>
                <w:szCs w:val="20"/>
                <w:b w:val="1"/>
                <w:bCs w:val="1"/>
                <w:color w:val="auto"/>
                <w:w w:val="99"/>
              </w:rPr>
              <w:t>Original Issue</w:t>
            </w:r>
          </w:p>
        </w:tc>
        <w:tc>
          <w:tcPr>
            <w:tcW w:w="180" w:type="dxa"/>
            <w:vAlign w:val="bottom"/>
          </w:tcPr>
          <w:p>
            <w:pPr>
              <w:spacing w:after="0"/>
              <w:rPr>
                <w:sz w:val="18"/>
                <w:szCs w:val="18"/>
                <w:color w:val="auto"/>
              </w:rPr>
            </w:pPr>
          </w:p>
        </w:tc>
        <w:tc>
          <w:tcPr>
            <w:tcW w:w="166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120" w:type="dxa"/>
            <w:vAlign w:val="bottom"/>
          </w:tcPr>
          <w:p>
            <w:pPr>
              <w:spacing w:after="0"/>
              <w:rPr>
                <w:sz w:val="18"/>
                <w:szCs w:val="18"/>
                <w:color w:val="auto"/>
              </w:rPr>
            </w:pPr>
          </w:p>
        </w:tc>
        <w:tc>
          <w:tcPr>
            <w:tcW w:w="1860" w:type="dxa"/>
            <w:vAlign w:val="bottom"/>
          </w:tcPr>
          <w:p>
            <w:pPr>
              <w:ind w:left="100"/>
              <w:spacing w:after="0" w:line="212" w:lineRule="exact"/>
              <w:rPr>
                <w:sz w:val="20"/>
                <w:szCs w:val="20"/>
                <w:color w:val="auto"/>
              </w:rPr>
            </w:pPr>
            <w:r>
              <w:rPr>
                <w:rFonts w:ascii="Times New Roman" w:cs="Times New Roman" w:eastAsia="Times New Roman" w:hAnsi="Times New Roman"/>
                <w:sz w:val="20"/>
                <w:szCs w:val="20"/>
                <w:b w:val="1"/>
                <w:bCs w:val="1"/>
                <w:color w:val="auto"/>
              </w:rPr>
              <w:t>Percentage of loans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140" w:type="dxa"/>
            <w:vAlign w:val="bottom"/>
            <w:tcBorders>
              <w:bottom w:val="single" w:sz="8" w:color="E3E3E3"/>
            </w:tcBorders>
          </w:tcPr>
          <w:p>
            <w:pPr>
              <w:spacing w:after="0"/>
              <w:rPr>
                <w:sz w:val="21"/>
                <w:szCs w:val="21"/>
                <w:color w:val="auto"/>
              </w:rPr>
            </w:pPr>
          </w:p>
        </w:tc>
        <w:tc>
          <w:tcPr>
            <w:tcW w:w="680" w:type="dxa"/>
            <w:vAlign w:val="bottom"/>
            <w:tcBorders>
              <w:bottom w:val="single" w:sz="8" w:color="E3E3E3"/>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E3E3E3"/>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Discount</w:t>
            </w:r>
          </w:p>
        </w:tc>
        <w:tc>
          <w:tcPr>
            <w:tcW w:w="100" w:type="dxa"/>
            <w:vAlign w:val="bottom"/>
            <w:tcBorders>
              <w:bottom w:val="single" w:sz="8" w:color="E3E3E3"/>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E3E3E3"/>
            </w:tcBorders>
          </w:tcPr>
          <w:p>
            <w:pPr>
              <w:spacing w:after="0"/>
              <w:rPr>
                <w:sz w:val="21"/>
                <w:szCs w:val="21"/>
                <w:color w:val="auto"/>
              </w:rPr>
            </w:pPr>
          </w:p>
        </w:tc>
        <w:tc>
          <w:tcPr>
            <w:tcW w:w="1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held for investment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1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Fixed-rate loans</w:t>
            </w:r>
          </w:p>
        </w:tc>
        <w:tc>
          <w:tcPr>
            <w:tcW w:w="680" w:type="dxa"/>
            <w:vAlign w:val="bottom"/>
            <w:shd w:val="clear" w:color="auto" w:fill="E3E3E3"/>
          </w:tcPr>
          <w:p>
            <w:pPr>
              <w:spacing w:after="0"/>
              <w:rPr>
                <w:sz w:val="20"/>
                <w:szCs w:val="20"/>
                <w:color w:val="auto"/>
              </w:rPr>
            </w:pPr>
          </w:p>
        </w:tc>
        <w:tc>
          <w:tcPr>
            <w:tcW w:w="200" w:type="dxa"/>
            <w:vAlign w:val="bottom"/>
            <w:shd w:val="clear" w:color="auto" w:fill="E3E3E3"/>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149,771,871</w:t>
            </w:r>
          </w:p>
        </w:tc>
        <w:tc>
          <w:tcPr>
            <w:tcW w:w="12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(545,081)</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149,226,790</w:t>
            </w:r>
          </w:p>
        </w:tc>
        <w:tc>
          <w:tcPr>
            <w:tcW w:w="120" w:type="dxa"/>
            <w:vAlign w:val="bottom"/>
            <w:tcBorders>
              <w:right w:val="single" w:sz="8" w:color="E3E3E3"/>
            </w:tcBorders>
            <w:shd w:val="clear" w:color="auto" w:fill="E3E3E3"/>
          </w:tcPr>
          <w:p>
            <w:pPr>
              <w:spacing w:after="0"/>
              <w:rPr>
                <w:sz w:val="20"/>
                <w:szCs w:val="20"/>
                <w:color w:val="auto"/>
              </w:rPr>
            </w:pPr>
          </w:p>
        </w:tc>
        <w:tc>
          <w:tcPr>
            <w:tcW w:w="2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37.1%</w:t>
            </w: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Floating-rate loans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254,949,683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(1,699,427)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253,250,256</w:t>
            </w:r>
          </w:p>
        </w:tc>
        <w:tc>
          <w:tcPr>
            <w:tcW w:w="120" w:type="dxa"/>
            <w:vAlign w:val="bottom"/>
          </w:tcPr>
          <w:p>
            <w:pPr>
              <w:spacing w:after="0"/>
              <w:rPr>
                <w:sz w:val="20"/>
                <w:szCs w:val="20"/>
                <w:color w:val="auto"/>
              </w:rPr>
            </w:pPr>
          </w:p>
        </w:tc>
        <w:tc>
          <w:tcPr>
            <w:tcW w:w="20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62.9%</w:t>
            </w:r>
          </w:p>
        </w:tc>
        <w:tc>
          <w:tcPr>
            <w:tcW w:w="0" w:type="dxa"/>
            <w:vAlign w:val="bottom"/>
          </w:tcPr>
          <w:p>
            <w:pPr>
              <w:spacing w:after="0"/>
              <w:rPr>
                <w:sz w:val="1"/>
                <w:szCs w:val="1"/>
                <w:color w:val="auto"/>
              </w:rPr>
            </w:pPr>
          </w:p>
        </w:tc>
      </w:tr>
      <w:tr>
        <w:trPr>
          <w:trHeight w:val="20"/>
        </w:trPr>
        <w:tc>
          <w:tcPr>
            <w:tcW w:w="214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w:t>
            </w:r>
          </w:p>
        </w:tc>
        <w:tc>
          <w:tcPr>
            <w:tcW w:w="680" w:type="dxa"/>
            <w:vAlign w:val="bottom"/>
            <w:shd w:val="clear" w:color="auto" w:fill="E3E3E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E3E3E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E3E3E3"/>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vMerge w:val="continue"/>
            <w:shd w:val="clear" w:color="auto" w:fill="E3E3E3"/>
          </w:tcPr>
          <w:p>
            <w:pPr>
              <w:spacing w:after="0"/>
              <w:rPr>
                <w:sz w:val="20"/>
                <w:szCs w:val="20"/>
                <w:color w:val="auto"/>
              </w:rPr>
            </w:pPr>
          </w:p>
        </w:tc>
        <w:tc>
          <w:tcPr>
            <w:tcW w:w="680" w:type="dxa"/>
            <w:vAlign w:val="bottom"/>
            <w:shd w:val="clear" w:color="auto" w:fill="E3E3E3"/>
          </w:tcPr>
          <w:p>
            <w:pPr>
              <w:spacing w:after="0"/>
              <w:rPr>
                <w:sz w:val="20"/>
                <w:szCs w:val="20"/>
                <w:color w:val="auto"/>
              </w:rPr>
            </w:pPr>
          </w:p>
        </w:tc>
        <w:tc>
          <w:tcPr>
            <w:tcW w:w="200" w:type="dxa"/>
            <w:vAlign w:val="bottom"/>
            <w:shd w:val="clear" w:color="auto" w:fill="E3E3E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404,721,554</w:t>
            </w:r>
          </w:p>
        </w:tc>
        <w:tc>
          <w:tcPr>
            <w:tcW w:w="12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(2,244,508)</w:t>
            </w:r>
          </w:p>
        </w:tc>
        <w:tc>
          <w:tcPr>
            <w:tcW w:w="100" w:type="dxa"/>
            <w:vAlign w:val="bottom"/>
            <w:shd w:val="clear" w:color="auto" w:fill="E3E3E3"/>
          </w:tcPr>
          <w:p>
            <w:pPr>
              <w:spacing w:after="0"/>
              <w:rPr>
                <w:sz w:val="20"/>
                <w:szCs w:val="20"/>
                <w:color w:val="auto"/>
              </w:rPr>
            </w:pPr>
          </w:p>
        </w:tc>
        <w:tc>
          <w:tcPr>
            <w:tcW w:w="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402,477,046</w:t>
            </w:r>
          </w:p>
        </w:tc>
        <w:tc>
          <w:tcPr>
            <w:tcW w:w="120" w:type="dxa"/>
            <w:vAlign w:val="bottom"/>
            <w:tcBorders>
              <w:right w:val="single" w:sz="8" w:color="E3E3E3"/>
            </w:tcBorders>
            <w:shd w:val="clear" w:color="auto" w:fill="E3E3E3"/>
          </w:tcPr>
          <w:p>
            <w:pPr>
              <w:spacing w:after="0"/>
              <w:rPr>
                <w:sz w:val="20"/>
                <w:szCs w:val="20"/>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100.0%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5433695</wp:posOffset>
                </wp:positionH>
                <wp:positionV relativeFrom="paragraph">
                  <wp:posOffset>-1733550</wp:posOffset>
                </wp:positionV>
                <wp:extent cx="1189990" cy="15367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9990" cy="153670"/>
                        </a:xfrm>
                        <a:prstGeom prst="rect">
                          <a:avLst/>
                        </a:prstGeom>
                        <a:solidFill>
                          <a:srgbClr val="E3E3E3"/>
                        </a:solidFill>
                      </wps:spPr>
                      <wps:bodyPr/>
                    </wps:wsp>
                  </a:graphicData>
                </a:graphic>
              </wp:anchor>
            </w:drawing>
          </mc:Choice>
          <mc:Fallback>
            <w:pict>
              <v:rect id="Shape 42" o:spid="_x0000_s1067" style="position:absolute;margin-left:427.85pt;margin-top:-136.4999pt;width:93.7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5433695</wp:posOffset>
                </wp:positionH>
                <wp:positionV relativeFrom="paragraph">
                  <wp:posOffset>-1417320</wp:posOffset>
                </wp:positionV>
                <wp:extent cx="1189990" cy="15303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9990" cy="153035"/>
                        </a:xfrm>
                        <a:prstGeom prst="rect">
                          <a:avLst/>
                        </a:prstGeom>
                        <a:solidFill>
                          <a:srgbClr val="E3E3E3"/>
                        </a:solidFill>
                      </wps:spPr>
                      <wps:bodyPr/>
                    </wps:wsp>
                  </a:graphicData>
                </a:graphic>
              </wp:anchor>
            </w:drawing>
          </mc:Choice>
          <mc:Fallback>
            <w:pict>
              <v:rect id="Shape 43" o:spid="_x0000_s1068" style="position:absolute;margin-left:427.85pt;margin-top:-111.5999pt;width:93.7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5433695</wp:posOffset>
                </wp:positionH>
                <wp:positionV relativeFrom="paragraph">
                  <wp:posOffset>-496570</wp:posOffset>
                </wp:positionV>
                <wp:extent cx="1189990" cy="15303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9990" cy="153035"/>
                        </a:xfrm>
                        <a:prstGeom prst="rect">
                          <a:avLst/>
                        </a:prstGeom>
                        <a:solidFill>
                          <a:srgbClr val="E3E3E3"/>
                        </a:solidFill>
                      </wps:spPr>
                      <wps:bodyPr/>
                    </wps:wsp>
                  </a:graphicData>
                </a:graphic>
              </wp:anchor>
            </w:drawing>
          </mc:Choice>
          <mc:Fallback>
            <w:pict>
              <v:rect id="Shape 44" o:spid="_x0000_s1069" style="position:absolute;margin-left:427.85pt;margin-top:-39.0999pt;width:93.7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5433695</wp:posOffset>
                </wp:positionH>
                <wp:positionV relativeFrom="paragraph">
                  <wp:posOffset>-180975</wp:posOffset>
                </wp:positionV>
                <wp:extent cx="1189990" cy="15367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9990" cy="153670"/>
                        </a:xfrm>
                        <a:prstGeom prst="rect">
                          <a:avLst/>
                        </a:prstGeom>
                        <a:solidFill>
                          <a:srgbClr val="E3E3E3"/>
                        </a:solidFill>
                      </wps:spPr>
                      <wps:bodyPr/>
                    </wps:wsp>
                  </a:graphicData>
                </a:graphic>
              </wp:anchor>
            </w:drawing>
          </mc:Choice>
          <mc:Fallback>
            <w:pict>
              <v:rect id="Shape 45" o:spid="_x0000_s1070" style="position:absolute;margin-left:427.85pt;margin-top:-14.2499pt;width:93.7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158"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The following tables summarize the Company’s aggregate portfolio of loans held for investment, net of current expected credit loss reserve as of December 31, 2025 and 2024:</w:t>
      </w:r>
    </w:p>
    <w:p>
      <w:pPr>
        <w:sectPr>
          <w:pgSz w:w="12240" w:h="15840" w:orient="portrait"/>
          <w:cols w:equalWidth="0" w:num="1">
            <w:col w:w="10640"/>
          </w:cols>
          <w:pgMar w:left="800" w:top="1011"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640"/>
          </w:cols>
          <w:pgMar w:left="800" w:top="1011" w:right="800" w:bottom="266" w:gutter="0" w:footer="0" w:header="0"/>
          <w:type w:val="continuous"/>
        </w:sectPr>
      </w:pPr>
    </w:p>
    <w:bookmarkStart w:id="114" w:name="page115"/>
    <w:bookmarkEnd w:id="114"/>
    <w:tbl>
      <w:tblPr>
        <w:tblLayout w:type="fixed"/>
        <w:tblInd w:w="1" w:type="dxa"/>
        <w:tblCellMar>
          <w:top w:w="0" w:type="dxa"/>
          <w:left w:w="0" w:type="dxa"/>
          <w:bottom w:w="0" w:type="dxa"/>
          <w:right w:w="0" w:type="dxa"/>
        </w:tblCellMar>
      </w:tblPr>
      <w:tr>
        <w:trPr>
          <w:trHeight w:val="251"/>
        </w:trPr>
        <w:tc>
          <w:tcPr>
            <w:tcW w:w="40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14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9"/>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7"/>
              </w:rPr>
              <w:t>Weighted</w:t>
            </w:r>
          </w:p>
        </w:tc>
        <w:tc>
          <w:tcPr>
            <w:tcW w:w="60" w:type="dxa"/>
            <w:vAlign w:val="bottom"/>
          </w:tcPr>
          <w:p>
            <w:pPr>
              <w:spacing w:after="0"/>
              <w:rPr>
                <w:sz w:val="17"/>
                <w:szCs w:val="17"/>
                <w:color w:val="auto"/>
              </w:rPr>
            </w:pPr>
          </w:p>
        </w:tc>
      </w:tr>
      <w:tr>
        <w:trPr>
          <w:trHeight w:val="227"/>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9"/>
                <w:szCs w:val="19"/>
                <w:color w:val="auto"/>
              </w:rPr>
            </w:pPr>
          </w:p>
        </w:tc>
      </w:tr>
      <w:tr>
        <w:trPr>
          <w:trHeight w:val="227"/>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41"/>
              <w:spacing w:after="0" w:line="228" w:lineRule="exact"/>
              <w:rPr>
                <w:sz w:val="20"/>
                <w:szCs w:val="20"/>
                <w:color w:val="auto"/>
              </w:rPr>
            </w:pPr>
            <w:r>
              <w:rPr>
                <w:rFonts w:ascii="Times New Roman" w:cs="Times New Roman" w:eastAsia="Times New Roman" w:hAnsi="Times New Roman"/>
                <w:sz w:val="20"/>
                <w:szCs w:val="20"/>
                <w:b w:val="1"/>
                <w:bCs w:val="1"/>
                <w:color w:val="auto"/>
                <w:w w:val="99"/>
              </w:rPr>
              <w:t>Outstanding</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60"/>
              <w:spacing w:after="0" w:line="228" w:lineRule="exact"/>
              <w:rPr>
                <w:sz w:val="20"/>
                <w:szCs w:val="20"/>
                <w:color w:val="auto"/>
              </w:rPr>
            </w:pPr>
            <w:r>
              <w:rPr>
                <w:rFonts w:ascii="Times New Roman" w:cs="Times New Roman" w:eastAsia="Times New Roman" w:hAnsi="Times New Roman"/>
                <w:sz w:val="20"/>
                <w:szCs w:val="20"/>
                <w:b w:val="1"/>
                <w:bCs w:val="1"/>
                <w:color w:val="auto"/>
                <w:w w:val="97"/>
              </w:rPr>
              <w:t>Original Issue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right="480"/>
              <w:spacing w:after="0" w:line="228" w:lineRule="exact"/>
              <w:rPr>
                <w:sz w:val="20"/>
                <w:szCs w:val="20"/>
                <w:color w:val="auto"/>
              </w:rPr>
            </w:pPr>
            <w:r>
              <w:rPr>
                <w:rFonts w:ascii="Times New Roman" w:cs="Times New Roman" w:eastAsia="Times New Roman" w:hAnsi="Times New Roman"/>
                <w:sz w:val="20"/>
                <w:szCs w:val="20"/>
                <w:b w:val="1"/>
                <w:bCs w:val="1"/>
                <w:color w:val="auto"/>
                <w:w w:val="96"/>
              </w:rPr>
              <w:t>Carrying</w:t>
            </w:r>
          </w:p>
        </w:tc>
        <w:tc>
          <w:tcPr>
            <w:tcW w:w="14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Remaining Life</w:t>
            </w:r>
          </w:p>
        </w:tc>
        <w:tc>
          <w:tcPr>
            <w:tcW w:w="60" w:type="dxa"/>
            <w:vAlign w:val="bottom"/>
          </w:tcPr>
          <w:p>
            <w:pPr>
              <w:spacing w:after="0"/>
              <w:rPr>
                <w:sz w:val="19"/>
                <w:szCs w:val="19"/>
                <w:color w:val="auto"/>
              </w:rPr>
            </w:pPr>
          </w:p>
        </w:tc>
      </w:tr>
      <w:tr>
        <w:trPr>
          <w:trHeight w:val="251"/>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7"/>
              </w:rPr>
              <w:t>Discount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w w:val="95"/>
              </w:rPr>
              <w:t>Value</w:t>
            </w:r>
          </w:p>
        </w:tc>
        <w:tc>
          <w:tcPr>
            <w:tcW w:w="1480" w:type="dxa"/>
            <w:vAlign w:val="bottom"/>
          </w:tcPr>
          <w:p>
            <w:pPr>
              <w:jc w:val="center"/>
              <w:spacing w:after="0" w:line="251" w:lineRule="exact"/>
              <w:rPr>
                <w:sz w:val="20"/>
                <w:szCs w:val="20"/>
                <w:color w:val="auto"/>
              </w:rPr>
            </w:pPr>
            <w:r>
              <w:rPr>
                <w:rFonts w:ascii="Times New Roman" w:cs="Times New Roman" w:eastAsia="Times New Roman" w:hAnsi="Times New Roman"/>
                <w:sz w:val="20"/>
                <w:szCs w:val="20"/>
                <w:b w:val="1"/>
                <w:bCs w:val="1"/>
                <w:color w:val="auto"/>
                <w:w w:val="93"/>
              </w:rPr>
              <w:t xml:space="preserve">(Years) </w:t>
            </w:r>
            <w:r>
              <w:rPr>
                <w:rFonts w:ascii="Times New Roman" w:cs="Times New Roman" w:eastAsia="Times New Roman" w:hAnsi="Times New Roman"/>
                <w:sz w:val="25"/>
                <w:szCs w:val="25"/>
                <w:b w:val="1"/>
                <w:bCs w:val="1"/>
                <w:color w:val="auto"/>
                <w:w w:val="93"/>
                <w:vertAlign w:val="superscript"/>
              </w:rPr>
              <w:t>(1)</w:t>
            </w:r>
          </w:p>
        </w:tc>
        <w:tc>
          <w:tcPr>
            <w:tcW w:w="60" w:type="dxa"/>
            <w:vAlign w:val="bottom"/>
          </w:tcPr>
          <w:p>
            <w:pPr>
              <w:spacing w:after="0"/>
              <w:rPr>
                <w:sz w:val="21"/>
                <w:szCs w:val="21"/>
                <w:color w:val="auto"/>
              </w:rPr>
            </w:pPr>
          </w:p>
        </w:tc>
      </w:tr>
      <w:tr>
        <w:trPr>
          <w:trHeight w:val="222"/>
        </w:trPr>
        <w:tc>
          <w:tcPr>
            <w:tcW w:w="4000" w:type="dxa"/>
            <w:vAlign w:val="bottom"/>
            <w:tcBorders>
              <w:top w:val="single" w:sz="8" w:color="E3E3E3"/>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color w:val="auto"/>
              </w:rPr>
              <w:t>Loans held for investment</w:t>
            </w:r>
          </w:p>
        </w:tc>
        <w:tc>
          <w:tcPr>
            <w:tcW w:w="1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2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411,075,088</w:t>
            </w:r>
          </w:p>
        </w:tc>
        <w:tc>
          <w:tcPr>
            <w:tcW w:w="28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(2,119,521)</w:t>
            </w:r>
          </w:p>
        </w:tc>
        <w:tc>
          <w:tcPr>
            <w:tcW w:w="260" w:type="dxa"/>
            <w:vAlign w:val="bottom"/>
            <w:tcBorders>
              <w:top w:val="single" w:sz="8" w:color="E3E3E3"/>
            </w:tcBorders>
            <w:shd w:val="clear" w:color="auto" w:fill="E3E3E3"/>
          </w:tcPr>
          <w:p>
            <w:pPr>
              <w:spacing w:after="0"/>
              <w:rPr>
                <w:sz w:val="19"/>
                <w:szCs w:val="19"/>
                <w:color w:val="auto"/>
              </w:rPr>
            </w:pPr>
          </w:p>
        </w:tc>
        <w:tc>
          <w:tcPr>
            <w:tcW w:w="220" w:type="dxa"/>
            <w:vAlign w:val="bottom"/>
            <w:tcBorders>
              <w:top w:val="single" w:sz="8" w:color="auto"/>
            </w:tcBorders>
            <w:gridSpan w:val="2"/>
            <w:shd w:val="clear" w:color="auto" w:fill="E3E3E3"/>
          </w:tcPr>
          <w:p>
            <w:pPr>
              <w:jc w:val="right"/>
              <w:ind w:right="120"/>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22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408,955,567</w:t>
            </w:r>
          </w:p>
        </w:tc>
        <w:tc>
          <w:tcPr>
            <w:tcW w:w="260" w:type="dxa"/>
            <w:vAlign w:val="bottom"/>
            <w:tcBorders>
              <w:top w:val="single" w:sz="8" w:color="E3E3E3"/>
            </w:tcBorders>
            <w:shd w:val="clear" w:color="auto" w:fill="E3E3E3"/>
          </w:tcPr>
          <w:p>
            <w:pPr>
              <w:spacing w:after="0"/>
              <w:rPr>
                <w:sz w:val="19"/>
                <w:szCs w:val="19"/>
                <w:color w:val="auto"/>
              </w:rPr>
            </w:pPr>
          </w:p>
        </w:tc>
        <w:tc>
          <w:tcPr>
            <w:tcW w:w="14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2.2</w:t>
            </w:r>
          </w:p>
        </w:tc>
        <w:tc>
          <w:tcPr>
            <w:tcW w:w="60" w:type="dxa"/>
            <w:vAlign w:val="bottom"/>
            <w:tcBorders>
              <w:top w:val="single" w:sz="8" w:color="E3E3E3"/>
            </w:tcBorders>
            <w:shd w:val="clear" w:color="auto" w:fill="E3E3E3"/>
          </w:tcPr>
          <w:p>
            <w:pPr>
              <w:spacing w:after="0"/>
              <w:rPr>
                <w:sz w:val="19"/>
                <w:szCs w:val="19"/>
                <w:color w:val="auto"/>
              </w:rPr>
            </w:pPr>
          </w:p>
        </w:tc>
      </w:tr>
      <w:tr>
        <w:trPr>
          <w:trHeight w:val="227"/>
        </w:trPr>
        <w:tc>
          <w:tcPr>
            <w:tcW w:w="4000" w:type="dxa"/>
            <w:vAlign w:val="bottom"/>
            <w:tcBorders>
              <w:bottom w:val="single" w:sz="8" w:color="E3E3E3"/>
            </w:tcBorders>
          </w:tcPr>
          <w:p>
            <w:pPr>
              <w:spacing w:after="0" w:line="228" w:lineRule="exact"/>
              <w:rPr>
                <w:sz w:val="20"/>
                <w:szCs w:val="20"/>
                <w:color w:val="auto"/>
              </w:rPr>
            </w:pPr>
            <w:r>
              <w:rPr>
                <w:rFonts w:ascii="Times New Roman" w:cs="Times New Roman" w:eastAsia="Times New Roman" w:hAnsi="Times New Roman"/>
                <w:sz w:val="20"/>
                <w:szCs w:val="20"/>
                <w:color w:val="auto"/>
              </w:rPr>
              <w:t>Current expected credit loss reserve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E3E3E3"/>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3E3E3"/>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(5,062,785)</w:t>
            </w:r>
          </w:p>
        </w:tc>
        <w:tc>
          <w:tcPr>
            <w:tcW w:w="260" w:type="dxa"/>
            <w:vAlign w:val="bottom"/>
            <w:tcBorders>
              <w:bottom w:val="single" w:sz="8" w:color="E3E3E3"/>
            </w:tcBorders>
          </w:tcPr>
          <w:p>
            <w:pPr>
              <w:spacing w:after="0"/>
              <w:rPr>
                <w:sz w:val="19"/>
                <w:szCs w:val="19"/>
                <w:color w:val="auto"/>
              </w:rPr>
            </w:pPr>
          </w:p>
        </w:tc>
        <w:tc>
          <w:tcPr>
            <w:tcW w:w="1480" w:type="dxa"/>
            <w:vAlign w:val="bottom"/>
            <w:tcBorders>
              <w:bottom w:val="single" w:sz="8" w:color="E3E3E3"/>
            </w:tcBorders>
          </w:tcPr>
          <w:p>
            <w:pPr>
              <w:spacing w:after="0"/>
              <w:rPr>
                <w:sz w:val="19"/>
                <w:szCs w:val="19"/>
                <w:color w:val="auto"/>
              </w:rPr>
            </w:pPr>
          </w:p>
        </w:tc>
        <w:tc>
          <w:tcPr>
            <w:tcW w:w="60" w:type="dxa"/>
            <w:vAlign w:val="bottom"/>
            <w:tcBorders>
              <w:bottom w:val="single" w:sz="8" w:color="E3E3E3"/>
            </w:tcBorders>
          </w:tcPr>
          <w:p>
            <w:pPr>
              <w:spacing w:after="0"/>
              <w:rPr>
                <w:sz w:val="19"/>
                <w:szCs w:val="19"/>
                <w:color w:val="auto"/>
              </w:rPr>
            </w:pPr>
          </w:p>
        </w:tc>
      </w:tr>
      <w:tr>
        <w:trPr>
          <w:trHeight w:val="222"/>
        </w:trPr>
        <w:tc>
          <w:tcPr>
            <w:tcW w:w="4000" w:type="dxa"/>
            <w:vAlign w:val="bottom"/>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Total loans held at carrying value, net</w:t>
            </w:r>
          </w:p>
        </w:tc>
        <w:tc>
          <w:tcPr>
            <w:tcW w:w="16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28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shd w:val="clear" w:color="auto" w:fill="E3E3E3"/>
              </w:rPr>
              <w:t>411,075,088</w:t>
            </w:r>
          </w:p>
        </w:tc>
        <w:tc>
          <w:tcPr>
            <w:tcW w:w="28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32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(2,119,521)</w:t>
            </w:r>
          </w:p>
        </w:tc>
        <w:tc>
          <w:tcPr>
            <w:tcW w:w="260" w:type="dxa"/>
            <w:vAlign w:val="bottom"/>
            <w:shd w:val="clear" w:color="auto" w:fill="E3E3E3"/>
          </w:tcPr>
          <w:p>
            <w:pPr>
              <w:spacing w:after="0"/>
              <w:rPr>
                <w:sz w:val="19"/>
                <w:szCs w:val="19"/>
                <w:color w:val="auto"/>
              </w:rPr>
            </w:pPr>
          </w:p>
        </w:tc>
        <w:tc>
          <w:tcPr>
            <w:tcW w:w="220" w:type="dxa"/>
            <w:vAlign w:val="bottom"/>
            <w:gridSpan w:val="2"/>
            <w:shd w:val="clear" w:color="auto" w:fill="E3E3E3"/>
          </w:tcPr>
          <w:p>
            <w:pPr>
              <w:jc w:val="right"/>
              <w:ind w:right="120"/>
              <w:spacing w:after="0" w:line="222" w:lineRule="exact"/>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22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shd w:val="clear" w:color="auto" w:fill="E3E3E3"/>
              </w:rPr>
              <w:t>403,892,782</w:t>
            </w:r>
          </w:p>
        </w:tc>
        <w:tc>
          <w:tcPr>
            <w:tcW w:w="260" w:type="dxa"/>
            <w:vAlign w:val="bottom"/>
            <w:shd w:val="clear" w:color="auto" w:fill="E3E3E3"/>
          </w:tcPr>
          <w:p>
            <w:pPr>
              <w:spacing w:after="0"/>
              <w:rPr>
                <w:sz w:val="19"/>
                <w:szCs w:val="19"/>
                <w:color w:val="auto"/>
              </w:rPr>
            </w:pPr>
          </w:p>
        </w:tc>
        <w:tc>
          <w:tcPr>
            <w:tcW w:w="1480" w:type="dxa"/>
            <w:vAlign w:val="bottom"/>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7"/>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9"/>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7"/>
              </w:rPr>
              <w:t>Weighted</w:t>
            </w:r>
          </w:p>
        </w:tc>
        <w:tc>
          <w:tcPr>
            <w:tcW w:w="60" w:type="dxa"/>
            <w:vAlign w:val="bottom"/>
          </w:tcPr>
          <w:p>
            <w:pPr>
              <w:spacing w:after="0"/>
              <w:rPr>
                <w:sz w:val="17"/>
                <w:szCs w:val="17"/>
                <w:color w:val="auto"/>
              </w:rPr>
            </w:pPr>
          </w:p>
        </w:tc>
      </w:tr>
      <w:tr>
        <w:trPr>
          <w:trHeight w:val="227"/>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9"/>
                <w:szCs w:val="19"/>
                <w:color w:val="auto"/>
              </w:rPr>
            </w:pPr>
          </w:p>
        </w:tc>
      </w:tr>
      <w:tr>
        <w:trPr>
          <w:trHeight w:val="227"/>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ind w:right="41"/>
              <w:spacing w:after="0" w:line="228" w:lineRule="exact"/>
              <w:rPr>
                <w:sz w:val="20"/>
                <w:szCs w:val="20"/>
                <w:color w:val="auto"/>
              </w:rPr>
            </w:pPr>
            <w:r>
              <w:rPr>
                <w:rFonts w:ascii="Times New Roman" w:cs="Times New Roman" w:eastAsia="Times New Roman" w:hAnsi="Times New Roman"/>
                <w:sz w:val="20"/>
                <w:szCs w:val="20"/>
                <w:b w:val="1"/>
                <w:bCs w:val="1"/>
                <w:color w:val="auto"/>
                <w:w w:val="99"/>
              </w:rPr>
              <w:t>Outstanding</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360"/>
              <w:spacing w:after="0" w:line="228" w:lineRule="exact"/>
              <w:rPr>
                <w:sz w:val="20"/>
                <w:szCs w:val="20"/>
                <w:color w:val="auto"/>
              </w:rPr>
            </w:pPr>
            <w:r>
              <w:rPr>
                <w:rFonts w:ascii="Times New Roman" w:cs="Times New Roman" w:eastAsia="Times New Roman" w:hAnsi="Times New Roman"/>
                <w:sz w:val="20"/>
                <w:szCs w:val="20"/>
                <w:b w:val="1"/>
                <w:bCs w:val="1"/>
                <w:color w:val="auto"/>
                <w:w w:val="97"/>
              </w:rPr>
              <w:t>Original Issue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right="480"/>
              <w:spacing w:after="0" w:line="228" w:lineRule="exact"/>
              <w:rPr>
                <w:sz w:val="20"/>
                <w:szCs w:val="20"/>
                <w:color w:val="auto"/>
              </w:rPr>
            </w:pPr>
            <w:r>
              <w:rPr>
                <w:rFonts w:ascii="Times New Roman" w:cs="Times New Roman" w:eastAsia="Times New Roman" w:hAnsi="Times New Roman"/>
                <w:sz w:val="20"/>
                <w:szCs w:val="20"/>
                <w:b w:val="1"/>
                <w:bCs w:val="1"/>
                <w:color w:val="auto"/>
                <w:w w:val="96"/>
              </w:rPr>
              <w:t>Carrying</w:t>
            </w:r>
          </w:p>
        </w:tc>
        <w:tc>
          <w:tcPr>
            <w:tcW w:w="14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Remaining Life</w:t>
            </w:r>
          </w:p>
        </w:tc>
        <w:tc>
          <w:tcPr>
            <w:tcW w:w="60" w:type="dxa"/>
            <w:vAlign w:val="bottom"/>
          </w:tcPr>
          <w:p>
            <w:pPr>
              <w:spacing w:after="0"/>
              <w:rPr>
                <w:sz w:val="19"/>
                <w:szCs w:val="19"/>
                <w:color w:val="auto"/>
              </w:rPr>
            </w:pPr>
          </w:p>
        </w:tc>
      </w:tr>
      <w:tr>
        <w:trPr>
          <w:trHeight w:val="251"/>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7"/>
              </w:rPr>
              <w:t>Discount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w w:val="95"/>
              </w:rPr>
              <w:t>Value</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(Years) (1)</w:t>
            </w:r>
          </w:p>
        </w:tc>
        <w:tc>
          <w:tcPr>
            <w:tcW w:w="60" w:type="dxa"/>
            <w:vAlign w:val="bottom"/>
          </w:tcPr>
          <w:p>
            <w:pPr>
              <w:spacing w:after="0"/>
              <w:rPr>
                <w:sz w:val="21"/>
                <w:szCs w:val="21"/>
                <w:color w:val="auto"/>
              </w:rPr>
            </w:pPr>
          </w:p>
        </w:tc>
      </w:tr>
      <w:tr>
        <w:trPr>
          <w:trHeight w:val="222"/>
        </w:trPr>
        <w:tc>
          <w:tcPr>
            <w:tcW w:w="4000" w:type="dxa"/>
            <w:vAlign w:val="bottom"/>
            <w:tcBorders>
              <w:top w:val="single" w:sz="8" w:color="E3E3E3"/>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color w:val="auto"/>
              </w:rPr>
              <w:t>Loans held for investment</w:t>
            </w:r>
          </w:p>
        </w:tc>
        <w:tc>
          <w:tcPr>
            <w:tcW w:w="1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2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404,721,554</w:t>
            </w:r>
          </w:p>
        </w:tc>
        <w:tc>
          <w:tcPr>
            <w:tcW w:w="28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(2,244,508)</w:t>
            </w:r>
          </w:p>
        </w:tc>
        <w:tc>
          <w:tcPr>
            <w:tcW w:w="260" w:type="dxa"/>
            <w:vAlign w:val="bottom"/>
            <w:tcBorders>
              <w:top w:val="single" w:sz="8" w:color="E3E3E3"/>
            </w:tcBorders>
            <w:shd w:val="clear" w:color="auto" w:fill="E3E3E3"/>
          </w:tcPr>
          <w:p>
            <w:pPr>
              <w:spacing w:after="0"/>
              <w:rPr>
                <w:sz w:val="19"/>
                <w:szCs w:val="19"/>
                <w:color w:val="auto"/>
              </w:rPr>
            </w:pPr>
          </w:p>
        </w:tc>
        <w:tc>
          <w:tcPr>
            <w:tcW w:w="220" w:type="dxa"/>
            <w:vAlign w:val="bottom"/>
            <w:tcBorders>
              <w:top w:val="single" w:sz="8" w:color="auto"/>
            </w:tcBorders>
            <w:gridSpan w:val="2"/>
            <w:shd w:val="clear" w:color="auto" w:fill="E3E3E3"/>
          </w:tcPr>
          <w:p>
            <w:pPr>
              <w:jc w:val="right"/>
              <w:ind w:right="120"/>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22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402,477,046</w:t>
            </w:r>
          </w:p>
        </w:tc>
        <w:tc>
          <w:tcPr>
            <w:tcW w:w="260" w:type="dxa"/>
            <w:vAlign w:val="bottom"/>
            <w:tcBorders>
              <w:top w:val="single" w:sz="8" w:color="E3E3E3"/>
            </w:tcBorders>
            <w:shd w:val="clear" w:color="auto" w:fill="E3E3E3"/>
          </w:tcPr>
          <w:p>
            <w:pPr>
              <w:spacing w:after="0"/>
              <w:rPr>
                <w:sz w:val="19"/>
                <w:szCs w:val="19"/>
                <w:color w:val="auto"/>
              </w:rPr>
            </w:pPr>
          </w:p>
        </w:tc>
        <w:tc>
          <w:tcPr>
            <w:tcW w:w="14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2.2</w:t>
            </w:r>
          </w:p>
        </w:tc>
        <w:tc>
          <w:tcPr>
            <w:tcW w:w="60" w:type="dxa"/>
            <w:vAlign w:val="bottom"/>
            <w:tcBorders>
              <w:top w:val="single" w:sz="8" w:color="E3E3E3"/>
            </w:tcBorders>
            <w:shd w:val="clear" w:color="auto" w:fill="E3E3E3"/>
          </w:tcPr>
          <w:p>
            <w:pPr>
              <w:spacing w:after="0"/>
              <w:rPr>
                <w:sz w:val="19"/>
                <w:szCs w:val="19"/>
                <w:color w:val="auto"/>
              </w:rPr>
            </w:pPr>
          </w:p>
        </w:tc>
      </w:tr>
      <w:tr>
        <w:trPr>
          <w:trHeight w:val="227"/>
        </w:trPr>
        <w:tc>
          <w:tcPr>
            <w:tcW w:w="4000" w:type="dxa"/>
            <w:vAlign w:val="bottom"/>
            <w:tcBorders>
              <w:bottom w:val="single" w:sz="8" w:color="E3E3E3"/>
            </w:tcBorders>
          </w:tcPr>
          <w:p>
            <w:pPr>
              <w:spacing w:after="0" w:line="228" w:lineRule="exact"/>
              <w:rPr>
                <w:sz w:val="20"/>
                <w:szCs w:val="20"/>
                <w:color w:val="auto"/>
              </w:rPr>
            </w:pPr>
            <w:r>
              <w:rPr>
                <w:rFonts w:ascii="Times New Roman" w:cs="Times New Roman" w:eastAsia="Times New Roman" w:hAnsi="Times New Roman"/>
                <w:sz w:val="20"/>
                <w:szCs w:val="20"/>
                <w:color w:val="auto"/>
              </w:rPr>
              <w:t>Current expected credit loss reserve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E3E3E3"/>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3E3E3"/>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(4,346,869)</w:t>
            </w:r>
          </w:p>
        </w:tc>
        <w:tc>
          <w:tcPr>
            <w:tcW w:w="260" w:type="dxa"/>
            <w:vAlign w:val="bottom"/>
            <w:tcBorders>
              <w:bottom w:val="single" w:sz="8" w:color="E3E3E3"/>
            </w:tcBorders>
          </w:tcPr>
          <w:p>
            <w:pPr>
              <w:spacing w:after="0"/>
              <w:rPr>
                <w:sz w:val="19"/>
                <w:szCs w:val="19"/>
                <w:color w:val="auto"/>
              </w:rPr>
            </w:pPr>
          </w:p>
        </w:tc>
        <w:tc>
          <w:tcPr>
            <w:tcW w:w="1480" w:type="dxa"/>
            <w:vAlign w:val="bottom"/>
            <w:tcBorders>
              <w:bottom w:val="single" w:sz="8" w:color="E3E3E3"/>
            </w:tcBorders>
          </w:tcPr>
          <w:p>
            <w:pPr>
              <w:spacing w:after="0"/>
              <w:rPr>
                <w:sz w:val="19"/>
                <w:szCs w:val="19"/>
                <w:color w:val="auto"/>
              </w:rPr>
            </w:pPr>
          </w:p>
        </w:tc>
        <w:tc>
          <w:tcPr>
            <w:tcW w:w="60" w:type="dxa"/>
            <w:vAlign w:val="bottom"/>
            <w:tcBorders>
              <w:bottom w:val="single" w:sz="8" w:color="E3E3E3"/>
            </w:tcBorders>
          </w:tcPr>
          <w:p>
            <w:pPr>
              <w:spacing w:after="0"/>
              <w:rPr>
                <w:sz w:val="19"/>
                <w:szCs w:val="19"/>
                <w:color w:val="auto"/>
              </w:rPr>
            </w:pPr>
          </w:p>
        </w:tc>
      </w:tr>
      <w:tr>
        <w:trPr>
          <w:trHeight w:val="222"/>
        </w:trPr>
        <w:tc>
          <w:tcPr>
            <w:tcW w:w="4000" w:type="dxa"/>
            <w:vAlign w:val="bottom"/>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Total loans held at carrying value, net</w:t>
            </w:r>
          </w:p>
        </w:tc>
        <w:tc>
          <w:tcPr>
            <w:tcW w:w="16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28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shd w:val="clear" w:color="auto" w:fill="E3E3E3"/>
              </w:rPr>
              <w:t>404,721,554</w:t>
            </w:r>
          </w:p>
        </w:tc>
        <w:tc>
          <w:tcPr>
            <w:tcW w:w="28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32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(2,244,508)</w:t>
            </w:r>
          </w:p>
        </w:tc>
        <w:tc>
          <w:tcPr>
            <w:tcW w:w="260" w:type="dxa"/>
            <w:vAlign w:val="bottom"/>
            <w:shd w:val="clear" w:color="auto" w:fill="E3E3E3"/>
          </w:tcPr>
          <w:p>
            <w:pPr>
              <w:spacing w:after="0"/>
              <w:rPr>
                <w:sz w:val="19"/>
                <w:szCs w:val="19"/>
                <w:color w:val="auto"/>
              </w:rPr>
            </w:pPr>
          </w:p>
        </w:tc>
        <w:tc>
          <w:tcPr>
            <w:tcW w:w="220" w:type="dxa"/>
            <w:vAlign w:val="bottom"/>
            <w:gridSpan w:val="2"/>
            <w:shd w:val="clear" w:color="auto" w:fill="E3E3E3"/>
          </w:tcPr>
          <w:p>
            <w:pPr>
              <w:jc w:val="right"/>
              <w:ind w:right="120"/>
              <w:spacing w:after="0" w:line="222" w:lineRule="exact"/>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220" w:type="dxa"/>
            <w:vAlign w:val="bottom"/>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shd w:val="clear" w:color="auto" w:fill="E3E3E3"/>
              </w:rPr>
              <w:t>398,130,177</w:t>
            </w:r>
          </w:p>
        </w:tc>
        <w:tc>
          <w:tcPr>
            <w:tcW w:w="260" w:type="dxa"/>
            <w:vAlign w:val="bottom"/>
            <w:shd w:val="clear" w:color="auto" w:fill="E3E3E3"/>
          </w:tcPr>
          <w:p>
            <w:pPr>
              <w:spacing w:after="0"/>
              <w:rPr>
                <w:sz w:val="19"/>
                <w:szCs w:val="19"/>
                <w:color w:val="auto"/>
              </w:rPr>
            </w:pPr>
          </w:p>
        </w:tc>
        <w:tc>
          <w:tcPr>
            <w:tcW w:w="1480" w:type="dxa"/>
            <w:vAlign w:val="bottom"/>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6" w:lineRule="exact"/>
        <w:rPr>
          <w:sz w:val="20"/>
          <w:szCs w:val="20"/>
          <w:color w:val="auto"/>
        </w:rPr>
      </w:pPr>
    </w:p>
    <w:p>
      <w:pPr>
        <w:ind w:left="361" w:hanging="361"/>
        <w:spacing w:after="0" w:line="272" w:lineRule="auto"/>
        <w:tabs>
          <w:tab w:leader="none" w:pos="36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Weighted average remaining life is calculated based on the carrying value of the loans as of December 31, 2025 and 2024, respectively.</w:t>
      </w:r>
    </w:p>
    <w:p>
      <w:pPr>
        <w:spacing w:after="0" w:line="131" w:lineRule="exact"/>
        <w:rPr>
          <w:rFonts w:ascii="Times New Roman" w:cs="Times New Roman" w:eastAsia="Times New Roman" w:hAnsi="Times New Roman"/>
          <w:sz w:val="20"/>
          <w:szCs w:val="20"/>
          <w:color w:val="auto"/>
        </w:rPr>
      </w:pPr>
    </w:p>
    <w:p>
      <w:pPr>
        <w:ind w:left="361"/>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tables present changes in loans held at carrying value as of and for the years ended December 31, 2025 and 2024:</w:t>
      </w:r>
    </w:p>
    <w:p>
      <w:pPr>
        <w:spacing w:after="0" w:line="202"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Current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center"/>
              <w:ind w:right="280"/>
              <w:spacing w:after="0" w:line="228" w:lineRule="exact"/>
              <w:rPr>
                <w:sz w:val="20"/>
                <w:szCs w:val="20"/>
                <w:color w:val="auto"/>
              </w:rPr>
            </w:pPr>
            <w:r>
              <w:rPr>
                <w:rFonts w:ascii="Times New Roman" w:cs="Times New Roman" w:eastAsia="Times New Roman" w:hAnsi="Times New Roman"/>
                <w:sz w:val="20"/>
                <w:szCs w:val="20"/>
                <w:b w:val="1"/>
                <w:bCs w:val="1"/>
                <w:color w:val="auto"/>
                <w:w w:val="98"/>
              </w:rPr>
              <w:t>Expected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5"/>
          </w:tcPr>
          <w:p>
            <w:pPr>
              <w:jc w:val="center"/>
              <w:ind w:right="440"/>
              <w:spacing w:after="0" w:line="228"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center"/>
              <w:ind w:right="280"/>
              <w:spacing w:after="0" w:line="228" w:lineRule="exact"/>
              <w:rPr>
                <w:sz w:val="20"/>
                <w:szCs w:val="20"/>
                <w:color w:val="auto"/>
              </w:rPr>
            </w:pPr>
            <w:r>
              <w:rPr>
                <w:rFonts w:ascii="Times New Roman" w:cs="Times New Roman" w:eastAsia="Times New Roman" w:hAnsi="Times New Roman"/>
                <w:sz w:val="20"/>
                <w:szCs w:val="20"/>
                <w:b w:val="1"/>
                <w:bCs w:val="1"/>
                <w:color w:val="auto"/>
                <w:w w:val="98"/>
              </w:rPr>
              <w:t>Credit Loss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60"/>
              <w:spacing w:after="0" w:line="228"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0" w:type="dxa"/>
            <w:vAlign w:val="bottom"/>
          </w:tcPr>
          <w:p>
            <w:pPr>
              <w:spacing w:after="0"/>
              <w:rPr>
                <w:sz w:val="1"/>
                <w:szCs w:val="1"/>
                <w:color w:val="auto"/>
              </w:rPr>
            </w:pPr>
          </w:p>
        </w:tc>
      </w:tr>
      <w:tr>
        <w:trPr>
          <w:trHeight w:val="251"/>
        </w:trPr>
        <w:tc>
          <w:tcPr>
            <w:tcW w:w="4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5"/>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7"/>
              </w:rPr>
              <w:t>Discount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5"/>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Reserve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5"/>
              </w:rPr>
              <w:t>Value</w:t>
            </w:r>
          </w:p>
        </w:tc>
        <w:tc>
          <w:tcPr>
            <w:tcW w:w="0" w:type="dxa"/>
            <w:vAlign w:val="bottom"/>
          </w:tcPr>
          <w:p>
            <w:pPr>
              <w:spacing w:after="0"/>
              <w:rPr>
                <w:sz w:val="1"/>
                <w:szCs w:val="1"/>
                <w:color w:val="auto"/>
              </w:rPr>
            </w:pPr>
          </w:p>
        </w:tc>
      </w:tr>
      <w:tr>
        <w:trPr>
          <w:trHeight w:val="236"/>
        </w:trPr>
        <w:tc>
          <w:tcPr>
            <w:tcW w:w="476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4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404,721,554</w:t>
            </w:r>
          </w:p>
        </w:tc>
        <w:tc>
          <w:tcPr>
            <w:tcW w:w="26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auto"/>
            </w:tcBorders>
            <w:gridSpan w:val="2"/>
            <w:shd w:val="clear" w:color="auto" w:fill="E3E3E3"/>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74"/>
                <w:shd w:val="clear" w:color="auto" w:fill="E3E3E3"/>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(2,244,508</w:t>
            </w:r>
          </w:p>
        </w:tc>
        <w:tc>
          <w:tcPr>
            <w:tcW w:w="240" w:type="dxa"/>
            <w:vAlign w:val="bottom"/>
            <w:tcBorders>
              <w:top w:val="single" w:sz="8" w:color="E3E3E3"/>
            </w:tcBorders>
            <w:gridSpan w:val="4"/>
            <w:shd w:val="clear" w:color="auto" w:fill="E3E3E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4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(4,346,869</w:t>
            </w:r>
          </w:p>
        </w:tc>
        <w:tc>
          <w:tcPr>
            <w:tcW w:w="160" w:type="dxa"/>
            <w:vAlign w:val="bottom"/>
            <w:tcBorders>
              <w:top w:val="single" w:sz="8" w:color="E3E3E3"/>
            </w:tcBorders>
            <w:gridSpan w:val="4"/>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10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398,130,177</w:t>
            </w:r>
          </w:p>
        </w:tc>
        <w:tc>
          <w:tcPr>
            <w:tcW w:w="8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 of investments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79,412,079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(2,062,541)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77,349,538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Principal repayment of loans</w:t>
            </w: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8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(79,221,108)</w:t>
            </w: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2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(79,221,108)</w:t>
            </w:r>
          </w:p>
        </w:tc>
        <w:tc>
          <w:tcPr>
            <w:tcW w:w="0" w:type="dxa"/>
            <w:vAlign w:val="bottom"/>
          </w:tcPr>
          <w:p>
            <w:pPr>
              <w:spacing w:after="0"/>
              <w:rPr>
                <w:sz w:val="1"/>
                <w:szCs w:val="1"/>
                <w:color w:val="auto"/>
              </w:rPr>
            </w:pPr>
          </w:p>
        </w:tc>
      </w:tr>
      <w:tr>
        <w:trPr>
          <w:trHeight w:val="241"/>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Accretion of original issue discount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2,187,528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2,187,528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Capitalized PIK Interest</w:t>
            </w: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6,162,563</w:t>
            </w:r>
          </w:p>
        </w:tc>
        <w:tc>
          <w:tcPr>
            <w:tcW w:w="26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6,162,563</w:t>
            </w:r>
          </w:p>
        </w:tc>
        <w:tc>
          <w:tcPr>
            <w:tcW w:w="8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Increase in provision for current expected credit losses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(715,916)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(715,916)</w:t>
            </w:r>
          </w:p>
        </w:tc>
        <w:tc>
          <w:tcPr>
            <w:tcW w:w="0" w:type="dxa"/>
            <w:vAlign w:val="bottom"/>
          </w:tcPr>
          <w:p>
            <w:pPr>
              <w:spacing w:after="0"/>
              <w:rPr>
                <w:sz w:val="1"/>
                <w:szCs w:val="1"/>
                <w:color w:val="auto"/>
              </w:rPr>
            </w:pPr>
          </w:p>
        </w:tc>
      </w:tr>
      <w:tr>
        <w:trPr>
          <w:trHeight w:val="236"/>
        </w:trPr>
        <w:tc>
          <w:tcPr>
            <w:tcW w:w="476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14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411,075,088</w:t>
            </w:r>
          </w:p>
        </w:tc>
        <w:tc>
          <w:tcPr>
            <w:tcW w:w="26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auto"/>
            </w:tcBorders>
            <w:gridSpan w:val="2"/>
            <w:shd w:val="clear" w:color="auto" w:fill="E3E3E3"/>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74"/>
                <w:shd w:val="clear" w:color="auto" w:fill="E3E3E3"/>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(2,119,521</w:t>
            </w:r>
          </w:p>
        </w:tc>
        <w:tc>
          <w:tcPr>
            <w:tcW w:w="240" w:type="dxa"/>
            <w:vAlign w:val="bottom"/>
            <w:tcBorders>
              <w:top w:val="single" w:sz="8" w:color="E3E3E3"/>
            </w:tcBorders>
            <w:gridSpan w:val="4"/>
            <w:shd w:val="clear" w:color="auto" w:fill="E3E3E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4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(5,062,785</w:t>
            </w:r>
          </w:p>
        </w:tc>
        <w:tc>
          <w:tcPr>
            <w:tcW w:w="160" w:type="dxa"/>
            <w:vAlign w:val="bottom"/>
            <w:tcBorders>
              <w:top w:val="single" w:sz="8" w:color="E3E3E3"/>
            </w:tcBorders>
            <w:gridSpan w:val="4"/>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10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403,892,782</w:t>
            </w:r>
          </w:p>
        </w:tc>
        <w:tc>
          <w:tcPr>
            <w:tcW w:w="8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5"/>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Current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center"/>
              <w:ind w:right="280"/>
              <w:spacing w:after="0" w:line="228" w:lineRule="exact"/>
              <w:rPr>
                <w:sz w:val="20"/>
                <w:szCs w:val="20"/>
                <w:color w:val="auto"/>
              </w:rPr>
            </w:pPr>
            <w:r>
              <w:rPr>
                <w:rFonts w:ascii="Times New Roman" w:cs="Times New Roman" w:eastAsia="Times New Roman" w:hAnsi="Times New Roman"/>
                <w:sz w:val="20"/>
                <w:szCs w:val="20"/>
                <w:b w:val="1"/>
                <w:bCs w:val="1"/>
                <w:color w:val="auto"/>
                <w:w w:val="98"/>
              </w:rPr>
              <w:t>Expected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5"/>
          </w:tcPr>
          <w:p>
            <w:pPr>
              <w:jc w:val="center"/>
              <w:ind w:right="440"/>
              <w:spacing w:after="0" w:line="228" w:lineRule="exact"/>
              <w:rPr>
                <w:sz w:val="20"/>
                <w:szCs w:val="20"/>
                <w:color w:val="auto"/>
              </w:rPr>
            </w:pPr>
            <w:r>
              <w:rPr>
                <w:rFonts w:ascii="Times New Roman" w:cs="Times New Roman" w:eastAsia="Times New Roman" w:hAnsi="Times New Roman"/>
                <w:sz w:val="20"/>
                <w:szCs w:val="20"/>
                <w:b w:val="1"/>
                <w:bCs w:val="1"/>
                <w:color w:val="auto"/>
                <w:w w:val="96"/>
              </w:rPr>
              <w:t>Issue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center"/>
              <w:ind w:right="280"/>
              <w:spacing w:after="0" w:line="228" w:lineRule="exact"/>
              <w:rPr>
                <w:sz w:val="20"/>
                <w:szCs w:val="20"/>
                <w:color w:val="auto"/>
              </w:rPr>
            </w:pPr>
            <w:r>
              <w:rPr>
                <w:rFonts w:ascii="Times New Roman" w:cs="Times New Roman" w:eastAsia="Times New Roman" w:hAnsi="Times New Roman"/>
                <w:sz w:val="20"/>
                <w:szCs w:val="20"/>
                <w:b w:val="1"/>
                <w:bCs w:val="1"/>
                <w:color w:val="auto"/>
                <w:w w:val="98"/>
              </w:rPr>
              <w:t>Credit Loss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60"/>
              <w:spacing w:after="0" w:line="228"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0" w:type="dxa"/>
            <w:vAlign w:val="bottom"/>
          </w:tcPr>
          <w:p>
            <w:pPr>
              <w:spacing w:after="0"/>
              <w:rPr>
                <w:sz w:val="1"/>
                <w:szCs w:val="1"/>
                <w:color w:val="auto"/>
              </w:rPr>
            </w:pPr>
          </w:p>
        </w:tc>
      </w:tr>
      <w:tr>
        <w:trPr>
          <w:trHeight w:val="251"/>
        </w:trPr>
        <w:tc>
          <w:tcPr>
            <w:tcW w:w="4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5"/>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7"/>
              </w:rPr>
              <w:t>Discount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5"/>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Reserve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5"/>
              </w:rPr>
              <w:t>Value</w:t>
            </w:r>
          </w:p>
        </w:tc>
        <w:tc>
          <w:tcPr>
            <w:tcW w:w="0" w:type="dxa"/>
            <w:vAlign w:val="bottom"/>
          </w:tcPr>
          <w:p>
            <w:pPr>
              <w:spacing w:after="0"/>
              <w:rPr>
                <w:sz w:val="1"/>
                <w:szCs w:val="1"/>
                <w:color w:val="auto"/>
              </w:rPr>
            </w:pPr>
          </w:p>
        </w:tc>
      </w:tr>
      <w:tr>
        <w:trPr>
          <w:trHeight w:val="236"/>
        </w:trPr>
        <w:tc>
          <w:tcPr>
            <w:tcW w:w="476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14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355,745,305</w:t>
            </w:r>
          </w:p>
        </w:tc>
        <w:tc>
          <w:tcPr>
            <w:tcW w:w="26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auto"/>
            </w:tcBorders>
            <w:gridSpan w:val="2"/>
            <w:shd w:val="clear" w:color="auto" w:fill="E3E3E3"/>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74"/>
                <w:shd w:val="clear" w:color="auto" w:fill="E3E3E3"/>
              </w:rPr>
              <w:t>$</w:t>
            </w:r>
          </w:p>
        </w:tc>
        <w:tc>
          <w:tcPr>
            <w:tcW w:w="1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(2,104,695</w:t>
            </w:r>
          </w:p>
        </w:tc>
        <w:tc>
          <w:tcPr>
            <w:tcW w:w="20" w:type="dxa"/>
            <w:vAlign w:val="bottom"/>
            <w:tcBorders>
              <w:top w:val="single" w:sz="8" w:color="auto"/>
            </w:tcBorders>
            <w:shd w:val="clear" w:color="auto" w:fill="E3E3E3"/>
          </w:tcPr>
          <w:p>
            <w:pPr>
              <w:spacing w:after="0"/>
              <w:rPr>
                <w:sz w:val="20"/>
                <w:szCs w:val="20"/>
                <w:color w:val="auto"/>
              </w:rPr>
            </w:pPr>
          </w:p>
        </w:tc>
        <w:tc>
          <w:tcPr>
            <w:tcW w:w="220" w:type="dxa"/>
            <w:vAlign w:val="bottom"/>
            <w:tcBorders>
              <w:top w:val="single" w:sz="8" w:color="E3E3E3"/>
            </w:tcBorders>
            <w:gridSpan w:val="3"/>
            <w:shd w:val="clear" w:color="auto" w:fill="E3E3E3"/>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4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(4,972,647</w:t>
            </w:r>
          </w:p>
        </w:tc>
        <w:tc>
          <w:tcPr>
            <w:tcW w:w="20" w:type="dxa"/>
            <w:vAlign w:val="bottom"/>
            <w:tcBorders>
              <w:top w:val="single" w:sz="8" w:color="auto"/>
            </w:tcBorders>
            <w:shd w:val="clear" w:color="auto" w:fill="E3E3E3"/>
          </w:tcPr>
          <w:p>
            <w:pPr>
              <w:spacing w:after="0"/>
              <w:rPr>
                <w:sz w:val="20"/>
                <w:szCs w:val="20"/>
                <w:color w:val="auto"/>
              </w:rPr>
            </w:pPr>
          </w:p>
        </w:tc>
        <w:tc>
          <w:tcPr>
            <w:tcW w:w="140" w:type="dxa"/>
            <w:vAlign w:val="bottom"/>
            <w:tcBorders>
              <w:top w:val="single" w:sz="8" w:color="E3E3E3"/>
            </w:tcBorders>
            <w:gridSpan w:val="3"/>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shd w:val="clear" w:color="auto" w:fill="E3E3E3"/>
              </w:rPr>
              <w:t>$</w:t>
            </w:r>
          </w:p>
        </w:tc>
        <w:tc>
          <w:tcPr>
            <w:tcW w:w="1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shd w:val="clear" w:color="auto" w:fill="E3E3E3"/>
              </w:rPr>
              <w:t>348,667,963</w:t>
            </w:r>
          </w:p>
        </w:tc>
        <w:tc>
          <w:tcPr>
            <w:tcW w:w="8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 of investments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161,289,523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(1,836,952)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159,452,571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Principal repayment of loans</w:t>
            </w: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380" w:type="dxa"/>
            <w:vAlign w:val="bottom"/>
            <w:gridSpan w:val="2"/>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(102,461,111)</w:t>
            </w: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20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(102,461,111)</w:t>
            </w:r>
          </w:p>
        </w:tc>
        <w:tc>
          <w:tcPr>
            <w:tcW w:w="0" w:type="dxa"/>
            <w:vAlign w:val="bottom"/>
          </w:tcPr>
          <w:p>
            <w:pPr>
              <w:spacing w:after="0"/>
              <w:rPr>
                <w:sz w:val="1"/>
                <w:szCs w:val="1"/>
                <w:color w:val="auto"/>
              </w:rPr>
            </w:pPr>
          </w:p>
        </w:tc>
      </w:tr>
      <w:tr>
        <w:trPr>
          <w:trHeight w:val="241"/>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Accretion of original issue discount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1,697,139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E3E3E3"/>
          </w:tcPr>
          <w:p>
            <w:pPr>
              <w:ind w:left="200"/>
              <w:spacing w:after="0" w:line="222" w:lineRule="exact"/>
              <w:rPr>
                <w:sz w:val="20"/>
                <w:szCs w:val="20"/>
                <w:color w:val="auto"/>
              </w:rPr>
            </w:pPr>
            <w:r>
              <w:rPr>
                <w:rFonts w:ascii="Times New Roman" w:cs="Times New Roman" w:eastAsia="Times New Roman" w:hAnsi="Times New Roman"/>
                <w:sz w:val="20"/>
                <w:szCs w:val="20"/>
                <w:color w:val="auto"/>
              </w:rPr>
              <w:t>Transfer of loan held for investment to loan held for</w:t>
            </w:r>
          </w:p>
        </w:tc>
        <w:tc>
          <w:tcPr>
            <w:tcW w:w="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380" w:type="dxa"/>
            <w:vAlign w:val="bottom"/>
            <w:gridSpan w:val="2"/>
            <w:vMerge w:val="restart"/>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(19,000,000)</w:t>
            </w:r>
          </w:p>
        </w:tc>
        <w:tc>
          <w:tcPr>
            <w:tcW w:w="2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1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213,913</w:t>
            </w: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200" w:type="dxa"/>
            <w:vAlign w:val="bottom"/>
            <w:gridSpan w:val="2"/>
            <w:vMerge w:val="restart"/>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(18,786,087)</w:t>
            </w:r>
          </w:p>
        </w:tc>
        <w:tc>
          <w:tcPr>
            <w:tcW w:w="0" w:type="dxa"/>
            <w:vAlign w:val="bottom"/>
          </w:tcPr>
          <w:p>
            <w:pPr>
              <w:spacing w:after="0"/>
              <w:rPr>
                <w:sz w:val="1"/>
                <w:szCs w:val="1"/>
                <w:color w:val="auto"/>
              </w:rPr>
            </w:pPr>
          </w:p>
        </w:tc>
      </w:tr>
      <w:tr>
        <w:trPr>
          <w:trHeight w:val="247"/>
        </w:trPr>
        <w:tc>
          <w:tcPr>
            <w:tcW w:w="47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sale</w:t>
            </w:r>
          </w:p>
        </w:tc>
        <w:tc>
          <w:tcPr>
            <w:tcW w:w="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380" w:type="dxa"/>
            <w:vAlign w:val="bottom"/>
            <w:gridSpan w:val="2"/>
            <w:vMerge w:val="continue"/>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140" w:type="dxa"/>
            <w:vAlign w:val="bottom"/>
            <w:vMerge w:val="continue"/>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200" w:type="dxa"/>
            <w:vAlign w:val="bottom"/>
            <w:gridSpan w:val="2"/>
            <w:vMerge w:val="continue"/>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Capitalized PIK Interest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9,147,837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9,147,837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760" w:type="dxa"/>
            <w:vAlign w:val="bottom"/>
            <w:tcBorders>
              <w:bottom w:val="single" w:sz="8" w:color="E3E3E3"/>
            </w:tcBorders>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Increase in provision for current expected credit losses</w:t>
            </w:r>
          </w:p>
        </w:tc>
        <w:tc>
          <w:tcPr>
            <w:tcW w:w="2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auto"/>
            </w:tcBorders>
            <w:shd w:val="clear" w:color="auto" w:fill="E3E3E3"/>
          </w:tcPr>
          <w:p>
            <w:pPr>
              <w:spacing w:after="0"/>
              <w:rPr>
                <w:sz w:val="22"/>
                <w:szCs w:val="22"/>
                <w:color w:val="auto"/>
              </w:rPr>
            </w:pPr>
          </w:p>
        </w:tc>
        <w:tc>
          <w:tcPr>
            <w:tcW w:w="11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auto"/>
            </w:tcBorders>
            <w:shd w:val="clear" w:color="auto" w:fill="E3E3E3"/>
          </w:tcPr>
          <w:p>
            <w:pPr>
              <w:spacing w:after="0"/>
              <w:rPr>
                <w:sz w:val="22"/>
                <w:szCs w:val="22"/>
                <w:color w:val="auto"/>
              </w:rPr>
            </w:pPr>
          </w:p>
        </w:tc>
        <w:tc>
          <w:tcPr>
            <w:tcW w:w="1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E3E3E3"/>
          </w:tcPr>
          <w:p>
            <w:pPr>
              <w:spacing w:after="0"/>
              <w:rPr>
                <w:sz w:val="22"/>
                <w:szCs w:val="22"/>
                <w:color w:val="auto"/>
              </w:rPr>
            </w:pPr>
          </w:p>
        </w:tc>
        <w:tc>
          <w:tcPr>
            <w:tcW w:w="20" w:type="dxa"/>
            <w:vAlign w:val="bottom"/>
            <w:tcBorders>
              <w:bottom w:val="single" w:sz="8" w:color="auto"/>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8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00" w:type="dxa"/>
            <w:vAlign w:val="bottom"/>
            <w:tcBorders>
              <w:bottom w:val="single" w:sz="8" w:color="auto"/>
            </w:tcBorders>
            <w:shd w:val="clear" w:color="auto" w:fill="E3E3E3"/>
          </w:tcPr>
          <w:p>
            <w:pPr>
              <w:spacing w:after="0"/>
              <w:rPr>
                <w:sz w:val="22"/>
                <w:szCs w:val="22"/>
                <w:color w:val="auto"/>
              </w:rPr>
            </w:pPr>
          </w:p>
        </w:tc>
        <w:tc>
          <w:tcPr>
            <w:tcW w:w="1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411,865</w:t>
            </w:r>
          </w:p>
        </w:tc>
        <w:tc>
          <w:tcPr>
            <w:tcW w:w="20" w:type="dxa"/>
            <w:vAlign w:val="bottom"/>
            <w:tcBorders>
              <w:bottom w:val="single" w:sz="8" w:color="auto"/>
            </w:tcBorders>
            <w:shd w:val="clear" w:color="auto" w:fill="E3E3E3"/>
          </w:tcPr>
          <w:p>
            <w:pPr>
              <w:spacing w:after="0"/>
              <w:rPr>
                <w:sz w:val="22"/>
                <w:szCs w:val="22"/>
                <w:color w:val="auto"/>
              </w:rPr>
            </w:pPr>
          </w:p>
        </w:tc>
        <w:tc>
          <w:tcPr>
            <w:tcW w:w="20" w:type="dxa"/>
            <w:vAlign w:val="bottom"/>
            <w:tcBorders>
              <w:bottom w:val="single" w:sz="8" w:color="auto"/>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auto"/>
            </w:tcBorders>
            <w:shd w:val="clear" w:color="auto" w:fill="E3E3E3"/>
          </w:tcPr>
          <w:p>
            <w:pPr>
              <w:spacing w:after="0"/>
              <w:rPr>
                <w:sz w:val="22"/>
                <w:szCs w:val="22"/>
                <w:color w:val="auto"/>
              </w:rPr>
            </w:pPr>
          </w:p>
        </w:tc>
        <w:tc>
          <w:tcPr>
            <w:tcW w:w="11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411,865</w:t>
            </w:r>
          </w:p>
        </w:tc>
        <w:tc>
          <w:tcPr>
            <w:tcW w:w="80" w:type="dxa"/>
            <w:vAlign w:val="bottom"/>
            <w:tcBorders>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404,721,554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gridSpan w:val="3"/>
          </w:tcPr>
          <w:p>
            <w:pPr>
              <w:jc w:val="right"/>
              <w:ind w:right="22"/>
              <w:spacing w:after="0" w:line="216" w:lineRule="exact"/>
              <w:rPr>
                <w:sz w:val="20"/>
                <w:szCs w:val="20"/>
                <w:color w:val="auto"/>
              </w:rPr>
            </w:pPr>
            <w:r>
              <w:rPr>
                <w:rFonts w:ascii="Times New Roman" w:cs="Times New Roman" w:eastAsia="Times New Roman" w:hAnsi="Times New Roman"/>
                <w:sz w:val="20"/>
                <w:szCs w:val="20"/>
                <w:b w:val="1"/>
                <w:bCs w:val="1"/>
                <w:color w:val="auto"/>
              </w:rPr>
              <w:t>(2,244,508</w:t>
            </w:r>
          </w:p>
        </w:tc>
        <w:tc>
          <w:tcPr>
            <w:tcW w:w="200" w:type="dxa"/>
            <w:vAlign w:val="bottom"/>
            <w:gridSpan w:val="2"/>
          </w:tcPr>
          <w:p>
            <w:pPr>
              <w:jc w:val="right"/>
              <w:ind w:right="180"/>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(4,346,869</w:t>
            </w: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398,130,177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41"/>
          </w:cols>
          <w:pgMar w:left="799" w:top="1005"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0641"/>
          </w:cols>
          <w:pgMar w:left="799" w:top="1005" w:right="800" w:bottom="266" w:gutter="0" w:footer="0" w:header="0"/>
          <w:type w:val="continuous"/>
        </w:sectPr>
      </w:pPr>
    </w:p>
    <w:bookmarkStart w:id="115" w:name="page116"/>
    <w:bookmarkEnd w:id="115"/>
    <w:p>
      <w:pPr>
        <w:ind w:right="40" w:firstLine="355"/>
        <w:spacing w:after="0" w:line="256" w:lineRule="auto"/>
        <w:rPr>
          <w:sz w:val="20"/>
          <w:szCs w:val="20"/>
          <w:color w:val="auto"/>
        </w:rPr>
      </w:pPr>
      <w:r>
        <w:rPr>
          <w:rFonts w:ascii="Times New Roman" w:cs="Times New Roman" w:eastAsia="Times New Roman" w:hAnsi="Times New Roman"/>
          <w:sz w:val="20"/>
          <w:szCs w:val="20"/>
          <w:color w:val="auto"/>
        </w:rPr>
        <w:t>A more detailed listing of the Company’s loans held at carrying value based on information available as of December 31, 2025, is as follows:</w:t>
      </w:r>
    </w:p>
    <w:tbl>
      <w:tblPr>
        <w:tblLayout w:type="fixed"/>
        <w:tblInd w:w="0" w:type="dxa"/>
        <w:tblCellMar>
          <w:top w:w="0" w:type="dxa"/>
          <w:left w:w="0" w:type="dxa"/>
          <w:bottom w:w="0" w:type="dxa"/>
          <w:right w:w="0" w:type="dxa"/>
        </w:tblCellMar>
      </w:tblPr>
      <w:tr>
        <w:trPr>
          <w:trHeight w:val="160"/>
        </w:trPr>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Initial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5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00" w:type="dxa"/>
            <w:vAlign w:val="bottom"/>
            <w:gridSpan w:val="2"/>
            <w:vMerge w:val="restart"/>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840" w:type="dxa"/>
            <w:vAlign w:val="bottom"/>
            <w:vMerge w:val="restart"/>
          </w:tcPr>
          <w:p>
            <w:pPr>
              <w:jc w:val="right"/>
              <w:ind w:right="81"/>
              <w:spacing w:after="0" w:line="182"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3"/>
            <w:vMerge w:val="restart"/>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auto"/>
                <w:w w:val="94"/>
              </w:rPr>
              <w:t>of Loans</w:t>
            </w:r>
          </w:p>
        </w:tc>
        <w:tc>
          <w:tcPr>
            <w:tcW w:w="100" w:type="dxa"/>
            <w:vAlign w:val="bottom"/>
          </w:tcPr>
          <w:p>
            <w:pPr>
              <w:spacing w:after="0"/>
              <w:rPr>
                <w:sz w:val="7"/>
                <w:szCs w:val="7"/>
                <w:color w:val="auto"/>
              </w:rPr>
            </w:pPr>
          </w:p>
        </w:tc>
        <w:tc>
          <w:tcPr>
            <w:tcW w:w="800" w:type="dxa"/>
            <w:vAlign w:val="bottom"/>
            <w:gridSpan w:val="2"/>
            <w:vMerge w:val="restart"/>
          </w:tcPr>
          <w:p>
            <w:pPr>
              <w:jc w:val="center"/>
              <w:ind w:right="140"/>
              <w:spacing w:after="0" w:line="182" w:lineRule="exact"/>
              <w:rPr>
                <w:sz w:val="20"/>
                <w:szCs w:val="20"/>
                <w:color w:val="auto"/>
              </w:rPr>
            </w:pPr>
            <w:r>
              <w:rPr>
                <w:rFonts w:ascii="Times New Roman" w:cs="Times New Roman" w:eastAsia="Times New Roman" w:hAnsi="Times New Roman"/>
                <w:sz w:val="16"/>
                <w:szCs w:val="16"/>
                <w:b w:val="1"/>
                <w:bCs w:val="1"/>
                <w:color w:val="auto"/>
                <w:w w:val="97"/>
              </w:rPr>
              <w:t>Future</w:t>
            </w:r>
          </w:p>
        </w:tc>
        <w:tc>
          <w:tcPr>
            <w:tcW w:w="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20" w:type="dxa"/>
            <w:vAlign w:val="bottom"/>
            <w:vMerge w:val="restart"/>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8"/>
              </w:rPr>
              <w:t>Periodic</w:t>
            </w:r>
          </w:p>
        </w:tc>
        <w:tc>
          <w:tcPr>
            <w:tcW w:w="720" w:type="dxa"/>
            <w:vAlign w:val="bottom"/>
            <w:gridSpan w:val="2"/>
            <w:vMerge w:val="restart"/>
          </w:tcPr>
          <w:p>
            <w:pPr>
              <w:jc w:val="center"/>
              <w:ind w:right="40"/>
              <w:spacing w:after="0" w:line="182" w:lineRule="exact"/>
              <w:rPr>
                <w:sz w:val="20"/>
                <w:szCs w:val="20"/>
                <w:color w:val="auto"/>
              </w:rPr>
            </w:pPr>
            <w:r>
              <w:rPr>
                <w:rFonts w:ascii="Times New Roman" w:cs="Times New Roman" w:eastAsia="Times New Roman" w:hAnsi="Times New Roman"/>
                <w:sz w:val="16"/>
                <w:szCs w:val="16"/>
                <w:b w:val="1"/>
                <w:bCs w:val="1"/>
                <w:color w:val="auto"/>
                <w:w w:val="96"/>
              </w:rPr>
              <w:t>YTM</w:t>
            </w:r>
          </w:p>
        </w:tc>
        <w:tc>
          <w:tcPr>
            <w:tcW w:w="0" w:type="dxa"/>
            <w:vAlign w:val="bottom"/>
          </w:tcPr>
          <w:p>
            <w:pPr>
              <w:spacing w:after="0"/>
              <w:rPr>
                <w:sz w:val="1"/>
                <w:szCs w:val="1"/>
                <w:color w:val="auto"/>
              </w:rPr>
            </w:pPr>
          </w:p>
        </w:tc>
      </w:tr>
      <w:tr>
        <w:trPr>
          <w:trHeight w:val="91"/>
        </w:trPr>
        <w:tc>
          <w:tcPr>
            <w:tcW w:w="5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Funding</w:t>
            </w:r>
          </w:p>
        </w:tc>
        <w:tc>
          <w:tcPr>
            <w:tcW w:w="9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Issue</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held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Premium/(Di</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auto"/>
                <w:w w:val="97"/>
              </w:rPr>
              <w:t>for</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Paymen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4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b w:val="1"/>
                <w:bCs w:val="1"/>
                <w:color w:val="auto"/>
              </w:rPr>
              <w:t>Loan</w:t>
            </w:r>
          </w:p>
        </w:tc>
        <w:tc>
          <w:tcPr>
            <w:tcW w:w="980" w:type="dxa"/>
            <w:vAlign w:val="bottom"/>
          </w:tcPr>
          <w:p>
            <w:pPr>
              <w:spacing w:after="0"/>
              <w:rPr>
                <w:sz w:val="14"/>
                <w:szCs w:val="14"/>
                <w:color w:val="auto"/>
              </w:rPr>
            </w:pPr>
          </w:p>
        </w:tc>
        <w:tc>
          <w:tcPr>
            <w:tcW w:w="840" w:type="dxa"/>
            <w:vAlign w:val="bottom"/>
          </w:tcPr>
          <w:p>
            <w:pPr>
              <w:jc w:val="center"/>
              <w:ind w:right="21"/>
              <w:spacing w:after="0" w:line="167" w:lineRule="exact"/>
              <w:rPr>
                <w:sz w:val="20"/>
                <w:szCs w:val="20"/>
                <w:color w:val="auto"/>
              </w:rPr>
            </w:pPr>
            <w:r>
              <w:rPr>
                <w:rFonts w:ascii="Times New Roman" w:cs="Times New Roman" w:eastAsia="Times New Roman" w:hAnsi="Times New Roman"/>
                <w:sz w:val="16"/>
                <w:szCs w:val="16"/>
                <w:b w:val="1"/>
                <w:bCs w:val="1"/>
                <w:color w:val="auto"/>
                <w:w w:val="98"/>
              </w:rPr>
              <w:t>Date (1)</w:t>
            </w:r>
          </w:p>
        </w:tc>
        <w:tc>
          <w:tcPr>
            <w:tcW w:w="90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6"/>
                <w:szCs w:val="16"/>
                <w:b w:val="1"/>
                <w:bCs w:val="1"/>
                <w:color w:val="auto"/>
              </w:rPr>
              <w:t>Date (2)</w:t>
            </w:r>
          </w:p>
        </w:tc>
        <w:tc>
          <w:tcPr>
            <w:tcW w:w="840" w:type="dxa"/>
            <w:vAlign w:val="bottom"/>
          </w:tcPr>
          <w:p>
            <w:pPr>
              <w:jc w:val="right"/>
              <w:ind w:right="141"/>
              <w:spacing w:after="0" w:line="16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40"/>
              <w:spacing w:after="0" w:line="167"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220"/>
              <w:spacing w:after="0" w:line="167" w:lineRule="exact"/>
              <w:rPr>
                <w:sz w:val="20"/>
                <w:szCs w:val="20"/>
                <w:color w:val="auto"/>
              </w:rPr>
            </w:pPr>
            <w:r>
              <w:rPr>
                <w:rFonts w:ascii="Times New Roman" w:cs="Times New Roman" w:eastAsia="Times New Roman" w:hAnsi="Times New Roman"/>
                <w:sz w:val="16"/>
                <w:szCs w:val="16"/>
                <w:b w:val="1"/>
                <w:bCs w:val="1"/>
                <w:color w:val="auto"/>
                <w:w w:val="95"/>
              </w:rPr>
              <w:t>investme</w:t>
            </w:r>
          </w:p>
        </w:tc>
        <w:tc>
          <w:tcPr>
            <w:tcW w:w="100" w:type="dxa"/>
            <w:vAlign w:val="bottom"/>
          </w:tcPr>
          <w:p>
            <w:pPr>
              <w:spacing w:after="0"/>
              <w:rPr>
                <w:sz w:val="14"/>
                <w:szCs w:val="14"/>
                <w:color w:val="auto"/>
              </w:rPr>
            </w:pPr>
          </w:p>
        </w:tc>
        <w:tc>
          <w:tcPr>
            <w:tcW w:w="800" w:type="dxa"/>
            <w:vAlign w:val="bottom"/>
            <w:gridSpan w:val="2"/>
          </w:tcPr>
          <w:p>
            <w:pPr>
              <w:jc w:val="center"/>
              <w:ind w:right="120"/>
              <w:spacing w:after="0" w:line="167" w:lineRule="exact"/>
              <w:rPr>
                <w:sz w:val="20"/>
                <w:szCs w:val="20"/>
                <w:color w:val="auto"/>
              </w:rPr>
            </w:pPr>
            <w:r>
              <w:rPr>
                <w:rFonts w:ascii="Times New Roman" w:cs="Times New Roman" w:eastAsia="Times New Roman" w:hAnsi="Times New Roman"/>
                <w:sz w:val="16"/>
                <w:szCs w:val="16"/>
                <w:b w:val="1"/>
                <w:bCs w:val="1"/>
                <w:color w:val="auto"/>
                <w:w w:val="99"/>
              </w:rPr>
              <w:t>Fundings</w:t>
            </w:r>
          </w:p>
        </w:tc>
        <w:tc>
          <w:tcPr>
            <w:tcW w:w="40" w:type="dxa"/>
            <w:vAlign w:val="bottom"/>
          </w:tcPr>
          <w:p>
            <w:pPr>
              <w:spacing w:after="0"/>
              <w:rPr>
                <w:sz w:val="14"/>
                <w:szCs w:val="14"/>
                <w:color w:val="auto"/>
              </w:rPr>
            </w:pPr>
          </w:p>
        </w:tc>
        <w:tc>
          <w:tcPr>
            <w:tcW w:w="1380" w:type="dxa"/>
            <w:vAlign w:val="bottom"/>
          </w:tcPr>
          <w:p>
            <w:pPr>
              <w:ind w:left="140"/>
              <w:spacing w:after="0" w:line="167" w:lineRule="exact"/>
              <w:rPr>
                <w:sz w:val="20"/>
                <w:szCs w:val="20"/>
                <w:color w:val="auto"/>
              </w:rPr>
            </w:pPr>
            <w:r>
              <w:rPr>
                <w:rFonts w:ascii="Times New Roman" w:cs="Times New Roman" w:eastAsia="Times New Roman" w:hAnsi="Times New Roman"/>
                <w:sz w:val="16"/>
                <w:szCs w:val="16"/>
                <w:b w:val="1"/>
                <w:bCs w:val="1"/>
                <w:color w:val="auto"/>
              </w:rPr>
              <w:t>Interest Rate (3)</w:t>
            </w:r>
          </w:p>
        </w:tc>
        <w:tc>
          <w:tcPr>
            <w:tcW w:w="620" w:type="dxa"/>
            <w:vAlign w:val="bottom"/>
            <w:vMerge w:val="continue"/>
          </w:tcPr>
          <w:p>
            <w:pPr>
              <w:spacing w:after="0"/>
              <w:rPr>
                <w:sz w:val="14"/>
                <w:szCs w:val="14"/>
                <w:color w:val="auto"/>
              </w:rPr>
            </w:pPr>
          </w:p>
        </w:tc>
        <w:tc>
          <w:tcPr>
            <w:tcW w:w="720" w:type="dxa"/>
            <w:vAlign w:val="bottom"/>
            <w:gridSpan w:val="2"/>
          </w:tcPr>
          <w:p>
            <w:pPr>
              <w:jc w:val="center"/>
              <w:ind w:right="40"/>
              <w:spacing w:after="0" w:line="167" w:lineRule="exact"/>
              <w:rPr>
                <w:sz w:val="20"/>
                <w:szCs w:val="20"/>
                <w:color w:val="auto"/>
              </w:rPr>
            </w:pPr>
            <w:r>
              <w:rPr>
                <w:rFonts w:ascii="Times New Roman" w:cs="Times New Roman" w:eastAsia="Times New Roman" w:hAnsi="Times New Roman"/>
                <w:sz w:val="16"/>
                <w:szCs w:val="16"/>
                <w:b w:val="1"/>
                <w:bCs w:val="1"/>
                <w:color w:val="auto"/>
                <w:w w:val="99"/>
              </w:rPr>
              <w:t>IRR (5)</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Location(s)</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tcPr>
          <w:p>
            <w:pPr>
              <w:jc w:val="center"/>
              <w:ind w:right="260"/>
              <w:spacing w:after="0" w:line="182" w:lineRule="exact"/>
              <w:rPr>
                <w:sz w:val="20"/>
                <w:szCs w:val="20"/>
                <w:color w:val="auto"/>
              </w:rPr>
            </w:pPr>
            <w:r>
              <w:rPr>
                <w:rFonts w:ascii="Times New Roman" w:cs="Times New Roman" w:eastAsia="Times New Roman" w:hAnsi="Times New Roman"/>
                <w:sz w:val="16"/>
                <w:szCs w:val="16"/>
                <w:b w:val="1"/>
                <w:bCs w:val="1"/>
                <w:color w:val="auto"/>
              </w:rPr>
              <w:t>scount)</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nt</w:t>
            </w:r>
          </w:p>
        </w:tc>
        <w:tc>
          <w:tcPr>
            <w:tcW w:w="200" w:type="dxa"/>
            <w:vAlign w:val="bottom"/>
            <w:gridSpan w:val="2"/>
            <w:vMerge w:val="restart"/>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9"/>
              </w:rPr>
              <w:t>t (4)</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1</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Various</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10/27/202</w:t>
            </w:r>
          </w:p>
        </w:tc>
        <w:tc>
          <w:tcPr>
            <w:tcW w:w="9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color w:val="auto"/>
              </w:rPr>
              <w:t>10/30/20 $</w:t>
            </w: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15,771,067</w:t>
            </w:r>
          </w:p>
        </w:tc>
        <w:tc>
          <w:tcPr>
            <w:tcW w:w="40" w:type="dxa"/>
            <w:vAlign w:val="bottom"/>
          </w:tcPr>
          <w:p>
            <w:pPr>
              <w:spacing w:after="0"/>
              <w:rPr>
                <w:sz w:val="15"/>
                <w:szCs w:val="15"/>
                <w:color w:val="auto"/>
              </w:rPr>
            </w:pPr>
          </w:p>
        </w:tc>
        <w:tc>
          <w:tcPr>
            <w:tcW w:w="1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(97,600)</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15,673,467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4"/>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P+6.5% Cash (8)</w:t>
            </w: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2a</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Michigan</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12/31/202</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12/31/20</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27,110,506</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(1,513)</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27,108,993</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16"/>
                <w:szCs w:val="16"/>
                <w:color w:val="auto"/>
              </w:rPr>
              <w:t>P+3% Cash (12)</w:t>
            </w: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16.8%</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1</w:t>
            </w: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1380" w:type="dxa"/>
            <w:vAlign w:val="bottom"/>
            <w:vMerge w:val="continue"/>
            <w:shd w:val="clear" w:color="auto" w:fill="E3E3E3"/>
          </w:tcPr>
          <w:p>
            <w:pPr>
              <w:spacing w:after="0"/>
              <w:rPr>
                <w:sz w:val="17"/>
                <w:szCs w:val="17"/>
                <w:color w:val="auto"/>
              </w:rPr>
            </w:pP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2b</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Michigan</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12/16/202</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12/31/20</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969,406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(9,286)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960,120</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0% Cash, 10% PIK</w:t>
            </w: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4</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Arizona</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6/1/2024</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6/17/202</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6,626,809</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80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6,626,809</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16"/>
                <w:szCs w:val="16"/>
                <w:color w:val="auto"/>
              </w:rPr>
              <w:t>11.91% Cash (18)</w:t>
            </w: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17.0%</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1380" w:type="dxa"/>
            <w:vAlign w:val="bottom"/>
            <w:vMerge w:val="continue"/>
            <w:shd w:val="clear" w:color="auto" w:fill="E3E3E3"/>
          </w:tcPr>
          <w:p>
            <w:pPr>
              <w:spacing w:after="0"/>
              <w:rPr>
                <w:sz w:val="17"/>
                <w:szCs w:val="17"/>
                <w:color w:val="auto"/>
              </w:rPr>
            </w:pP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6</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Michigan</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8/20/2021</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1/30/202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3,157,129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(1,537)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3,155,592</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P+6.5% Cash</w:t>
            </w: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(12)(17)</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7</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Illinois,</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6/30/2025</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6/30/202</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36,130,667</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(447,376)</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35,683,291</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16"/>
                <w:szCs w:val="16"/>
                <w:color w:val="auto"/>
              </w:rPr>
              <w:t>P+5.75% Cash (9)</w:t>
            </w: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15.0%</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ind w:left="220"/>
              <w:spacing w:after="0"/>
              <w:rPr>
                <w:sz w:val="20"/>
                <w:szCs w:val="20"/>
                <w:color w:val="auto"/>
              </w:rPr>
            </w:pPr>
            <w:r>
              <w:rPr>
                <w:rFonts w:ascii="Times New Roman" w:cs="Times New Roman" w:eastAsia="Times New Roman" w:hAnsi="Times New Roman"/>
                <w:sz w:val="16"/>
                <w:szCs w:val="16"/>
                <w:color w:val="auto"/>
              </w:rPr>
              <w:t>Arizona</w:t>
            </w:r>
          </w:p>
        </w:tc>
        <w:tc>
          <w:tcPr>
            <w:tcW w:w="840" w:type="dxa"/>
            <w:vAlign w:val="bottom"/>
            <w:shd w:val="clear" w:color="auto" w:fill="E3E3E3"/>
          </w:tcPr>
          <w:p>
            <w:pPr>
              <w:spacing w:after="0"/>
              <w:rPr>
                <w:sz w:val="17"/>
                <w:szCs w:val="17"/>
                <w:color w:val="auto"/>
              </w:rPr>
            </w:pP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1380" w:type="dxa"/>
            <w:vAlign w:val="bottom"/>
            <w:vMerge w:val="continue"/>
            <w:shd w:val="clear" w:color="auto" w:fill="E3E3E3"/>
          </w:tcPr>
          <w:p>
            <w:pPr>
              <w:spacing w:after="0"/>
              <w:rPr>
                <w:sz w:val="17"/>
                <w:szCs w:val="17"/>
                <w:color w:val="auto"/>
              </w:rPr>
            </w:pP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8</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West</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8/30/2024</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6/30/202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8,491,943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8,491,943</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12% Cash</w:t>
            </w: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Virginia</w:t>
            </w: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9a</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Pennsylva</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3/31/2025</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3/31/202</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14,576,987</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(55,030)</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14,521,957</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shd w:val="clear" w:color="auto" w:fill="E3E3E3"/>
          </w:tcPr>
          <w:p>
            <w:pPr>
              <w:spacing w:after="0"/>
              <w:rPr>
                <w:sz w:val="15"/>
                <w:szCs w:val="15"/>
                <w:color w:val="auto"/>
              </w:rPr>
            </w:pP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9.7%</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ind w:left="220"/>
              <w:spacing w:after="0"/>
              <w:rPr>
                <w:sz w:val="20"/>
                <w:szCs w:val="20"/>
                <w:color w:val="auto"/>
              </w:rPr>
            </w:pPr>
            <w:r>
              <w:rPr>
                <w:rFonts w:ascii="Times New Roman" w:cs="Times New Roman" w:eastAsia="Times New Roman" w:hAnsi="Times New Roman"/>
                <w:sz w:val="16"/>
                <w:szCs w:val="16"/>
                <w:color w:val="auto"/>
              </w:rPr>
              <w:t>nia</w:t>
            </w:r>
          </w:p>
        </w:tc>
        <w:tc>
          <w:tcPr>
            <w:tcW w:w="840" w:type="dxa"/>
            <w:vAlign w:val="bottom"/>
            <w:shd w:val="clear" w:color="auto" w:fill="E3E3E3"/>
          </w:tcPr>
          <w:p>
            <w:pPr>
              <w:spacing w:after="0"/>
              <w:rPr>
                <w:sz w:val="17"/>
                <w:szCs w:val="17"/>
                <w:color w:val="auto"/>
              </w:rPr>
            </w:pP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13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9% Cash (13)</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9b</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Pennsylva</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3/31/2025</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3/31/202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14,550,000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(53,007)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14,496,993</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nia</w:t>
            </w: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9% Cash (13)</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12</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Various</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11/8/2021</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10/31/20</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15,681,730</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(81,354)</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15,600,376</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shd w:val="clear" w:color="auto" w:fill="E3E3E3"/>
          </w:tcPr>
          <w:p>
            <w:pPr>
              <w:spacing w:after="0" w:line="181" w:lineRule="exact"/>
              <w:rPr>
                <w:sz w:val="20"/>
                <w:szCs w:val="20"/>
                <w:color w:val="auto"/>
              </w:rPr>
            </w:pPr>
            <w:r>
              <w:rPr>
                <w:rFonts w:ascii="Times New Roman" w:cs="Times New Roman" w:eastAsia="Times New Roman" w:hAnsi="Times New Roman"/>
                <w:sz w:val="16"/>
                <w:szCs w:val="16"/>
                <w:color w:val="auto"/>
              </w:rPr>
              <w:t>P+7% Cash, 2% PIK</w:t>
            </w: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19.8%</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420" w:type="dxa"/>
            <w:vAlign w:val="bottom"/>
            <w:gridSpan w:val="2"/>
            <w:shd w:val="clear" w:color="auto" w:fill="E3E3E3"/>
          </w:tcPr>
          <w:p>
            <w:pPr>
              <w:ind w:left="40"/>
              <w:spacing w:after="0"/>
              <w:rPr>
                <w:sz w:val="20"/>
                <w:szCs w:val="20"/>
                <w:color w:val="auto"/>
              </w:rPr>
            </w:pPr>
            <w:r>
              <w:rPr>
                <w:rFonts w:ascii="Times New Roman" w:cs="Times New Roman" w:eastAsia="Times New Roman" w:hAnsi="Times New Roman"/>
                <w:sz w:val="16"/>
                <w:szCs w:val="16"/>
                <w:color w:val="auto"/>
              </w:rPr>
              <w:t>(10)</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16</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Florida</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6/1/2025</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1/29/202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10,957,500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(98,309)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10,859,191</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26.9%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16.75% Cash</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18</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Ohio</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12/31/202</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12/31/20</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47,164,373</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80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47,164,373</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shd w:val="clear" w:color="auto" w:fill="E3E3E3"/>
          </w:tcPr>
          <w:p>
            <w:pPr>
              <w:spacing w:after="0" w:line="181" w:lineRule="exact"/>
              <w:rPr>
                <w:sz w:val="20"/>
                <w:szCs w:val="20"/>
                <w:color w:val="auto"/>
              </w:rPr>
            </w:pPr>
            <w:r>
              <w:rPr>
                <w:rFonts w:ascii="Times New Roman" w:cs="Times New Roman" w:eastAsia="Times New Roman" w:hAnsi="Times New Roman"/>
                <w:sz w:val="16"/>
                <w:szCs w:val="16"/>
                <w:color w:val="auto"/>
              </w:rPr>
              <w:t>P+1.75% Cash, 5%</w:t>
            </w: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17.9%</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13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PIK (9)(14)</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19</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Florida</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3/11/2022</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12/31/20</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21,359,272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(37,269)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21,322,003</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11% Cash, 5% PIK</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21</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Illinois</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7/1/2022</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7/29/202</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6,557,301</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(10,107)</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6,547,194</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shd w:val="clear" w:color="auto" w:fill="E3E3E3"/>
          </w:tcPr>
          <w:p>
            <w:pPr>
              <w:spacing w:after="0" w:line="181" w:lineRule="exact"/>
              <w:rPr>
                <w:sz w:val="20"/>
                <w:szCs w:val="20"/>
                <w:color w:val="auto"/>
              </w:rPr>
            </w:pPr>
            <w:r>
              <w:rPr>
                <w:rFonts w:ascii="Times New Roman" w:cs="Times New Roman" w:eastAsia="Times New Roman" w:hAnsi="Times New Roman"/>
                <w:sz w:val="16"/>
                <w:szCs w:val="16"/>
                <w:color w:val="auto"/>
              </w:rPr>
              <w:t>P+7% Cash, 2% PIK</w:t>
            </w: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23.3%</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420" w:type="dxa"/>
            <w:vAlign w:val="bottom"/>
            <w:gridSpan w:val="2"/>
            <w:shd w:val="clear" w:color="auto" w:fill="E3E3E3"/>
          </w:tcPr>
          <w:p>
            <w:pPr>
              <w:ind w:left="40"/>
              <w:spacing w:after="0"/>
              <w:rPr>
                <w:sz w:val="20"/>
                <w:szCs w:val="20"/>
                <w:color w:val="auto"/>
              </w:rPr>
            </w:pPr>
            <w:r>
              <w:rPr>
                <w:rFonts w:ascii="Times New Roman" w:cs="Times New Roman" w:eastAsia="Times New Roman" w:hAnsi="Times New Roman"/>
                <w:sz w:val="16"/>
                <w:szCs w:val="16"/>
                <w:color w:val="auto"/>
              </w:rPr>
              <w:t>(9)</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23</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Arizona</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3/27/2023</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3/31/202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1,380,000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(16,516)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1,363,484</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P+7.5% Cash (11)</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25</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New York</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7/1/2023</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6/29/203</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22,068,401</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80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22,068,401</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shd w:val="clear" w:color="auto" w:fill="E3E3E3"/>
          </w:tcPr>
          <w:p>
            <w:pPr>
              <w:spacing w:after="0"/>
              <w:rPr>
                <w:sz w:val="15"/>
                <w:szCs w:val="15"/>
                <w:color w:val="auto"/>
              </w:rPr>
            </w:pP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16.6%</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13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15% Cash</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27</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Nebraska</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8/15/2023</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6/30/202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17,200,000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17,200,000</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P+6.5% Cash (15)</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30</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Missouri,</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12/19/202</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12/31/20</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14,374,936</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(49,431)</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14,325,505</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shd w:val="clear" w:color="auto" w:fill="E3E3E3"/>
          </w:tcPr>
          <w:p>
            <w:pPr>
              <w:spacing w:after="0"/>
              <w:rPr>
                <w:sz w:val="15"/>
                <w:szCs w:val="15"/>
                <w:color w:val="auto"/>
              </w:rPr>
            </w:pP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18.6%</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ind w:left="220"/>
              <w:spacing w:after="0"/>
              <w:rPr>
                <w:sz w:val="20"/>
                <w:szCs w:val="20"/>
                <w:color w:val="auto"/>
              </w:rPr>
            </w:pPr>
            <w:r>
              <w:rPr>
                <w:rFonts w:ascii="Times New Roman" w:cs="Times New Roman" w:eastAsia="Times New Roman" w:hAnsi="Times New Roman"/>
                <w:sz w:val="16"/>
                <w:szCs w:val="16"/>
                <w:color w:val="auto"/>
              </w:rPr>
              <w:t>Arizona</w:t>
            </w:r>
          </w:p>
        </w:tc>
        <w:tc>
          <w:tcPr>
            <w:tcW w:w="840" w:type="dxa"/>
            <w:vAlign w:val="bottom"/>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3</w:t>
            </w: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13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P+7.75% Cash (12)</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31</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California,</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5/3/2023</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9/30/202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7,439,091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(156,626)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7,282,465</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Illinois</w:t>
            </w: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P+8.75% Cash (10)</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34</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Arizona</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6/17/2024</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5/29/202</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10,000,000</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80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8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10,000,000</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shd w:val="clear" w:color="auto" w:fill="E3E3E3"/>
          </w:tcPr>
          <w:p>
            <w:pPr>
              <w:spacing w:after="0"/>
              <w:rPr>
                <w:sz w:val="15"/>
                <w:szCs w:val="15"/>
                <w:color w:val="auto"/>
              </w:rPr>
            </w:pP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12.8%</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13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11.91% Cash (18)</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35</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California</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8/23/2024</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9/30/202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24,941,850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(227,306)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24,714,544</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12% Cash, 3% PIK</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36</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Illinois</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10/28/202</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1/1/2027</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27,150,398</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(63,038)</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27,087,360</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shd w:val="clear" w:color="auto" w:fill="E3E3E3"/>
          </w:tcPr>
          <w:p>
            <w:pPr>
              <w:spacing w:after="0"/>
              <w:rPr>
                <w:sz w:val="15"/>
                <w:szCs w:val="15"/>
                <w:color w:val="auto"/>
              </w:rPr>
            </w:pP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15.0%</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4</w:t>
            </w:r>
          </w:p>
        </w:tc>
        <w:tc>
          <w:tcPr>
            <w:tcW w:w="8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2,355,293</w:t>
            </w: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13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P+6.25% Cash (10)</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37</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Various</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11/26/202</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11/24/20</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16,961,689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(243,483)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16,718,206</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12% Cash, 1% PIK</w:t>
            </w: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w:t>
            </w: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2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(16)</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38a</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Various</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12/13/202</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6/12/202</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2,065,000</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(52,809)</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2,012,191</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shd w:val="clear" w:color="auto" w:fill="E3E3E3"/>
          </w:tcPr>
          <w:p>
            <w:pPr>
              <w:spacing w:after="0"/>
              <w:rPr>
                <w:sz w:val="15"/>
                <w:szCs w:val="15"/>
                <w:color w:val="auto"/>
              </w:rPr>
            </w:pP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15.3%</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4</w:t>
            </w: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rPr>
              <w:t>2,095,000</w:t>
            </w: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13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auto"/>
              </w:rPr>
              <w:t>10% Cash (16)</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38b</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Various</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1/15/2025</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6/12/202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840,000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(21,600)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818,400</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10% Cash (16)</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40</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Various</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3/28/2025</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7/28/202</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427,778</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(19,837)</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407,941</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E3E3E3"/>
          </w:tcPr>
          <w:p>
            <w:pPr>
              <w:spacing w:after="0"/>
              <w:rPr>
                <w:sz w:val="15"/>
                <w:szCs w:val="15"/>
                <w:color w:val="auto"/>
              </w:rPr>
            </w:pPr>
          </w:p>
        </w:tc>
        <w:tc>
          <w:tcPr>
            <w:tcW w:w="2220" w:type="dxa"/>
            <w:vAlign w:val="bottom"/>
            <w:gridSpan w:val="4"/>
            <w:shd w:val="clear" w:color="auto" w:fill="E3E3E3"/>
          </w:tcPr>
          <w:p>
            <w:pPr>
              <w:ind w:left="720"/>
              <w:spacing w:after="0" w:line="181" w:lineRule="exact"/>
              <w:rPr>
                <w:sz w:val="20"/>
                <w:szCs w:val="20"/>
                <w:color w:val="auto"/>
              </w:rPr>
            </w:pPr>
            <w:r>
              <w:rPr>
                <w:rFonts w:ascii="Times New Roman" w:cs="Times New Roman" w:eastAsia="Times New Roman" w:hAnsi="Times New Roman"/>
                <w:sz w:val="16"/>
                <w:szCs w:val="16"/>
                <w:color w:val="auto"/>
              </w:rPr>
              <w:t>- SOFR +10.25% Cash</w:t>
            </w: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20.4%</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420" w:type="dxa"/>
            <w:vAlign w:val="bottom"/>
            <w:gridSpan w:val="2"/>
            <w:shd w:val="clear" w:color="auto" w:fill="E3E3E3"/>
          </w:tcPr>
          <w:p>
            <w:pPr>
              <w:ind w:left="40"/>
              <w:spacing w:after="0"/>
              <w:rPr>
                <w:sz w:val="20"/>
                <w:szCs w:val="20"/>
                <w:color w:val="auto"/>
              </w:rPr>
            </w:pPr>
            <w:r>
              <w:rPr>
                <w:rFonts w:ascii="Times New Roman" w:cs="Times New Roman" w:eastAsia="Times New Roman" w:hAnsi="Times New Roman"/>
                <w:sz w:val="16"/>
                <w:szCs w:val="16"/>
                <w:color w:val="auto"/>
              </w:rPr>
              <w:t>(6)</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41</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Ohio</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3/1/2025</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3/13/202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271,429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(4,920)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266,509</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14.5% Cash</w:t>
            </w: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42</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Various</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9/30/2025</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2/28/202</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20,000,000</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(83,881)</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19,916,119</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E3E3E3"/>
          </w:tcPr>
          <w:p>
            <w:pPr>
              <w:spacing w:after="0"/>
              <w:rPr>
                <w:sz w:val="15"/>
                <w:szCs w:val="15"/>
                <w:color w:val="auto"/>
              </w:rPr>
            </w:pPr>
          </w:p>
        </w:tc>
        <w:tc>
          <w:tcPr>
            <w:tcW w:w="78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16,666,667</w:t>
            </w:r>
          </w:p>
        </w:tc>
        <w:tc>
          <w:tcPr>
            <w:tcW w:w="20" w:type="dxa"/>
            <w:vAlign w:val="bottom"/>
            <w:shd w:val="clear" w:color="auto" w:fill="E3E3E3"/>
          </w:tcPr>
          <w:p>
            <w:pPr>
              <w:spacing w:after="0"/>
              <w:rPr>
                <w:sz w:val="15"/>
                <w:szCs w:val="15"/>
                <w:color w:val="auto"/>
              </w:rPr>
            </w:pPr>
          </w:p>
        </w:tc>
        <w:tc>
          <w:tcPr>
            <w:tcW w:w="40" w:type="dxa"/>
            <w:vAlign w:val="bottom"/>
            <w:shd w:val="clear" w:color="auto" w:fill="E3E3E3"/>
          </w:tcPr>
          <w:p>
            <w:pPr>
              <w:spacing w:after="0"/>
              <w:rPr>
                <w:sz w:val="15"/>
                <w:szCs w:val="15"/>
                <w:color w:val="auto"/>
              </w:rPr>
            </w:pPr>
          </w:p>
        </w:tc>
        <w:tc>
          <w:tcPr>
            <w:tcW w:w="1380" w:type="dxa"/>
            <w:vAlign w:val="bottom"/>
            <w:shd w:val="clear" w:color="auto" w:fill="E3E3E3"/>
          </w:tcPr>
          <w:p>
            <w:pPr>
              <w:spacing w:after="0" w:line="181" w:lineRule="exact"/>
              <w:rPr>
                <w:sz w:val="20"/>
                <w:szCs w:val="20"/>
                <w:color w:val="auto"/>
              </w:rPr>
            </w:pPr>
            <w:r>
              <w:rPr>
                <w:rFonts w:ascii="Times New Roman" w:cs="Times New Roman" w:eastAsia="Times New Roman" w:hAnsi="Times New Roman"/>
                <w:sz w:val="16"/>
                <w:szCs w:val="16"/>
                <w:color w:val="auto"/>
              </w:rPr>
              <w:t>SOFR +8.33% Cash</w:t>
            </w: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15.3%</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E3E3E3"/>
          </w:tcPr>
          <w:p>
            <w:pPr>
              <w:spacing w:after="0"/>
              <w:rPr>
                <w:sz w:val="17"/>
                <w:szCs w:val="17"/>
                <w:color w:val="auto"/>
              </w:rPr>
            </w:pPr>
          </w:p>
        </w:tc>
        <w:tc>
          <w:tcPr>
            <w:tcW w:w="84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8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420" w:type="dxa"/>
            <w:vAlign w:val="bottom"/>
            <w:gridSpan w:val="2"/>
            <w:shd w:val="clear" w:color="auto" w:fill="E3E3E3"/>
          </w:tcPr>
          <w:p>
            <w:pPr>
              <w:ind w:left="40"/>
              <w:spacing w:after="0"/>
              <w:rPr>
                <w:sz w:val="20"/>
                <w:szCs w:val="20"/>
                <w:color w:val="auto"/>
              </w:rPr>
            </w:pPr>
            <w:r>
              <w:rPr>
                <w:rFonts w:ascii="Times New Roman" w:cs="Times New Roman" w:eastAsia="Times New Roman" w:hAnsi="Times New Roman"/>
                <w:sz w:val="16"/>
                <w:szCs w:val="16"/>
                <w:color w:val="auto"/>
              </w:rPr>
              <w:t>(6)</w:t>
            </w:r>
          </w:p>
        </w:tc>
        <w:tc>
          <w:tcPr>
            <w:tcW w:w="620" w:type="dxa"/>
            <w:vAlign w:val="bottom"/>
            <w:shd w:val="clear" w:color="auto" w:fill="E3E3E3"/>
          </w:tcPr>
          <w:p>
            <w:pPr>
              <w:spacing w:after="0"/>
              <w:rPr>
                <w:sz w:val="17"/>
                <w:szCs w:val="17"/>
                <w:color w:val="auto"/>
              </w:rPr>
            </w:pPr>
          </w:p>
        </w:tc>
        <w:tc>
          <w:tcPr>
            <w:tcW w:w="7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43</w:t>
            </w:r>
          </w:p>
        </w:tc>
        <w:tc>
          <w:tcPr>
            <w:tcW w:w="9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Missouri</w:t>
            </w:r>
          </w:p>
        </w:tc>
        <w:tc>
          <w:tcPr>
            <w:tcW w:w="84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8/20/2025</w:t>
            </w:r>
          </w:p>
        </w:tc>
        <w:tc>
          <w:tcPr>
            <w:tcW w:w="80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8/20/202</w:t>
            </w:r>
          </w:p>
        </w:tc>
        <w:tc>
          <w:tcPr>
            <w:tcW w:w="10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11,849,826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6"/>
                <w:szCs w:val="16"/>
                <w:color w:val="auto"/>
              </w:rPr>
              <w:t>(157,805)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11,692,021</w:t>
            </w:r>
          </w:p>
        </w:tc>
        <w:tc>
          <w:tcPr>
            <w:tcW w:w="20" w:type="dxa"/>
            <w:vAlign w:val="bottom"/>
          </w:tcPr>
          <w:p>
            <w:pPr>
              <w:spacing w:after="0"/>
              <w:rPr>
                <w:sz w:val="15"/>
                <w:szCs w:val="15"/>
                <w:color w:val="auto"/>
              </w:rPr>
            </w:pPr>
          </w:p>
        </w:tc>
        <w:tc>
          <w:tcPr>
            <w:tcW w:w="860" w:type="dxa"/>
            <w:vAlign w:val="bottom"/>
            <w:gridSpan w:val="5"/>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P+5.75% Cash (10)</w:t>
            </w:r>
          </w:p>
        </w:tc>
        <w:tc>
          <w:tcPr>
            <w:tcW w:w="62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color w:val="auto"/>
              </w:rPr>
              <w:t>P&amp;I</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0" w:type="dxa"/>
            <w:vAlign w:val="bottom"/>
            <w:shd w:val="clear" w:color="auto" w:fill="E3E3E3"/>
          </w:tcPr>
          <w:p>
            <w:pPr>
              <w:ind w:left="200"/>
              <w:spacing w:after="0" w:line="181" w:lineRule="exact"/>
              <w:rPr>
                <w:sz w:val="20"/>
                <w:szCs w:val="20"/>
                <w:color w:val="auto"/>
              </w:rPr>
            </w:pPr>
            <w:r>
              <w:rPr>
                <w:rFonts w:ascii="Times New Roman" w:cs="Times New Roman" w:eastAsia="Times New Roman" w:hAnsi="Times New Roman"/>
                <w:sz w:val="16"/>
                <w:szCs w:val="16"/>
                <w:color w:val="auto"/>
              </w:rPr>
              <w:t>44</w:t>
            </w:r>
          </w:p>
        </w:tc>
        <w:tc>
          <w:tcPr>
            <w:tcW w:w="98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Various</w:t>
            </w:r>
          </w:p>
        </w:tc>
        <w:tc>
          <w:tcPr>
            <w:tcW w:w="840" w:type="dxa"/>
            <w:vAlign w:val="bottom"/>
            <w:shd w:val="clear" w:color="auto" w:fill="E3E3E3"/>
          </w:tcPr>
          <w:p>
            <w:pPr>
              <w:ind w:left="140"/>
              <w:spacing w:after="0" w:line="181" w:lineRule="exact"/>
              <w:rPr>
                <w:sz w:val="20"/>
                <w:szCs w:val="20"/>
                <w:color w:val="auto"/>
              </w:rPr>
            </w:pPr>
            <w:r>
              <w:rPr>
                <w:rFonts w:ascii="Times New Roman" w:cs="Times New Roman" w:eastAsia="Times New Roman" w:hAnsi="Times New Roman"/>
                <w:sz w:val="16"/>
                <w:szCs w:val="16"/>
                <w:color w:val="auto"/>
              </w:rPr>
              <w:t>12/31/202</w:t>
            </w:r>
          </w:p>
        </w:tc>
        <w:tc>
          <w:tcPr>
            <w:tcW w:w="800" w:type="dxa"/>
            <w:vAlign w:val="bottom"/>
            <w:shd w:val="clear" w:color="auto" w:fill="E3E3E3"/>
          </w:tcPr>
          <w:p>
            <w:pPr>
              <w:ind w:left="160"/>
              <w:spacing w:after="0" w:line="181" w:lineRule="exact"/>
              <w:rPr>
                <w:sz w:val="20"/>
                <w:szCs w:val="20"/>
                <w:color w:val="auto"/>
              </w:rPr>
            </w:pPr>
            <w:r>
              <w:rPr>
                <w:rFonts w:ascii="Times New Roman" w:cs="Times New Roman" w:eastAsia="Times New Roman" w:hAnsi="Times New Roman"/>
                <w:sz w:val="16"/>
                <w:szCs w:val="16"/>
                <w:color w:val="auto"/>
              </w:rPr>
              <w:t>12/31/20</w:t>
            </w:r>
          </w:p>
        </w:tc>
        <w:tc>
          <w:tcPr>
            <w:tcW w:w="100" w:type="dxa"/>
            <w:vAlign w:val="bottom"/>
            <w:shd w:val="clear" w:color="auto" w:fill="E3E3E3"/>
          </w:tcPr>
          <w:p>
            <w:pPr>
              <w:spacing w:after="0"/>
              <w:rPr>
                <w:sz w:val="15"/>
                <w:szCs w:val="15"/>
                <w:color w:val="auto"/>
              </w:rPr>
            </w:pPr>
          </w:p>
        </w:tc>
        <w:tc>
          <w:tcPr>
            <w:tcW w:w="84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5,000,000</w:t>
            </w:r>
          </w:p>
        </w:tc>
        <w:tc>
          <w:tcPr>
            <w:tcW w:w="40" w:type="dxa"/>
            <w:vAlign w:val="bottom"/>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900" w:type="dxa"/>
            <w:vAlign w:val="bottom"/>
            <w:gridSpan w:val="3"/>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(129,881)</w:t>
            </w:r>
          </w:p>
        </w:tc>
        <w:tc>
          <w:tcPr>
            <w:tcW w:w="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1" w:lineRule="exact"/>
              <w:rPr>
                <w:sz w:val="20"/>
                <w:szCs w:val="20"/>
                <w:color w:val="auto"/>
              </w:rPr>
            </w:pPr>
            <w:r>
              <w:rPr>
                <w:rFonts w:ascii="Times New Roman" w:cs="Times New Roman" w:eastAsia="Times New Roman" w:hAnsi="Times New Roman"/>
                <w:sz w:val="16"/>
                <w:szCs w:val="16"/>
                <w:color w:val="auto"/>
              </w:rPr>
              <w:t>4,870,119</w:t>
            </w:r>
          </w:p>
        </w:tc>
        <w:tc>
          <w:tcPr>
            <w:tcW w:w="20" w:type="dxa"/>
            <w:vAlign w:val="bottom"/>
            <w:shd w:val="clear" w:color="auto" w:fill="E3E3E3"/>
          </w:tcPr>
          <w:p>
            <w:pPr>
              <w:spacing w:after="0"/>
              <w:rPr>
                <w:sz w:val="15"/>
                <w:szCs w:val="15"/>
                <w:color w:val="auto"/>
              </w:rPr>
            </w:pPr>
          </w:p>
        </w:tc>
        <w:tc>
          <w:tcPr>
            <w:tcW w:w="860" w:type="dxa"/>
            <w:vAlign w:val="bottom"/>
            <w:gridSpan w:val="5"/>
            <w:shd w:val="clear" w:color="auto" w:fill="E3E3E3"/>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E3E3E3"/>
          </w:tcPr>
          <w:p>
            <w:pPr>
              <w:spacing w:after="0"/>
              <w:rPr>
                <w:sz w:val="15"/>
                <w:szCs w:val="15"/>
                <w:color w:val="auto"/>
              </w:rPr>
            </w:pPr>
          </w:p>
        </w:tc>
        <w:tc>
          <w:tcPr>
            <w:tcW w:w="2220" w:type="dxa"/>
            <w:vAlign w:val="bottom"/>
            <w:gridSpan w:val="4"/>
            <w:shd w:val="clear" w:color="auto" w:fill="E3E3E3"/>
          </w:tcPr>
          <w:p>
            <w:pPr>
              <w:ind w:left="720"/>
              <w:spacing w:after="0" w:line="181" w:lineRule="exact"/>
              <w:rPr>
                <w:sz w:val="20"/>
                <w:szCs w:val="20"/>
                <w:color w:val="auto"/>
              </w:rPr>
            </w:pPr>
            <w:r>
              <w:rPr>
                <w:rFonts w:ascii="Times New Roman" w:cs="Times New Roman" w:eastAsia="Times New Roman" w:hAnsi="Times New Roman"/>
                <w:sz w:val="16"/>
                <w:szCs w:val="16"/>
                <w:color w:val="auto"/>
              </w:rPr>
              <w:t>- SOFR+10.24% Cash</w:t>
            </w:r>
          </w:p>
        </w:tc>
        <w:tc>
          <w:tcPr>
            <w:tcW w:w="620" w:type="dxa"/>
            <w:vAlign w:val="bottom"/>
            <w:shd w:val="clear" w:color="auto" w:fill="E3E3E3"/>
          </w:tcPr>
          <w:p>
            <w:pPr>
              <w:ind w:left="220"/>
              <w:spacing w:after="0" w:line="181" w:lineRule="exact"/>
              <w:rPr>
                <w:sz w:val="20"/>
                <w:szCs w:val="20"/>
                <w:color w:val="auto"/>
              </w:rPr>
            </w:pPr>
            <w:r>
              <w:rPr>
                <w:rFonts w:ascii="Times New Roman" w:cs="Times New Roman" w:eastAsia="Times New Roman" w:hAnsi="Times New Roman"/>
                <w:sz w:val="16"/>
                <w:szCs w:val="16"/>
                <w:color w:val="auto"/>
              </w:rPr>
              <w:t>I/O</w:t>
            </w:r>
          </w:p>
        </w:tc>
        <w:tc>
          <w:tcPr>
            <w:tcW w:w="700" w:type="dxa"/>
            <w:vAlign w:val="bottom"/>
            <w:shd w:val="clear" w:color="auto" w:fill="E3E3E3"/>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16.0%</w:t>
            </w:r>
          </w:p>
        </w:tc>
        <w:tc>
          <w:tcPr>
            <w:tcW w:w="2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0" w:type="dxa"/>
            <w:vAlign w:val="bottom"/>
            <w:shd w:val="clear" w:color="auto" w:fill="E3E3E3"/>
          </w:tcPr>
          <w:p>
            <w:pPr>
              <w:spacing w:after="0"/>
              <w:rPr>
                <w:sz w:val="17"/>
                <w:szCs w:val="17"/>
                <w:color w:val="auto"/>
              </w:rPr>
            </w:pPr>
          </w:p>
        </w:tc>
        <w:tc>
          <w:tcPr>
            <w:tcW w:w="980" w:type="dxa"/>
            <w:vAlign w:val="bottom"/>
            <w:shd w:val="clear" w:color="auto" w:fill="E3E3E3"/>
          </w:tcPr>
          <w:p>
            <w:pPr>
              <w:spacing w:after="0"/>
              <w:rPr>
                <w:sz w:val="17"/>
                <w:szCs w:val="17"/>
                <w:color w:val="auto"/>
              </w:rPr>
            </w:pPr>
          </w:p>
        </w:tc>
        <w:tc>
          <w:tcPr>
            <w:tcW w:w="840" w:type="dxa"/>
            <w:vAlign w:val="bottom"/>
            <w:shd w:val="clear" w:color="auto" w:fill="E3E3E3"/>
          </w:tcPr>
          <w:p>
            <w:pPr>
              <w:ind w:left="140"/>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auto"/>
            </w:tcBorders>
            <w:shd w:val="clear" w:color="auto" w:fill="E3E3E3"/>
          </w:tcPr>
          <w:p>
            <w:pPr>
              <w:spacing w:after="0"/>
              <w:rPr>
                <w:sz w:val="17"/>
                <w:szCs w:val="17"/>
                <w:color w:val="auto"/>
              </w:rPr>
            </w:pPr>
          </w:p>
        </w:tc>
        <w:tc>
          <w:tcPr>
            <w:tcW w:w="840" w:type="dxa"/>
            <w:vAlign w:val="bottom"/>
            <w:tcBorders>
              <w:bottom w:val="single" w:sz="8" w:color="auto"/>
            </w:tcBorders>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20" w:type="dxa"/>
            <w:vAlign w:val="bottom"/>
            <w:tcBorders>
              <w:bottom w:val="single" w:sz="8" w:color="auto"/>
            </w:tcBorders>
            <w:shd w:val="clear" w:color="auto" w:fill="E3E3E3"/>
          </w:tcPr>
          <w:p>
            <w:pPr>
              <w:spacing w:after="0"/>
              <w:rPr>
                <w:sz w:val="17"/>
                <w:szCs w:val="17"/>
                <w:color w:val="auto"/>
              </w:rPr>
            </w:pPr>
          </w:p>
        </w:tc>
        <w:tc>
          <w:tcPr>
            <w:tcW w:w="800" w:type="dxa"/>
            <w:vAlign w:val="bottom"/>
            <w:tcBorders>
              <w:bottom w:val="single" w:sz="8" w:color="auto"/>
            </w:tcBorders>
            <w:shd w:val="clear" w:color="auto" w:fill="E3E3E3"/>
          </w:tcPr>
          <w:p>
            <w:pPr>
              <w:spacing w:after="0"/>
              <w:rPr>
                <w:sz w:val="17"/>
                <w:szCs w:val="17"/>
                <w:color w:val="auto"/>
              </w:rPr>
            </w:pPr>
          </w:p>
        </w:tc>
        <w:tc>
          <w:tcPr>
            <w:tcW w:w="20" w:type="dxa"/>
            <w:vAlign w:val="bottom"/>
            <w:tcBorders>
              <w:bottom w:val="single" w:sz="8" w:color="auto"/>
            </w:tcBorders>
            <w:shd w:val="clear" w:color="auto" w:fill="E3E3E3"/>
          </w:tcPr>
          <w:p>
            <w:pPr>
              <w:spacing w:after="0"/>
              <w:rPr>
                <w:sz w:val="17"/>
                <w:szCs w:val="17"/>
                <w:color w:val="auto"/>
              </w:rPr>
            </w:pPr>
          </w:p>
        </w:tc>
        <w:tc>
          <w:tcPr>
            <w:tcW w:w="8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tcBorders>
              <w:bottom w:val="single" w:sz="8" w:color="auto"/>
            </w:tcBorders>
            <w:shd w:val="clear" w:color="auto" w:fill="E3E3E3"/>
          </w:tcPr>
          <w:p>
            <w:pPr>
              <w:spacing w:after="0"/>
              <w:rPr>
                <w:sz w:val="17"/>
                <w:szCs w:val="17"/>
                <w:color w:val="auto"/>
              </w:rPr>
            </w:pPr>
          </w:p>
        </w:tc>
        <w:tc>
          <w:tcPr>
            <w:tcW w:w="820" w:type="dxa"/>
            <w:vAlign w:val="bottom"/>
            <w:tcBorders>
              <w:bottom w:val="single" w:sz="8" w:color="auto"/>
            </w:tcBorders>
            <w:shd w:val="clear" w:color="auto" w:fill="E3E3E3"/>
          </w:tcPr>
          <w:p>
            <w:pPr>
              <w:spacing w:after="0"/>
              <w:rPr>
                <w:sz w:val="17"/>
                <w:szCs w:val="17"/>
                <w:color w:val="auto"/>
              </w:rPr>
            </w:pPr>
          </w:p>
        </w:tc>
        <w:tc>
          <w:tcPr>
            <w:tcW w:w="20" w:type="dxa"/>
            <w:vAlign w:val="bottom"/>
            <w:tcBorders>
              <w:bottom w:val="single" w:sz="8" w:color="auto"/>
            </w:tcBorders>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600" w:type="dxa"/>
            <w:vAlign w:val="bottom"/>
            <w:tcBorders>
              <w:bottom w:val="single" w:sz="8" w:color="auto"/>
            </w:tcBorders>
            <w:shd w:val="clear" w:color="auto" w:fill="E3E3E3"/>
          </w:tcPr>
          <w:p>
            <w:pPr>
              <w:spacing w:after="0"/>
              <w:rPr>
                <w:sz w:val="17"/>
                <w:szCs w:val="17"/>
                <w:color w:val="auto"/>
              </w:rPr>
            </w:pPr>
          </w:p>
        </w:tc>
        <w:tc>
          <w:tcPr>
            <w:tcW w:w="20" w:type="dxa"/>
            <w:vAlign w:val="bottom"/>
            <w:tcBorders>
              <w:bottom w:val="single" w:sz="8" w:color="auto"/>
            </w:tcBorders>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100" w:type="dxa"/>
            <w:vAlign w:val="bottom"/>
            <w:tcBorders>
              <w:bottom w:val="single" w:sz="8" w:color="auto"/>
            </w:tcBorders>
            <w:shd w:val="clear" w:color="auto" w:fill="E3E3E3"/>
          </w:tcPr>
          <w:p>
            <w:pPr>
              <w:spacing w:after="0"/>
              <w:rPr>
                <w:sz w:val="17"/>
                <w:szCs w:val="17"/>
                <w:color w:val="auto"/>
              </w:rPr>
            </w:pPr>
          </w:p>
        </w:tc>
        <w:tc>
          <w:tcPr>
            <w:tcW w:w="780" w:type="dxa"/>
            <w:vAlign w:val="bottom"/>
            <w:tcBorders>
              <w:bottom w:val="single" w:sz="8" w:color="auto"/>
            </w:tcBorders>
            <w:shd w:val="clear" w:color="auto" w:fill="E3E3E3"/>
          </w:tcPr>
          <w:p>
            <w:pPr>
              <w:spacing w:after="0"/>
              <w:rPr>
                <w:sz w:val="17"/>
                <w:szCs w:val="17"/>
                <w:color w:val="auto"/>
              </w:rPr>
            </w:pPr>
          </w:p>
        </w:tc>
        <w:tc>
          <w:tcPr>
            <w:tcW w:w="20" w:type="dxa"/>
            <w:vAlign w:val="bottom"/>
            <w:tcBorders>
              <w:bottom w:val="single" w:sz="8" w:color="auto"/>
            </w:tcBorders>
            <w:shd w:val="clear" w:color="auto" w:fill="E3E3E3"/>
          </w:tcPr>
          <w:p>
            <w:pPr>
              <w:spacing w:after="0"/>
              <w:rPr>
                <w:sz w:val="17"/>
                <w:szCs w:val="17"/>
                <w:color w:val="auto"/>
              </w:rPr>
            </w:pPr>
          </w:p>
        </w:tc>
        <w:tc>
          <w:tcPr>
            <w:tcW w:w="1420" w:type="dxa"/>
            <w:vAlign w:val="bottom"/>
            <w:gridSpan w:val="2"/>
            <w:shd w:val="clear" w:color="auto" w:fill="E3E3E3"/>
          </w:tcPr>
          <w:p>
            <w:pPr>
              <w:ind w:left="40"/>
              <w:spacing w:after="0"/>
              <w:rPr>
                <w:sz w:val="20"/>
                <w:szCs w:val="20"/>
                <w:color w:val="auto"/>
              </w:rPr>
            </w:pPr>
            <w:r>
              <w:rPr>
                <w:rFonts w:ascii="Times New Roman" w:cs="Times New Roman" w:eastAsia="Times New Roman" w:hAnsi="Times New Roman"/>
                <w:sz w:val="16"/>
                <w:szCs w:val="16"/>
                <w:color w:val="auto"/>
              </w:rPr>
              <w:t>(7)</w:t>
            </w:r>
          </w:p>
        </w:tc>
        <w:tc>
          <w:tcPr>
            <w:tcW w:w="620" w:type="dxa"/>
            <w:vAlign w:val="bottom"/>
            <w:shd w:val="clear" w:color="auto" w:fill="E3E3E3"/>
          </w:tcPr>
          <w:p>
            <w:pPr>
              <w:spacing w:after="0"/>
              <w:rPr>
                <w:sz w:val="17"/>
                <w:szCs w:val="17"/>
                <w:color w:val="auto"/>
              </w:rPr>
            </w:pPr>
          </w:p>
        </w:tc>
        <w:tc>
          <w:tcPr>
            <w:tcW w:w="700" w:type="dxa"/>
            <w:vAlign w:val="bottom"/>
            <w:tcBorders>
              <w:bottom w:val="single" w:sz="8" w:color="auto"/>
            </w:tcBorders>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7"/>
              </w:rPr>
              <w:t>Subtotal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411,075,088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(2,119,521</w:t>
            </w: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408,955,567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31,116,960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40"/>
          </w:cols>
          <w:pgMar w:left="800" w:top="1009" w:right="800" w:bottom="266"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0640"/>
          </w:cols>
          <w:pgMar w:left="800" w:top="1009" w:right="800" w:bottom="266" w:gutter="0" w:footer="0" w:header="0"/>
          <w:type w:val="continuous"/>
        </w:sectPr>
      </w:pPr>
    </w:p>
    <w:bookmarkStart w:id="116" w:name="page117"/>
    <w:bookmarkEnd w:id="116"/>
    <w:p>
      <w:pPr>
        <w:spacing w:after="0" w:line="143" w:lineRule="exact"/>
        <w:rPr>
          <w:sz w:val="20"/>
          <w:szCs w:val="20"/>
          <w:color w:val="auto"/>
        </w:rPr>
      </w:pPr>
    </w:p>
    <w:p>
      <w:pPr>
        <w:ind w:left="480" w:hanging="479"/>
        <w:spacing w:after="0" w:line="272" w:lineRule="auto"/>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numbering in the table above is maintained from origination for purposes of comparability and may not be sequential due to maturities, payoffs, or refinancings.</w:t>
      </w:r>
    </w:p>
    <w:p>
      <w:pPr>
        <w:spacing w:after="0" w:line="52" w:lineRule="exact"/>
        <w:rPr>
          <w:rFonts w:ascii="Times New Roman" w:cs="Times New Roman" w:eastAsia="Times New Roman" w:hAnsi="Times New Roman"/>
          <w:sz w:val="20"/>
          <w:szCs w:val="20"/>
          <w:color w:val="auto"/>
        </w:rPr>
      </w:pPr>
    </w:p>
    <w:p>
      <w:pPr>
        <w:jc w:val="both"/>
        <w:ind w:left="480" w:hanging="479"/>
        <w:spacing w:after="0" w:line="249" w:lineRule="auto"/>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loans are subject to contractual extension options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73" w:lineRule="exact"/>
        <w:rPr>
          <w:rFonts w:ascii="Times New Roman" w:cs="Times New Roman" w:eastAsia="Times New Roman" w:hAnsi="Times New Roman"/>
          <w:sz w:val="20"/>
          <w:szCs w:val="20"/>
          <w:color w:val="auto"/>
        </w:rPr>
      </w:pPr>
    </w:p>
    <w:p>
      <w:pPr>
        <w:jc w:val="both"/>
        <w:ind w:left="480" w:hanging="479"/>
        <w:spacing w:after="0" w:line="255" w:lineRule="auto"/>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 = prime rate; "SOFR"= Secured Overnight Financing Rate. "P" and "SOFR" represent floating rate loans that pay interest at the designed benchmark rate plus an applicable spread; "SOFR" loans are typically indexed to 30-day, 90-day or 180-day rates (1 month, 3 month, or 6 month, respectively); "PIK" = paid-in-kind interest.</w:t>
      </w:r>
    </w:p>
    <w:p>
      <w:pPr>
        <w:spacing w:after="0" w:line="67" w:lineRule="exact"/>
        <w:rPr>
          <w:rFonts w:ascii="Times New Roman" w:cs="Times New Roman" w:eastAsia="Times New Roman" w:hAnsi="Times New Roman"/>
          <w:sz w:val="20"/>
          <w:szCs w:val="20"/>
          <w:color w:val="auto"/>
        </w:rPr>
      </w:pPr>
    </w:p>
    <w:p>
      <w:pPr>
        <w:jc w:val="both"/>
        <w:ind w:left="480" w:hanging="479"/>
        <w:spacing w:after="0" w:line="255" w:lineRule="auto"/>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P&amp;I = principal and interest. I/O = interest only. P&amp;I loans may include interest only periods for a portion of the loan term. The frequency of loan payments may be monthly or quarterly as required by the respective credit agreement governing such loan.</w:t>
      </w:r>
    </w:p>
    <w:p>
      <w:pPr>
        <w:spacing w:after="0" w:line="67" w:lineRule="exact"/>
        <w:rPr>
          <w:rFonts w:ascii="Times New Roman" w:cs="Times New Roman" w:eastAsia="Times New Roman" w:hAnsi="Times New Roman"/>
          <w:sz w:val="20"/>
          <w:szCs w:val="20"/>
          <w:color w:val="auto"/>
        </w:rPr>
      </w:pPr>
    </w:p>
    <w:p>
      <w:pPr>
        <w:jc w:val="both"/>
        <w:ind w:left="480" w:hanging="479"/>
        <w:spacing w:after="0"/>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90" w:lineRule="exact"/>
        <w:rPr>
          <w:rFonts w:ascii="Times New Roman" w:cs="Times New Roman" w:eastAsia="Times New Roman" w:hAnsi="Times New Roman"/>
          <w:sz w:val="20"/>
          <w:szCs w:val="20"/>
          <w:color w:val="auto"/>
        </w:rPr>
      </w:pPr>
    </w:p>
    <w:p>
      <w:pPr>
        <w:ind w:left="480" w:hanging="479"/>
        <w:spacing w:after="0"/>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Loan is subject to a SOFR floor of 4.00%</w:t>
      </w:r>
    </w:p>
    <w:p>
      <w:pPr>
        <w:spacing w:after="0" w:line="116" w:lineRule="exact"/>
        <w:rPr>
          <w:rFonts w:ascii="Times New Roman" w:cs="Times New Roman" w:eastAsia="Times New Roman" w:hAnsi="Times New Roman"/>
          <w:sz w:val="20"/>
          <w:szCs w:val="20"/>
          <w:color w:val="auto"/>
        </w:rPr>
      </w:pPr>
    </w:p>
    <w:p>
      <w:pPr>
        <w:ind w:left="480" w:hanging="479"/>
        <w:spacing w:after="0"/>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Loan is subject to a SOFR floor of 3.72%</w:t>
      </w:r>
    </w:p>
    <w:p>
      <w:pPr>
        <w:spacing w:after="0" w:line="116" w:lineRule="exact"/>
        <w:rPr>
          <w:rFonts w:ascii="Times New Roman" w:cs="Times New Roman" w:eastAsia="Times New Roman" w:hAnsi="Times New Roman"/>
          <w:sz w:val="20"/>
          <w:szCs w:val="20"/>
          <w:color w:val="auto"/>
        </w:rPr>
      </w:pPr>
    </w:p>
    <w:p>
      <w:pPr>
        <w:ind w:left="480" w:hanging="479"/>
        <w:spacing w:after="0"/>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Loan is subject to a prime rate floor of 6.25%</w:t>
      </w:r>
    </w:p>
    <w:p>
      <w:pPr>
        <w:spacing w:after="0" w:line="116" w:lineRule="exact"/>
        <w:rPr>
          <w:rFonts w:ascii="Times New Roman" w:cs="Times New Roman" w:eastAsia="Times New Roman" w:hAnsi="Times New Roman"/>
          <w:sz w:val="20"/>
          <w:szCs w:val="20"/>
          <w:color w:val="auto"/>
        </w:rPr>
      </w:pPr>
    </w:p>
    <w:p>
      <w:pPr>
        <w:ind w:left="480" w:hanging="479"/>
        <w:spacing w:after="0"/>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Loan is subject to a prime rate floor of 7.00%</w:t>
      </w:r>
    </w:p>
    <w:p>
      <w:pPr>
        <w:spacing w:after="0" w:line="116" w:lineRule="exact"/>
        <w:rPr>
          <w:rFonts w:ascii="Times New Roman" w:cs="Times New Roman" w:eastAsia="Times New Roman" w:hAnsi="Times New Roman"/>
          <w:sz w:val="20"/>
          <w:szCs w:val="20"/>
          <w:color w:val="auto"/>
        </w:rPr>
      </w:pPr>
    </w:p>
    <w:p>
      <w:pPr>
        <w:ind w:left="480" w:hanging="479"/>
        <w:spacing w:after="0"/>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Loan is subject to a prime rate floor of 7.50%</w:t>
      </w:r>
    </w:p>
    <w:p>
      <w:pPr>
        <w:spacing w:after="0" w:line="116" w:lineRule="exact"/>
        <w:rPr>
          <w:rFonts w:ascii="Times New Roman" w:cs="Times New Roman" w:eastAsia="Times New Roman" w:hAnsi="Times New Roman"/>
          <w:sz w:val="20"/>
          <w:szCs w:val="20"/>
          <w:color w:val="auto"/>
        </w:rPr>
      </w:pPr>
    </w:p>
    <w:p>
      <w:pPr>
        <w:ind w:left="480" w:hanging="479"/>
        <w:spacing w:after="0"/>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Loan is subject to a prime rate floor of 8.00%</w:t>
      </w:r>
    </w:p>
    <w:p>
      <w:pPr>
        <w:spacing w:after="0" w:line="116" w:lineRule="exact"/>
        <w:rPr>
          <w:rFonts w:ascii="Times New Roman" w:cs="Times New Roman" w:eastAsia="Times New Roman" w:hAnsi="Times New Roman"/>
          <w:sz w:val="20"/>
          <w:szCs w:val="20"/>
          <w:color w:val="auto"/>
        </w:rPr>
      </w:pPr>
    </w:p>
    <w:p>
      <w:pPr>
        <w:ind w:left="480" w:hanging="479"/>
        <w:spacing w:after="0"/>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Loan is subject to a prime rate floor of 8.50%</w:t>
      </w:r>
    </w:p>
    <w:p>
      <w:pPr>
        <w:spacing w:after="0" w:line="116" w:lineRule="exact"/>
        <w:rPr>
          <w:rFonts w:ascii="Times New Roman" w:cs="Times New Roman" w:eastAsia="Times New Roman" w:hAnsi="Times New Roman"/>
          <w:sz w:val="20"/>
          <w:szCs w:val="20"/>
          <w:color w:val="auto"/>
        </w:rPr>
      </w:pPr>
    </w:p>
    <w:p>
      <w:pPr>
        <w:jc w:val="both"/>
        <w:ind w:left="480" w:hanging="479"/>
        <w:spacing w:after="0" w:line="243" w:lineRule="auto"/>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#9, is comprised of two tranches, a $14.5 million first lien judgment loan (the "Judgment Loan") and a $14.6 million second lien term loan (the "Term Loan"). The Judgment Loan and the Term Loan bear interest at a rate of 9.0%. The Judgment Loan has no contractual maturity and will remain outstanding until paid by the obligor and the Term Loan has a maturity of March 31, 2028. For comparability to previously issued financial statements, management will continue to reference the Judgment Loan and the Term Loan, collectively, as Loan #9, and the maturity date presented represents the maturity date of the Term Loan. See Note 8 for additional information. On May 1, 2023, Loan #9 was placed on non-accrual status and remains on non-accrual as of December 31, 2025.</w:t>
      </w:r>
    </w:p>
    <w:p>
      <w:pPr>
        <w:spacing w:after="0" w:line="80" w:lineRule="exact"/>
        <w:rPr>
          <w:rFonts w:ascii="Times New Roman" w:cs="Times New Roman" w:eastAsia="Times New Roman" w:hAnsi="Times New Roman"/>
          <w:sz w:val="20"/>
          <w:szCs w:val="20"/>
          <w:color w:val="auto"/>
        </w:rPr>
      </w:pPr>
    </w:p>
    <w:p>
      <w:pPr>
        <w:jc w:val="both"/>
        <w:ind w:left="480" w:hanging="479"/>
        <w:spacing w:after="0" w:line="244" w:lineRule="auto"/>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of Loan #18, FarmaceuticalRX, LLC and its subsidiaries and affiliates (“FRX”), is a related party. Certain common control affiliates of the Company can exercise significant influence over certain credit parties to the Loan Agreement with FRX by virtue of voting representation on its board of managers. During the years ended December 31, 2025 and 2024, the Company made principal advances $0 and $26.8 million, respectively, and has a carrying value of $47.1 million and $44.6 million as of the periods then ended. As of December 31, 2025, the carrying value of $47.1 million is included in the line item, “Loans held for investment – related party”. (Note 9)</w:t>
      </w:r>
    </w:p>
    <w:p>
      <w:pPr>
        <w:spacing w:after="0" w:line="80" w:lineRule="exact"/>
        <w:rPr>
          <w:rFonts w:ascii="Times New Roman" w:cs="Times New Roman" w:eastAsia="Times New Roman" w:hAnsi="Times New Roman"/>
          <w:sz w:val="20"/>
          <w:szCs w:val="20"/>
          <w:color w:val="auto"/>
        </w:rPr>
      </w:pPr>
    </w:p>
    <w:p>
      <w:pPr>
        <w:jc w:val="both"/>
        <w:ind w:left="480" w:hanging="479"/>
        <w:spacing w:after="0" w:line="246" w:lineRule="auto"/>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loan has floating grid pricing based on the Prime Rate plus a spread of 5.00% to 8.75% based on monthly annualized EBITDA performance. As of December 31, 2025, the applied interest rate is Prime Rate + 6.50%. On January 22, 2026 the outstanding principal balance of this loan was prepaid with all accrued unpaid interest due thereunder. The Company was notified of the expected prepayment as of December 31, 2025 and therefore no CECL reserve was estimated for this loan as of such date</w:t>
      </w:r>
      <w:r>
        <w:rPr>
          <w:rFonts w:ascii="Times New Roman" w:cs="Times New Roman" w:eastAsia="Times New Roman" w:hAnsi="Times New Roman"/>
          <w:sz w:val="17"/>
          <w:szCs w:val="17"/>
          <w:color w:val="auto"/>
        </w:rPr>
        <w:t>.</w:t>
      </w:r>
    </w:p>
    <w:p>
      <w:pPr>
        <w:spacing w:after="0" w:line="76" w:lineRule="exact"/>
        <w:rPr>
          <w:rFonts w:ascii="Times New Roman" w:cs="Times New Roman" w:eastAsia="Times New Roman" w:hAnsi="Times New Roman"/>
          <w:sz w:val="20"/>
          <w:szCs w:val="20"/>
          <w:color w:val="auto"/>
        </w:rPr>
      </w:pPr>
    </w:p>
    <w:p>
      <w:pPr>
        <w:ind w:left="480" w:hanging="479"/>
        <w:spacing w:after="0"/>
        <w:tabs>
          <w:tab w:leader="none" w:pos="4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#37 and Loan #38 bear unused fees on the unfunded commitment of 0.75% and 1.50% per annum, respectively.</w:t>
      </w:r>
    </w:p>
    <w:p>
      <w:pPr>
        <w:spacing w:after="0" w:line="28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F-17</w:t>
      </w:r>
    </w:p>
    <w:p>
      <w:pPr>
        <w:sectPr>
          <w:pgSz w:w="12240" w:h="15840" w:orient="portrait"/>
          <w:cols w:equalWidth="0" w:num="1">
            <w:col w:w="10160"/>
          </w:cols>
          <w:pgMar w:left="1280" w:top="1440" w:right="800" w:bottom="254" w:gutter="0" w:footer="0" w:header="0"/>
        </w:sectPr>
      </w:pPr>
    </w:p>
    <w:bookmarkStart w:id="117" w:name="page118"/>
    <w:bookmarkEnd w:id="117"/>
    <w:p>
      <w:pPr>
        <w:ind w:left="961" w:hanging="479"/>
        <w:spacing w:after="0" w:line="272" w:lineRule="auto"/>
        <w:tabs>
          <w:tab w:leader="none" w:pos="96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#6 was placed on non-accrual on May 9, 2025 and all accrued interest after April 1, 2025 was reversed at that time. This loan remains on non-accrual as of December 31, 2025.</w:t>
      </w:r>
    </w:p>
    <w:p>
      <w:pPr>
        <w:spacing w:after="0" w:line="52" w:lineRule="exact"/>
        <w:rPr>
          <w:rFonts w:ascii="Times New Roman" w:cs="Times New Roman" w:eastAsia="Times New Roman" w:hAnsi="Times New Roman"/>
          <w:sz w:val="20"/>
          <w:szCs w:val="20"/>
          <w:color w:val="auto"/>
        </w:rPr>
      </w:pPr>
    </w:p>
    <w:p>
      <w:pPr>
        <w:jc w:val="both"/>
        <w:ind w:left="961" w:hanging="479"/>
        <w:spacing w:after="0" w:line="255" w:lineRule="auto"/>
        <w:tabs>
          <w:tab w:leader="none" w:pos="96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#4 and Loan #34 were placed on non-accrual on December 1, 2025 and all accrued interest through such date was reversed. These loans remain on non-accrual as of December 31, 2025 and the interest receivable balance relating to these loans was $0.</w:t>
      </w:r>
    </w:p>
    <w:p>
      <w:pPr>
        <w:spacing w:after="0" w:line="147" w:lineRule="exact"/>
        <w:rPr>
          <w:sz w:val="20"/>
          <w:szCs w:val="20"/>
          <w:color w:val="auto"/>
        </w:rPr>
      </w:pPr>
    </w:p>
    <w:p>
      <w:pPr>
        <w:ind w:left="1" w:right="40" w:firstLine="355"/>
        <w:spacing w:after="0" w:line="272" w:lineRule="auto"/>
        <w:rPr>
          <w:sz w:val="20"/>
          <w:szCs w:val="20"/>
          <w:color w:val="auto"/>
        </w:rPr>
      </w:pPr>
      <w:r>
        <w:rPr>
          <w:rFonts w:ascii="Times New Roman" w:cs="Times New Roman" w:eastAsia="Times New Roman" w:hAnsi="Times New Roman"/>
          <w:sz w:val="20"/>
          <w:szCs w:val="20"/>
          <w:color w:val="auto"/>
        </w:rPr>
        <w:t>The following tables present aging analyses of past due loans by amortized cost, excluding the CECL reserve, as of December 31, 2025 and 2024. As of both December 31, 2025 and 2024, there was one loan with principal greater than 90 days past due.</w:t>
      </w:r>
    </w:p>
    <w:p>
      <w:pPr>
        <w:spacing w:after="0" w:line="160" w:lineRule="exact"/>
        <w:rPr>
          <w:sz w:val="20"/>
          <w:szCs w:val="20"/>
          <w:color w:val="auto"/>
        </w:rPr>
      </w:pPr>
    </w:p>
    <w:tbl>
      <w:tblPr>
        <w:tblLayout w:type="fixed"/>
        <w:tblInd w:w="1" w:type="dxa"/>
        <w:tblCellMar>
          <w:top w:w="0" w:type="dxa"/>
          <w:left w:w="0" w:type="dxa"/>
          <w:bottom w:w="0" w:type="dxa"/>
          <w:right w:w="0" w:type="dxa"/>
        </w:tblCellMar>
      </w:tblPr>
      <w:tr>
        <w:trPr>
          <w:trHeight w:val="225"/>
        </w:trPr>
        <w:tc>
          <w:tcPr>
            <w:tcW w:w="1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of December 31, 2025</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9"/>
        </w:trPr>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4"/>
          </w:tcPr>
          <w:p>
            <w:pPr>
              <w:jc w:val="center"/>
              <w:ind w:left="251"/>
              <w:spacing w:after="0" w:line="179" w:lineRule="exact"/>
              <w:rPr>
                <w:sz w:val="20"/>
                <w:szCs w:val="20"/>
                <w:color w:val="auto"/>
              </w:rPr>
            </w:pPr>
            <w:r>
              <w:rPr>
                <w:rFonts w:ascii="Times New Roman" w:cs="Times New Roman" w:eastAsia="Times New Roman" w:hAnsi="Times New Roman"/>
                <w:sz w:val="18"/>
                <w:szCs w:val="18"/>
                <w:b w:val="1"/>
                <w:bCs w:val="1"/>
                <w:color w:val="auto"/>
                <w:w w:val="95"/>
              </w:rPr>
              <w:t>31-60</w:t>
            </w:r>
          </w:p>
        </w:tc>
        <w:tc>
          <w:tcPr>
            <w:tcW w:w="140" w:type="dxa"/>
            <w:vAlign w:val="bottom"/>
          </w:tcPr>
          <w:p>
            <w:pPr>
              <w:spacing w:after="0"/>
              <w:rPr>
                <w:sz w:val="15"/>
                <w:szCs w:val="15"/>
                <w:color w:val="auto"/>
              </w:rPr>
            </w:pPr>
          </w:p>
        </w:tc>
        <w:tc>
          <w:tcPr>
            <w:tcW w:w="1140" w:type="dxa"/>
            <w:vAlign w:val="bottom"/>
            <w:gridSpan w:val="4"/>
          </w:tcPr>
          <w:p>
            <w:pPr>
              <w:jc w:val="center"/>
              <w:ind w:left="231"/>
              <w:spacing w:after="0" w:line="179" w:lineRule="exact"/>
              <w:rPr>
                <w:sz w:val="20"/>
                <w:szCs w:val="20"/>
                <w:color w:val="auto"/>
              </w:rPr>
            </w:pPr>
            <w:r>
              <w:rPr>
                <w:rFonts w:ascii="Times New Roman" w:cs="Times New Roman" w:eastAsia="Times New Roman" w:hAnsi="Times New Roman"/>
                <w:sz w:val="18"/>
                <w:szCs w:val="18"/>
                <w:b w:val="1"/>
                <w:bCs w:val="1"/>
                <w:color w:val="auto"/>
                <w:w w:val="99"/>
              </w:rPr>
              <w:t>61-90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ind w:left="4"/>
              <w:spacing w:after="0" w:line="205" w:lineRule="exact"/>
              <w:rPr>
                <w:sz w:val="20"/>
                <w:szCs w:val="20"/>
                <w:color w:val="auto"/>
              </w:rPr>
            </w:pPr>
            <w:r>
              <w:rPr>
                <w:rFonts w:ascii="Times New Roman" w:cs="Times New Roman" w:eastAsia="Times New Roman" w:hAnsi="Times New Roman"/>
                <w:sz w:val="18"/>
                <w:szCs w:val="18"/>
                <w:b w:val="1"/>
                <w:bCs w:val="1"/>
                <w:color w:val="auto"/>
                <w:w w:val="94"/>
              </w:rPr>
              <w:t>Days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1"/>
              <w:spacing w:after="0" w:line="205"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51"/>
              <w:spacing w:after="0" w:line="205" w:lineRule="exact"/>
              <w:rPr>
                <w:sz w:val="20"/>
                <w:szCs w:val="20"/>
                <w:color w:val="auto"/>
              </w:rPr>
            </w:pPr>
            <w:r>
              <w:rPr>
                <w:rFonts w:ascii="Times New Roman" w:cs="Times New Roman" w:eastAsia="Times New Roman" w:hAnsi="Times New Roman"/>
                <w:sz w:val="18"/>
                <w:szCs w:val="18"/>
                <w:b w:val="1"/>
                <w:bCs w:val="1"/>
                <w:color w:val="auto"/>
                <w:w w:val="98"/>
              </w:rPr>
              <w:t>90+ Days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71"/>
              <w:spacing w:after="0" w:line="205"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right="51"/>
              <w:spacing w:after="0" w:line="205"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line="205"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25"/>
        </w:trPr>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ind w:left="80"/>
              <w:spacing w:after="0" w:line="225" w:lineRule="exact"/>
              <w:rPr>
                <w:sz w:val="20"/>
                <w:szCs w:val="20"/>
                <w:color w:val="auto"/>
              </w:rPr>
            </w:pPr>
            <w:r>
              <w:rPr>
                <w:rFonts w:ascii="Times New Roman" w:cs="Times New Roman" w:eastAsia="Times New Roman" w:hAnsi="Times New Roman"/>
                <w:sz w:val="18"/>
                <w:szCs w:val="18"/>
                <w:b w:val="1"/>
                <w:bCs w:val="1"/>
                <w:color w:val="auto"/>
              </w:rPr>
              <w:t xml:space="preserve">Loans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center"/>
              <w:ind w:left="4"/>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180"/>
              <w:spacing w:after="0" w:line="225" w:lineRule="exact"/>
              <w:rPr>
                <w:sz w:val="20"/>
                <w:szCs w:val="20"/>
                <w:color w:val="auto"/>
              </w:rPr>
            </w:pPr>
            <w:r>
              <w:rPr>
                <w:rFonts w:ascii="Times New Roman" w:cs="Times New Roman" w:eastAsia="Times New Roman" w:hAnsi="Times New Roman"/>
                <w:sz w:val="18"/>
                <w:szCs w:val="18"/>
                <w:b w:val="1"/>
                <w:bCs w:val="1"/>
                <w:color w:val="auto"/>
                <w:w w:val="93"/>
              </w:rPr>
              <w:t xml:space="preserve">Accrual </w:t>
            </w:r>
            <w:r>
              <w:rPr>
                <w:rFonts w:ascii="Times New Roman" w:cs="Times New Roman" w:eastAsia="Times New Roman" w:hAnsi="Times New Roman"/>
                <w:sz w:val="23"/>
                <w:szCs w:val="23"/>
                <w:b w:val="1"/>
                <w:bCs w:val="1"/>
                <w:color w:val="auto"/>
                <w:w w:val="93"/>
                <w:vertAlign w:val="superscript"/>
              </w:rPr>
              <w:t>(2)</w:t>
            </w:r>
          </w:p>
        </w:tc>
      </w:tr>
      <w:tr>
        <w:trPr>
          <w:trHeight w:val="181"/>
        </w:trPr>
        <w:tc>
          <w:tcPr>
            <w:tcW w:w="1920" w:type="dxa"/>
            <w:vAlign w:val="bottom"/>
            <w:tcBorders>
              <w:top w:val="single" w:sz="8" w:color="E3E3E3"/>
            </w:tcBorders>
            <w:shd w:val="clear" w:color="auto" w:fill="E3E3E3"/>
          </w:tcPr>
          <w:p>
            <w:pPr>
              <w:spacing w:after="0" w:line="181" w:lineRule="exact"/>
              <w:rPr>
                <w:sz w:val="20"/>
                <w:szCs w:val="20"/>
                <w:color w:val="auto"/>
              </w:rPr>
            </w:pPr>
            <w:r>
              <w:rPr>
                <w:rFonts w:ascii="Times New Roman" w:cs="Times New Roman" w:eastAsia="Times New Roman" w:hAnsi="Times New Roman"/>
                <w:sz w:val="18"/>
                <w:szCs w:val="18"/>
                <w:color w:val="auto"/>
              </w:rPr>
              <w:t>Loans held for</w:t>
            </w: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100" w:type="dxa"/>
            <w:vAlign w:val="bottom"/>
            <w:tcBorders>
              <w:top w:val="single" w:sz="8" w:color="auto"/>
            </w:tcBorders>
            <w:shd w:val="clear" w:color="auto" w:fill="E3E3E3"/>
          </w:tcPr>
          <w:p>
            <w:pPr>
              <w:spacing w:after="0"/>
              <w:rPr>
                <w:sz w:val="15"/>
                <w:szCs w:val="15"/>
                <w:color w:val="auto"/>
              </w:rPr>
            </w:pPr>
          </w:p>
        </w:tc>
        <w:tc>
          <w:tcPr>
            <w:tcW w:w="920" w:type="dxa"/>
            <w:vAlign w:val="bottom"/>
            <w:tcBorders>
              <w:top w:val="single" w:sz="8" w:color="auto"/>
            </w:tcBorders>
            <w:shd w:val="clear" w:color="auto" w:fill="E3E3E3"/>
          </w:tcPr>
          <w:p>
            <w:pPr>
              <w:spacing w:after="0"/>
              <w:rPr>
                <w:sz w:val="15"/>
                <w:szCs w:val="15"/>
                <w:color w:val="auto"/>
              </w:rPr>
            </w:pPr>
          </w:p>
        </w:tc>
        <w:tc>
          <w:tcPr>
            <w:tcW w:w="22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880" w:type="dxa"/>
            <w:vAlign w:val="bottom"/>
            <w:tcBorders>
              <w:top w:val="single" w:sz="8" w:color="auto"/>
            </w:tcBorders>
            <w:shd w:val="clear" w:color="auto" w:fill="E3E3E3"/>
          </w:tcPr>
          <w:p>
            <w:pPr>
              <w:spacing w:after="0"/>
              <w:rPr>
                <w:sz w:val="15"/>
                <w:szCs w:val="15"/>
                <w:color w:val="auto"/>
              </w:rPr>
            </w:pPr>
          </w:p>
        </w:tc>
        <w:tc>
          <w:tcPr>
            <w:tcW w:w="140" w:type="dxa"/>
            <w:vAlign w:val="bottom"/>
            <w:tcBorders>
              <w:top w:val="single" w:sz="8" w:color="auto"/>
            </w:tcBorders>
            <w:shd w:val="clear" w:color="auto" w:fill="E3E3E3"/>
          </w:tcPr>
          <w:p>
            <w:pPr>
              <w:spacing w:after="0"/>
              <w:rPr>
                <w:sz w:val="15"/>
                <w:szCs w:val="15"/>
                <w:color w:val="auto"/>
              </w:rPr>
            </w:pPr>
          </w:p>
        </w:tc>
        <w:tc>
          <w:tcPr>
            <w:tcW w:w="20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900" w:type="dxa"/>
            <w:vAlign w:val="bottom"/>
            <w:tcBorders>
              <w:top w:val="single" w:sz="8" w:color="auto"/>
            </w:tcBorders>
            <w:shd w:val="clear" w:color="auto" w:fill="E3E3E3"/>
          </w:tcPr>
          <w:p>
            <w:pPr>
              <w:spacing w:after="0"/>
              <w:rPr>
                <w:sz w:val="15"/>
                <w:szCs w:val="15"/>
                <w:color w:val="auto"/>
              </w:rPr>
            </w:pPr>
          </w:p>
        </w:tc>
        <w:tc>
          <w:tcPr>
            <w:tcW w:w="120" w:type="dxa"/>
            <w:vAlign w:val="bottom"/>
            <w:tcBorders>
              <w:top w:val="single" w:sz="8" w:color="auto"/>
            </w:tcBorders>
            <w:shd w:val="clear" w:color="auto" w:fill="E3E3E3"/>
          </w:tcPr>
          <w:p>
            <w:pPr>
              <w:spacing w:after="0"/>
              <w:rPr>
                <w:sz w:val="15"/>
                <w:szCs w:val="15"/>
                <w:color w:val="auto"/>
              </w:rPr>
            </w:pPr>
          </w:p>
        </w:tc>
        <w:tc>
          <w:tcPr>
            <w:tcW w:w="20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80" w:type="dxa"/>
            <w:vAlign w:val="bottom"/>
            <w:tcBorders>
              <w:top w:val="single" w:sz="8" w:color="auto"/>
            </w:tcBorders>
            <w:shd w:val="clear" w:color="auto" w:fill="E3E3E3"/>
          </w:tcPr>
          <w:p>
            <w:pPr>
              <w:spacing w:after="0"/>
              <w:rPr>
                <w:sz w:val="15"/>
                <w:szCs w:val="15"/>
                <w:color w:val="auto"/>
              </w:rPr>
            </w:pPr>
          </w:p>
        </w:tc>
        <w:tc>
          <w:tcPr>
            <w:tcW w:w="920" w:type="dxa"/>
            <w:vAlign w:val="bottom"/>
            <w:tcBorders>
              <w:top w:val="single" w:sz="8" w:color="auto"/>
            </w:tcBorders>
            <w:shd w:val="clear" w:color="auto" w:fill="E3E3E3"/>
          </w:tcPr>
          <w:p>
            <w:pPr>
              <w:spacing w:after="0"/>
              <w:rPr>
                <w:sz w:val="15"/>
                <w:szCs w:val="15"/>
                <w:color w:val="auto"/>
              </w:rPr>
            </w:pPr>
          </w:p>
        </w:tc>
        <w:tc>
          <w:tcPr>
            <w:tcW w:w="20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100" w:type="dxa"/>
            <w:vAlign w:val="bottom"/>
            <w:tcBorders>
              <w:top w:val="single" w:sz="8" w:color="auto"/>
            </w:tcBorders>
            <w:shd w:val="clear" w:color="auto" w:fill="E3E3E3"/>
          </w:tcPr>
          <w:p>
            <w:pPr>
              <w:spacing w:after="0"/>
              <w:rPr>
                <w:sz w:val="15"/>
                <w:szCs w:val="15"/>
                <w:color w:val="auto"/>
              </w:rPr>
            </w:pPr>
          </w:p>
        </w:tc>
        <w:tc>
          <w:tcPr>
            <w:tcW w:w="920" w:type="dxa"/>
            <w:vAlign w:val="bottom"/>
            <w:tcBorders>
              <w:top w:val="single" w:sz="8" w:color="auto"/>
            </w:tcBorders>
            <w:shd w:val="clear" w:color="auto" w:fill="E3E3E3"/>
          </w:tcPr>
          <w:p>
            <w:pPr>
              <w:spacing w:after="0"/>
              <w:rPr>
                <w:sz w:val="15"/>
                <w:szCs w:val="15"/>
                <w:color w:val="auto"/>
              </w:rPr>
            </w:pPr>
          </w:p>
        </w:tc>
        <w:tc>
          <w:tcPr>
            <w:tcW w:w="20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80" w:type="dxa"/>
            <w:vAlign w:val="bottom"/>
            <w:tcBorders>
              <w:top w:val="single" w:sz="8" w:color="auto"/>
            </w:tcBorders>
            <w:shd w:val="clear" w:color="auto" w:fill="E3E3E3"/>
          </w:tcPr>
          <w:p>
            <w:pPr>
              <w:spacing w:after="0"/>
              <w:rPr>
                <w:sz w:val="15"/>
                <w:szCs w:val="15"/>
                <w:color w:val="auto"/>
              </w:rPr>
            </w:pPr>
          </w:p>
        </w:tc>
        <w:tc>
          <w:tcPr>
            <w:tcW w:w="940" w:type="dxa"/>
            <w:vAlign w:val="bottom"/>
            <w:tcBorders>
              <w:top w:val="single" w:sz="8" w:color="auto"/>
            </w:tcBorders>
            <w:shd w:val="clear" w:color="auto" w:fill="E3E3E3"/>
          </w:tcPr>
          <w:p>
            <w:pPr>
              <w:spacing w:after="0"/>
              <w:rPr>
                <w:sz w:val="15"/>
                <w:szCs w:val="15"/>
                <w:color w:val="auto"/>
              </w:rPr>
            </w:pPr>
          </w:p>
        </w:tc>
        <w:tc>
          <w:tcPr>
            <w:tcW w:w="20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80" w:type="dxa"/>
            <w:vAlign w:val="bottom"/>
            <w:tcBorders>
              <w:top w:val="single" w:sz="8" w:color="auto"/>
            </w:tcBorders>
            <w:shd w:val="clear" w:color="auto" w:fill="E3E3E3"/>
          </w:tcPr>
          <w:p>
            <w:pPr>
              <w:spacing w:after="0"/>
              <w:rPr>
                <w:sz w:val="15"/>
                <w:szCs w:val="15"/>
                <w:color w:val="auto"/>
              </w:rPr>
            </w:pPr>
          </w:p>
        </w:tc>
        <w:tc>
          <w:tcPr>
            <w:tcW w:w="940" w:type="dxa"/>
            <w:vAlign w:val="bottom"/>
            <w:tcBorders>
              <w:top w:val="single" w:sz="8" w:color="auto"/>
            </w:tcBorders>
            <w:shd w:val="clear" w:color="auto" w:fill="E3E3E3"/>
          </w:tcPr>
          <w:p>
            <w:pPr>
              <w:spacing w:after="0"/>
              <w:rPr>
                <w:sz w:val="15"/>
                <w:szCs w:val="15"/>
                <w:color w:val="auto"/>
              </w:rPr>
            </w:pPr>
          </w:p>
        </w:tc>
        <w:tc>
          <w:tcPr>
            <w:tcW w:w="60" w:type="dxa"/>
            <w:vAlign w:val="bottom"/>
            <w:tcBorders>
              <w:top w:val="single" w:sz="8" w:color="E3E3E3"/>
            </w:tcBorders>
            <w:shd w:val="clear" w:color="auto" w:fill="E3E3E3"/>
          </w:tcPr>
          <w:p>
            <w:pPr>
              <w:spacing w:after="0"/>
              <w:rPr>
                <w:sz w:val="15"/>
                <w:szCs w:val="15"/>
                <w:color w:val="auto"/>
              </w:rPr>
            </w:pPr>
          </w:p>
        </w:tc>
      </w:tr>
      <w:tr>
        <w:trPr>
          <w:trHeight w:val="223"/>
        </w:trPr>
        <w:tc>
          <w:tcPr>
            <w:tcW w:w="192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99"/>
              </w:rPr>
              <w:t>408,955,567</w:t>
            </w:r>
          </w:p>
        </w:tc>
        <w:tc>
          <w:tcPr>
            <w:tcW w:w="220" w:type="dxa"/>
            <w:vAlign w:val="bottom"/>
            <w:shd w:val="clear" w:color="auto" w:fill="E3E3E3"/>
          </w:tcPr>
          <w:p>
            <w:pPr>
              <w:spacing w:after="0"/>
              <w:rPr>
                <w:sz w:val="19"/>
                <w:szCs w:val="19"/>
                <w:color w:val="auto"/>
              </w:rPr>
            </w:pPr>
          </w:p>
        </w:tc>
        <w:tc>
          <w:tcPr>
            <w:tcW w:w="920" w:type="dxa"/>
            <w:vAlign w:val="bottom"/>
            <w:gridSpan w:val="3"/>
            <w:shd w:val="clear" w:color="auto" w:fill="E3E3E3"/>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3E3E3"/>
          </w:tcPr>
          <w:p>
            <w:pPr>
              <w:spacing w:after="0"/>
              <w:rPr>
                <w:sz w:val="19"/>
                <w:szCs w:val="19"/>
                <w:color w:val="auto"/>
              </w:rPr>
            </w:pPr>
          </w:p>
        </w:tc>
        <w:tc>
          <w:tcPr>
            <w:tcW w:w="940" w:type="dxa"/>
            <w:vAlign w:val="bottom"/>
            <w:gridSpan w:val="3"/>
            <w:shd w:val="clear" w:color="auto" w:fill="E3E3E3"/>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3E3E3"/>
          </w:tcPr>
          <w:p>
            <w:pPr>
              <w:spacing w:after="0"/>
              <w:rPr>
                <w:sz w:val="19"/>
                <w:szCs w:val="19"/>
                <w:color w:val="auto"/>
              </w:rPr>
            </w:pPr>
          </w:p>
        </w:tc>
        <w:tc>
          <w:tcPr>
            <w:tcW w:w="14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3E3E3"/>
          </w:tcPr>
          <w:p>
            <w:pPr>
              <w:spacing w:after="0"/>
              <w:rPr>
                <w:sz w:val="19"/>
                <w:szCs w:val="19"/>
                <w:color w:val="auto"/>
              </w:rPr>
            </w:pPr>
          </w:p>
        </w:tc>
        <w:tc>
          <w:tcPr>
            <w:tcW w:w="160" w:type="dxa"/>
            <w:vAlign w:val="bottom"/>
            <w:gridSpan w:val="4"/>
            <w:shd w:val="clear" w:color="auto" w:fill="E3E3E3"/>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3E3E3"/>
          </w:tcPr>
          <w:p>
            <w:pPr>
              <w:spacing w:after="0"/>
              <w:rPr>
                <w:sz w:val="19"/>
                <w:szCs w:val="19"/>
                <w:color w:val="auto"/>
              </w:rPr>
            </w:pPr>
          </w:p>
        </w:tc>
        <w:tc>
          <w:tcPr>
            <w:tcW w:w="120" w:type="dxa"/>
            <w:vAlign w:val="bottom"/>
            <w:gridSpan w:val="3"/>
            <w:shd w:val="clear" w:color="auto" w:fill="E3E3E3"/>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408,955,567</w:t>
            </w:r>
          </w:p>
        </w:tc>
        <w:tc>
          <w:tcPr>
            <w:tcW w:w="200" w:type="dxa"/>
            <w:vAlign w:val="bottom"/>
            <w:shd w:val="clear" w:color="auto" w:fill="E3E3E3"/>
          </w:tcPr>
          <w:p>
            <w:pPr>
              <w:spacing w:after="0"/>
              <w:rPr>
                <w:sz w:val="19"/>
                <w:szCs w:val="19"/>
                <w:color w:val="auto"/>
              </w:rPr>
            </w:pPr>
          </w:p>
        </w:tc>
        <w:tc>
          <w:tcPr>
            <w:tcW w:w="12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48,801,351</w:t>
            </w:r>
          </w:p>
        </w:tc>
        <w:tc>
          <w:tcPr>
            <w:tcW w:w="60" w:type="dxa"/>
            <w:vAlign w:val="bottom"/>
            <w:shd w:val="clear" w:color="auto" w:fill="E3E3E3"/>
          </w:tcPr>
          <w:p>
            <w:pPr>
              <w:spacing w:after="0"/>
              <w:rPr>
                <w:sz w:val="19"/>
                <w:szCs w:val="19"/>
                <w:color w:val="auto"/>
              </w:rPr>
            </w:pPr>
          </w:p>
        </w:tc>
      </w:tr>
      <w:tr>
        <w:trPr>
          <w:trHeight w:val="199"/>
        </w:trPr>
        <w:tc>
          <w:tcPr>
            <w:tcW w:w="19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7"/>
                <w:szCs w:val="17"/>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w w:val="99"/>
              </w:rPr>
              <w:t>408,955,567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gridSpan w:val="2"/>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auto"/>
            </w:tcBorders>
            <w:gridSpan w:val="2"/>
          </w:tcPr>
          <w:p>
            <w:pPr>
              <w:jc w:val="right"/>
              <w:ind w:right="78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408,955,567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48,801,351</w:t>
            </w:r>
          </w:p>
        </w:tc>
        <w:tc>
          <w:tcPr>
            <w:tcW w:w="6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4"/>
        </w:trPr>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of December 31, 2024</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79"/>
        </w:trPr>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4"/>
          </w:tcPr>
          <w:p>
            <w:pPr>
              <w:jc w:val="center"/>
              <w:ind w:left="251"/>
              <w:spacing w:after="0" w:line="179" w:lineRule="exact"/>
              <w:rPr>
                <w:sz w:val="20"/>
                <w:szCs w:val="20"/>
                <w:color w:val="auto"/>
              </w:rPr>
            </w:pPr>
            <w:r>
              <w:rPr>
                <w:rFonts w:ascii="Times New Roman" w:cs="Times New Roman" w:eastAsia="Times New Roman" w:hAnsi="Times New Roman"/>
                <w:sz w:val="18"/>
                <w:szCs w:val="18"/>
                <w:b w:val="1"/>
                <w:bCs w:val="1"/>
                <w:color w:val="auto"/>
                <w:w w:val="95"/>
              </w:rPr>
              <w:t>31-60</w:t>
            </w:r>
          </w:p>
        </w:tc>
        <w:tc>
          <w:tcPr>
            <w:tcW w:w="140" w:type="dxa"/>
            <w:vAlign w:val="bottom"/>
          </w:tcPr>
          <w:p>
            <w:pPr>
              <w:spacing w:after="0"/>
              <w:rPr>
                <w:sz w:val="15"/>
                <w:szCs w:val="15"/>
                <w:color w:val="auto"/>
              </w:rPr>
            </w:pPr>
          </w:p>
        </w:tc>
        <w:tc>
          <w:tcPr>
            <w:tcW w:w="1140" w:type="dxa"/>
            <w:vAlign w:val="bottom"/>
            <w:gridSpan w:val="4"/>
          </w:tcPr>
          <w:p>
            <w:pPr>
              <w:jc w:val="center"/>
              <w:ind w:left="231"/>
              <w:spacing w:after="0" w:line="179" w:lineRule="exact"/>
              <w:rPr>
                <w:sz w:val="20"/>
                <w:szCs w:val="20"/>
                <w:color w:val="auto"/>
              </w:rPr>
            </w:pPr>
            <w:r>
              <w:rPr>
                <w:rFonts w:ascii="Times New Roman" w:cs="Times New Roman" w:eastAsia="Times New Roman" w:hAnsi="Times New Roman"/>
                <w:sz w:val="18"/>
                <w:szCs w:val="18"/>
                <w:b w:val="1"/>
                <w:bCs w:val="1"/>
                <w:color w:val="auto"/>
                <w:w w:val="99"/>
              </w:rPr>
              <w:t>61-90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5"/>
        </w:trPr>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ind w:left="4"/>
              <w:spacing w:after="0" w:line="205" w:lineRule="exact"/>
              <w:rPr>
                <w:sz w:val="20"/>
                <w:szCs w:val="20"/>
                <w:color w:val="auto"/>
              </w:rPr>
            </w:pPr>
            <w:r>
              <w:rPr>
                <w:rFonts w:ascii="Times New Roman" w:cs="Times New Roman" w:eastAsia="Times New Roman" w:hAnsi="Times New Roman"/>
                <w:sz w:val="18"/>
                <w:szCs w:val="18"/>
                <w:b w:val="1"/>
                <w:bCs w:val="1"/>
                <w:color w:val="auto"/>
                <w:w w:val="94"/>
              </w:rPr>
              <w:t>Days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1"/>
              <w:spacing w:after="0" w:line="205"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51"/>
              <w:spacing w:after="0" w:line="205" w:lineRule="exact"/>
              <w:rPr>
                <w:sz w:val="20"/>
                <w:szCs w:val="20"/>
                <w:color w:val="auto"/>
              </w:rPr>
            </w:pPr>
            <w:r>
              <w:rPr>
                <w:rFonts w:ascii="Times New Roman" w:cs="Times New Roman" w:eastAsia="Times New Roman" w:hAnsi="Times New Roman"/>
                <w:sz w:val="18"/>
                <w:szCs w:val="18"/>
                <w:b w:val="1"/>
                <w:bCs w:val="1"/>
                <w:color w:val="auto"/>
                <w:w w:val="98"/>
              </w:rPr>
              <w:t>90+ Days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71"/>
              <w:spacing w:after="0" w:line="205"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right="51"/>
              <w:spacing w:after="0" w:line="205"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line="205"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25"/>
        </w:trPr>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ind w:left="80"/>
              <w:spacing w:after="0" w:line="225" w:lineRule="exact"/>
              <w:rPr>
                <w:sz w:val="20"/>
                <w:szCs w:val="20"/>
                <w:color w:val="auto"/>
              </w:rPr>
            </w:pPr>
            <w:r>
              <w:rPr>
                <w:rFonts w:ascii="Times New Roman" w:cs="Times New Roman" w:eastAsia="Times New Roman" w:hAnsi="Times New Roman"/>
                <w:sz w:val="18"/>
                <w:szCs w:val="18"/>
                <w:b w:val="1"/>
                <w:bCs w:val="1"/>
                <w:color w:val="auto"/>
              </w:rPr>
              <w:t xml:space="preserve">Loans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center"/>
              <w:ind w:left="4"/>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Past Due (2)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180"/>
              <w:spacing w:after="0" w:line="225" w:lineRule="exact"/>
              <w:rPr>
                <w:sz w:val="20"/>
                <w:szCs w:val="20"/>
                <w:color w:val="auto"/>
              </w:rPr>
            </w:pPr>
            <w:r>
              <w:rPr>
                <w:rFonts w:ascii="Times New Roman" w:cs="Times New Roman" w:eastAsia="Times New Roman" w:hAnsi="Times New Roman"/>
                <w:sz w:val="18"/>
                <w:szCs w:val="18"/>
                <w:b w:val="1"/>
                <w:bCs w:val="1"/>
                <w:color w:val="auto"/>
                <w:w w:val="93"/>
              </w:rPr>
              <w:t xml:space="preserve">Accrual </w:t>
            </w:r>
            <w:r>
              <w:rPr>
                <w:rFonts w:ascii="Times New Roman" w:cs="Times New Roman" w:eastAsia="Times New Roman" w:hAnsi="Times New Roman"/>
                <w:sz w:val="23"/>
                <w:szCs w:val="23"/>
                <w:b w:val="1"/>
                <w:bCs w:val="1"/>
                <w:color w:val="auto"/>
                <w:w w:val="93"/>
                <w:vertAlign w:val="superscript"/>
              </w:rPr>
              <w:t>(2)</w:t>
            </w:r>
          </w:p>
        </w:tc>
      </w:tr>
      <w:tr>
        <w:trPr>
          <w:trHeight w:val="181"/>
        </w:trPr>
        <w:tc>
          <w:tcPr>
            <w:tcW w:w="1920" w:type="dxa"/>
            <w:vAlign w:val="bottom"/>
            <w:tcBorders>
              <w:top w:val="single" w:sz="8" w:color="E3E3E3"/>
            </w:tcBorders>
            <w:shd w:val="clear" w:color="auto" w:fill="E3E3E3"/>
          </w:tcPr>
          <w:p>
            <w:pPr>
              <w:spacing w:after="0" w:line="181" w:lineRule="exact"/>
              <w:rPr>
                <w:sz w:val="20"/>
                <w:szCs w:val="20"/>
                <w:color w:val="auto"/>
              </w:rPr>
            </w:pPr>
            <w:r>
              <w:rPr>
                <w:rFonts w:ascii="Times New Roman" w:cs="Times New Roman" w:eastAsia="Times New Roman" w:hAnsi="Times New Roman"/>
                <w:sz w:val="18"/>
                <w:szCs w:val="18"/>
                <w:color w:val="auto"/>
              </w:rPr>
              <w:t>Loans held for</w:t>
            </w:r>
          </w:p>
        </w:tc>
        <w:tc>
          <w:tcPr>
            <w:tcW w:w="2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100" w:type="dxa"/>
            <w:vAlign w:val="bottom"/>
            <w:tcBorders>
              <w:top w:val="single" w:sz="8" w:color="auto"/>
            </w:tcBorders>
            <w:shd w:val="clear" w:color="auto" w:fill="E3E3E3"/>
          </w:tcPr>
          <w:p>
            <w:pPr>
              <w:spacing w:after="0"/>
              <w:rPr>
                <w:sz w:val="15"/>
                <w:szCs w:val="15"/>
                <w:color w:val="auto"/>
              </w:rPr>
            </w:pPr>
          </w:p>
        </w:tc>
        <w:tc>
          <w:tcPr>
            <w:tcW w:w="920" w:type="dxa"/>
            <w:vAlign w:val="bottom"/>
            <w:tcBorders>
              <w:top w:val="single" w:sz="8" w:color="auto"/>
            </w:tcBorders>
            <w:shd w:val="clear" w:color="auto" w:fill="E3E3E3"/>
          </w:tcPr>
          <w:p>
            <w:pPr>
              <w:spacing w:after="0"/>
              <w:rPr>
                <w:sz w:val="15"/>
                <w:szCs w:val="15"/>
                <w:color w:val="auto"/>
              </w:rPr>
            </w:pPr>
          </w:p>
        </w:tc>
        <w:tc>
          <w:tcPr>
            <w:tcW w:w="220" w:type="dxa"/>
            <w:vAlign w:val="bottom"/>
            <w:tcBorders>
              <w:top w:val="single" w:sz="8" w:color="E3E3E3"/>
            </w:tcBorders>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880" w:type="dxa"/>
            <w:vAlign w:val="bottom"/>
            <w:tcBorders>
              <w:top w:val="single" w:sz="8" w:color="auto"/>
            </w:tcBorders>
            <w:shd w:val="clear" w:color="auto" w:fill="E3E3E3"/>
          </w:tcPr>
          <w:p>
            <w:pPr>
              <w:spacing w:after="0"/>
              <w:rPr>
                <w:sz w:val="15"/>
                <w:szCs w:val="15"/>
                <w:color w:val="auto"/>
              </w:rPr>
            </w:pPr>
          </w:p>
        </w:tc>
        <w:tc>
          <w:tcPr>
            <w:tcW w:w="140" w:type="dxa"/>
            <w:vAlign w:val="bottom"/>
            <w:tcBorders>
              <w:top w:val="single" w:sz="8" w:color="auto"/>
            </w:tcBorders>
            <w:shd w:val="clear" w:color="auto" w:fill="E3E3E3"/>
          </w:tcPr>
          <w:p>
            <w:pPr>
              <w:spacing w:after="0"/>
              <w:rPr>
                <w:sz w:val="15"/>
                <w:szCs w:val="15"/>
                <w:color w:val="auto"/>
              </w:rPr>
            </w:pPr>
          </w:p>
        </w:tc>
        <w:tc>
          <w:tcPr>
            <w:tcW w:w="200" w:type="dxa"/>
            <w:vAlign w:val="bottom"/>
            <w:tcBorders>
              <w:top w:val="single" w:sz="8" w:color="E3E3E3"/>
            </w:tcBorders>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900" w:type="dxa"/>
            <w:vAlign w:val="bottom"/>
            <w:tcBorders>
              <w:top w:val="single" w:sz="8" w:color="auto"/>
            </w:tcBorders>
            <w:shd w:val="clear" w:color="auto" w:fill="E3E3E3"/>
          </w:tcPr>
          <w:p>
            <w:pPr>
              <w:spacing w:after="0"/>
              <w:rPr>
                <w:sz w:val="15"/>
                <w:szCs w:val="15"/>
                <w:color w:val="auto"/>
              </w:rPr>
            </w:pPr>
          </w:p>
        </w:tc>
        <w:tc>
          <w:tcPr>
            <w:tcW w:w="120" w:type="dxa"/>
            <w:vAlign w:val="bottom"/>
            <w:tcBorders>
              <w:top w:val="single" w:sz="8" w:color="auto"/>
            </w:tcBorders>
            <w:shd w:val="clear" w:color="auto" w:fill="E3E3E3"/>
          </w:tcPr>
          <w:p>
            <w:pPr>
              <w:spacing w:after="0"/>
              <w:rPr>
                <w:sz w:val="15"/>
                <w:szCs w:val="15"/>
                <w:color w:val="auto"/>
              </w:rPr>
            </w:pPr>
          </w:p>
        </w:tc>
        <w:tc>
          <w:tcPr>
            <w:tcW w:w="20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80" w:type="dxa"/>
            <w:vAlign w:val="bottom"/>
            <w:tcBorders>
              <w:top w:val="single" w:sz="8" w:color="auto"/>
            </w:tcBorders>
            <w:shd w:val="clear" w:color="auto" w:fill="E3E3E3"/>
          </w:tcPr>
          <w:p>
            <w:pPr>
              <w:spacing w:after="0"/>
              <w:rPr>
                <w:sz w:val="15"/>
                <w:szCs w:val="15"/>
                <w:color w:val="auto"/>
              </w:rPr>
            </w:pPr>
          </w:p>
        </w:tc>
        <w:tc>
          <w:tcPr>
            <w:tcW w:w="920" w:type="dxa"/>
            <w:vAlign w:val="bottom"/>
            <w:tcBorders>
              <w:top w:val="single" w:sz="8" w:color="auto"/>
            </w:tcBorders>
            <w:shd w:val="clear" w:color="auto" w:fill="E3E3E3"/>
          </w:tcPr>
          <w:p>
            <w:pPr>
              <w:spacing w:after="0"/>
              <w:rPr>
                <w:sz w:val="15"/>
                <w:szCs w:val="15"/>
                <w:color w:val="auto"/>
              </w:rPr>
            </w:pPr>
          </w:p>
        </w:tc>
        <w:tc>
          <w:tcPr>
            <w:tcW w:w="20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100" w:type="dxa"/>
            <w:vAlign w:val="bottom"/>
            <w:tcBorders>
              <w:top w:val="single" w:sz="8" w:color="auto"/>
            </w:tcBorders>
            <w:shd w:val="clear" w:color="auto" w:fill="E3E3E3"/>
          </w:tcPr>
          <w:p>
            <w:pPr>
              <w:spacing w:after="0"/>
              <w:rPr>
                <w:sz w:val="15"/>
                <w:szCs w:val="15"/>
                <w:color w:val="auto"/>
              </w:rPr>
            </w:pPr>
          </w:p>
        </w:tc>
        <w:tc>
          <w:tcPr>
            <w:tcW w:w="920" w:type="dxa"/>
            <w:vAlign w:val="bottom"/>
            <w:tcBorders>
              <w:top w:val="single" w:sz="8" w:color="auto"/>
            </w:tcBorders>
            <w:shd w:val="clear" w:color="auto" w:fill="E3E3E3"/>
          </w:tcPr>
          <w:p>
            <w:pPr>
              <w:spacing w:after="0"/>
              <w:rPr>
                <w:sz w:val="15"/>
                <w:szCs w:val="15"/>
                <w:color w:val="auto"/>
              </w:rPr>
            </w:pPr>
          </w:p>
        </w:tc>
        <w:tc>
          <w:tcPr>
            <w:tcW w:w="20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E3E3E3"/>
            </w:tcBorders>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80" w:type="dxa"/>
            <w:vAlign w:val="bottom"/>
            <w:tcBorders>
              <w:top w:val="single" w:sz="8" w:color="auto"/>
            </w:tcBorders>
            <w:shd w:val="clear" w:color="auto" w:fill="E3E3E3"/>
          </w:tcPr>
          <w:p>
            <w:pPr>
              <w:spacing w:after="0"/>
              <w:rPr>
                <w:sz w:val="15"/>
                <w:szCs w:val="15"/>
                <w:color w:val="auto"/>
              </w:rPr>
            </w:pPr>
          </w:p>
        </w:tc>
        <w:tc>
          <w:tcPr>
            <w:tcW w:w="940" w:type="dxa"/>
            <w:vAlign w:val="bottom"/>
            <w:tcBorders>
              <w:top w:val="single" w:sz="8" w:color="auto"/>
            </w:tcBorders>
            <w:shd w:val="clear" w:color="auto" w:fill="E3E3E3"/>
          </w:tcPr>
          <w:p>
            <w:pPr>
              <w:spacing w:after="0"/>
              <w:rPr>
                <w:sz w:val="15"/>
                <w:szCs w:val="15"/>
                <w:color w:val="auto"/>
              </w:rPr>
            </w:pPr>
          </w:p>
        </w:tc>
        <w:tc>
          <w:tcPr>
            <w:tcW w:w="200" w:type="dxa"/>
            <w:vAlign w:val="bottom"/>
            <w:tcBorders>
              <w:top w:val="single" w:sz="8" w:color="E3E3E3"/>
            </w:tcBorders>
            <w:shd w:val="clear" w:color="auto" w:fill="E3E3E3"/>
          </w:tcPr>
          <w:p>
            <w:pPr>
              <w:spacing w:after="0"/>
              <w:rPr>
                <w:sz w:val="15"/>
                <w:szCs w:val="15"/>
                <w:color w:val="auto"/>
              </w:rPr>
            </w:pPr>
          </w:p>
        </w:tc>
        <w:tc>
          <w:tcPr>
            <w:tcW w:w="20" w:type="dxa"/>
            <w:vAlign w:val="bottom"/>
            <w:shd w:val="clear" w:color="auto" w:fill="E3E3E3"/>
          </w:tcPr>
          <w:p>
            <w:pPr>
              <w:spacing w:after="0"/>
              <w:rPr>
                <w:sz w:val="15"/>
                <w:szCs w:val="15"/>
                <w:color w:val="auto"/>
              </w:rPr>
            </w:pPr>
          </w:p>
        </w:tc>
        <w:tc>
          <w:tcPr>
            <w:tcW w:w="20" w:type="dxa"/>
            <w:vAlign w:val="bottom"/>
            <w:tcBorders>
              <w:top w:val="single" w:sz="8" w:color="auto"/>
            </w:tcBorders>
            <w:shd w:val="clear" w:color="auto" w:fill="E3E3E3"/>
          </w:tcPr>
          <w:p>
            <w:pPr>
              <w:spacing w:after="0"/>
              <w:rPr>
                <w:sz w:val="15"/>
                <w:szCs w:val="15"/>
                <w:color w:val="auto"/>
              </w:rPr>
            </w:pPr>
          </w:p>
        </w:tc>
        <w:tc>
          <w:tcPr>
            <w:tcW w:w="80" w:type="dxa"/>
            <w:vAlign w:val="bottom"/>
            <w:tcBorders>
              <w:top w:val="single" w:sz="8" w:color="auto"/>
            </w:tcBorders>
            <w:shd w:val="clear" w:color="auto" w:fill="E3E3E3"/>
          </w:tcPr>
          <w:p>
            <w:pPr>
              <w:spacing w:after="0"/>
              <w:rPr>
                <w:sz w:val="15"/>
                <w:szCs w:val="15"/>
                <w:color w:val="auto"/>
              </w:rPr>
            </w:pPr>
          </w:p>
        </w:tc>
        <w:tc>
          <w:tcPr>
            <w:tcW w:w="940" w:type="dxa"/>
            <w:vAlign w:val="bottom"/>
            <w:tcBorders>
              <w:top w:val="single" w:sz="8" w:color="auto"/>
            </w:tcBorders>
            <w:shd w:val="clear" w:color="auto" w:fill="E3E3E3"/>
          </w:tcPr>
          <w:p>
            <w:pPr>
              <w:spacing w:after="0"/>
              <w:rPr>
                <w:sz w:val="15"/>
                <w:szCs w:val="15"/>
                <w:color w:val="auto"/>
              </w:rPr>
            </w:pPr>
          </w:p>
        </w:tc>
        <w:tc>
          <w:tcPr>
            <w:tcW w:w="60" w:type="dxa"/>
            <w:vAlign w:val="bottom"/>
            <w:tcBorders>
              <w:top w:val="single" w:sz="8" w:color="E3E3E3"/>
            </w:tcBorders>
            <w:shd w:val="clear" w:color="auto" w:fill="E3E3E3"/>
          </w:tcPr>
          <w:p>
            <w:pPr>
              <w:spacing w:after="0"/>
              <w:rPr>
                <w:sz w:val="15"/>
                <w:szCs w:val="15"/>
                <w:color w:val="auto"/>
              </w:rPr>
            </w:pPr>
          </w:p>
        </w:tc>
      </w:tr>
      <w:tr>
        <w:trPr>
          <w:trHeight w:val="223"/>
        </w:trPr>
        <w:tc>
          <w:tcPr>
            <w:tcW w:w="192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99"/>
              </w:rPr>
              <w:t>386,074,558</w:t>
            </w:r>
          </w:p>
        </w:tc>
        <w:tc>
          <w:tcPr>
            <w:tcW w:w="220" w:type="dxa"/>
            <w:vAlign w:val="bottom"/>
            <w:shd w:val="clear" w:color="auto" w:fill="E3E3E3"/>
          </w:tcPr>
          <w:p>
            <w:pPr>
              <w:spacing w:after="0"/>
              <w:rPr>
                <w:sz w:val="19"/>
                <w:szCs w:val="19"/>
                <w:color w:val="auto"/>
              </w:rPr>
            </w:pPr>
          </w:p>
        </w:tc>
        <w:tc>
          <w:tcPr>
            <w:tcW w:w="920" w:type="dxa"/>
            <w:vAlign w:val="bottom"/>
            <w:gridSpan w:val="3"/>
            <w:shd w:val="clear" w:color="auto" w:fill="E3E3E3"/>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3E3E3"/>
          </w:tcPr>
          <w:p>
            <w:pPr>
              <w:spacing w:after="0"/>
              <w:rPr>
                <w:sz w:val="19"/>
                <w:szCs w:val="19"/>
                <w:color w:val="auto"/>
              </w:rPr>
            </w:pPr>
          </w:p>
        </w:tc>
        <w:tc>
          <w:tcPr>
            <w:tcW w:w="940" w:type="dxa"/>
            <w:vAlign w:val="bottom"/>
            <w:gridSpan w:val="3"/>
            <w:shd w:val="clear" w:color="auto" w:fill="E3E3E3"/>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3E3E3"/>
          </w:tcPr>
          <w:p>
            <w:pPr>
              <w:spacing w:after="0"/>
              <w:rPr>
                <w:sz w:val="19"/>
                <w:szCs w:val="19"/>
                <w:color w:val="auto"/>
              </w:rPr>
            </w:pPr>
          </w:p>
        </w:tc>
        <w:tc>
          <w:tcPr>
            <w:tcW w:w="14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200" w:type="dxa"/>
            <w:vAlign w:val="bottom"/>
            <w:shd w:val="clear" w:color="auto" w:fill="E3E3E3"/>
          </w:tcPr>
          <w:p>
            <w:pPr>
              <w:spacing w:after="0"/>
              <w:rPr>
                <w:sz w:val="19"/>
                <w:szCs w:val="19"/>
                <w:color w:val="auto"/>
              </w:rPr>
            </w:pPr>
          </w:p>
        </w:tc>
        <w:tc>
          <w:tcPr>
            <w:tcW w:w="160" w:type="dxa"/>
            <w:vAlign w:val="bottom"/>
            <w:gridSpan w:val="4"/>
            <w:shd w:val="clear" w:color="auto" w:fill="E3E3E3"/>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200" w:type="dxa"/>
            <w:vAlign w:val="bottom"/>
            <w:shd w:val="clear" w:color="auto" w:fill="E3E3E3"/>
          </w:tcPr>
          <w:p>
            <w:pPr>
              <w:spacing w:after="0"/>
              <w:rPr>
                <w:sz w:val="19"/>
                <w:szCs w:val="19"/>
                <w:color w:val="auto"/>
              </w:rPr>
            </w:pPr>
          </w:p>
        </w:tc>
        <w:tc>
          <w:tcPr>
            <w:tcW w:w="120" w:type="dxa"/>
            <w:vAlign w:val="bottom"/>
            <w:gridSpan w:val="3"/>
            <w:shd w:val="clear" w:color="auto" w:fill="E3E3E3"/>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200" w:type="dxa"/>
            <w:vAlign w:val="bottom"/>
            <w:shd w:val="clear" w:color="auto" w:fill="E3E3E3"/>
          </w:tcPr>
          <w:p>
            <w:pPr>
              <w:spacing w:after="0"/>
              <w:rPr>
                <w:sz w:val="19"/>
                <w:szCs w:val="19"/>
                <w:color w:val="auto"/>
              </w:rPr>
            </w:pPr>
          </w:p>
        </w:tc>
        <w:tc>
          <w:tcPr>
            <w:tcW w:w="12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60" w:type="dxa"/>
            <w:vAlign w:val="bottom"/>
            <w:shd w:val="clear" w:color="auto" w:fill="E3E3E3"/>
          </w:tcPr>
          <w:p>
            <w:pPr>
              <w:spacing w:after="0"/>
              <w:rPr>
                <w:sz w:val="19"/>
                <w:szCs w:val="19"/>
                <w:color w:val="auto"/>
              </w:rPr>
            </w:pPr>
          </w:p>
        </w:tc>
      </w:tr>
      <w:tr>
        <w:trPr>
          <w:trHeight w:val="199"/>
        </w:trPr>
        <w:tc>
          <w:tcPr>
            <w:tcW w:w="19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Total</w:t>
            </w:r>
          </w:p>
        </w:tc>
        <w:tc>
          <w:tcPr>
            <w:tcW w:w="40" w:type="dxa"/>
            <w:vAlign w:val="bottom"/>
            <w:gridSpan w:val="2"/>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w w:val="99"/>
              </w:rPr>
              <w:t>386,074,558</w:t>
            </w:r>
          </w:p>
        </w:tc>
        <w:tc>
          <w:tcPr>
            <w:tcW w:w="2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80" w:type="dxa"/>
            <w:vAlign w:val="bottom"/>
            <w:tcBorders>
              <w:top w:val="single" w:sz="8" w:color="auto"/>
            </w:tcBorders>
          </w:tcPr>
          <w:p>
            <w:pPr>
              <w:jc w:val="right"/>
              <w:ind w:right="764"/>
              <w:spacing w:after="0"/>
              <w:rPr>
                <w:sz w:val="20"/>
                <w:szCs w:val="20"/>
                <w:color w:val="auto"/>
              </w:rPr>
            </w:pPr>
            <w:r>
              <w:rPr>
                <w:rFonts w:ascii="Times New Roman" w:cs="Times New Roman" w:eastAsia="Times New Roman" w:hAnsi="Times New Roman"/>
                <w:sz w:val="4"/>
                <w:szCs w:val="4"/>
                <w:color w:val="auto"/>
                <w:w w:val="97"/>
              </w:rPr>
              <w:t>$</w:t>
            </w:r>
          </w:p>
        </w:tc>
        <w:tc>
          <w:tcPr>
            <w:tcW w:w="1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900" w:type="dxa"/>
            <w:vAlign w:val="bottom"/>
            <w:tcBorders>
              <w:top w:val="single" w:sz="8" w:color="auto"/>
            </w:tcBorders>
          </w:tcPr>
          <w:p>
            <w:pPr>
              <w:jc w:val="right"/>
              <w:ind w:right="781"/>
              <w:spacing w:after="0"/>
              <w:rPr>
                <w:sz w:val="20"/>
                <w:szCs w:val="20"/>
                <w:color w:val="auto"/>
              </w:rPr>
            </w:pPr>
            <w:r>
              <w:rPr>
                <w:rFonts w:ascii="Times New Roman" w:cs="Times New Roman" w:eastAsia="Times New Roman" w:hAnsi="Times New Roman"/>
                <w:sz w:val="4"/>
                <w:szCs w:val="4"/>
                <w:color w:val="auto"/>
                <w:w w:val="97"/>
              </w:rPr>
              <w:t>$</w:t>
            </w:r>
          </w:p>
        </w:tc>
        <w:tc>
          <w:tcPr>
            <w:tcW w:w="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16,402,488</w:t>
            </w:r>
          </w:p>
        </w:tc>
        <w:tc>
          <w:tcPr>
            <w:tcW w:w="20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16,402,488</w:t>
            </w:r>
          </w:p>
        </w:tc>
        <w:tc>
          <w:tcPr>
            <w:tcW w:w="20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9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402,477,046</w:t>
            </w:r>
          </w:p>
        </w:tc>
        <w:tc>
          <w:tcPr>
            <w:tcW w:w="20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16,402,488</w:t>
            </w:r>
          </w:p>
        </w:tc>
        <w:tc>
          <w:tcPr>
            <w:tcW w:w="6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8" w:lineRule="exact"/>
        <w:rPr>
          <w:sz w:val="20"/>
          <w:szCs w:val="20"/>
          <w:color w:val="auto"/>
        </w:rPr>
      </w:pPr>
    </w:p>
    <w:p>
      <w:pPr>
        <w:ind w:left="361" w:hanging="361"/>
        <w:spacing w:after="0"/>
        <w:tabs>
          <w:tab w:leader="none" w:pos="36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1-30 days past due are included in the current loans.</w:t>
      </w:r>
    </w:p>
    <w:p>
      <w:pPr>
        <w:spacing w:after="0" w:line="195" w:lineRule="exact"/>
        <w:rPr>
          <w:rFonts w:ascii="Times New Roman" w:cs="Times New Roman" w:eastAsia="Times New Roman" w:hAnsi="Times New Roman"/>
          <w:sz w:val="20"/>
          <w:szCs w:val="20"/>
          <w:color w:val="auto"/>
        </w:rPr>
      </w:pPr>
    </w:p>
    <w:p>
      <w:pPr>
        <w:jc w:val="both"/>
        <w:ind w:left="361" w:hanging="361"/>
        <w:spacing w:after="0" w:line="246" w:lineRule="auto"/>
        <w:tabs>
          <w:tab w:leader="none" w:pos="36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1, 2023, Loan #9 was placed on non-accrual status. The Company was brought current on all interest and payments due on Loan #9 through December 31, 2025. Management elected to maintain the loan on non-accrual status until such time that the borrower demonstrates sustained ability to meet debt service obligations under both the Judgment Loan and the Term Loan. (Note 9). On May 9, 2025, Loan #6 was placed on non-accrual and remains on non-accrual as of December 31, 2025. On December 1, 2025, Loan #4 and Loan #34 were placed on non-accrual and remain on non-accrual as of December 31, 2025.</w:t>
      </w:r>
    </w:p>
    <w:p>
      <w:pPr>
        <w:spacing w:after="0" w:line="1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Non-Accrual Loans</w:t>
      </w:r>
    </w:p>
    <w:p>
      <w:pPr>
        <w:spacing w:after="0" w:line="193" w:lineRule="exact"/>
        <w:rPr>
          <w:sz w:val="20"/>
          <w:szCs w:val="20"/>
          <w:color w:val="auto"/>
        </w:rPr>
      </w:pPr>
    </w:p>
    <w:p>
      <w:pPr>
        <w:jc w:val="both"/>
        <w:ind w:left="1" w:firstLine="355"/>
        <w:spacing w:after="0" w:line="249" w:lineRule="auto"/>
        <w:rPr>
          <w:sz w:val="20"/>
          <w:szCs w:val="20"/>
          <w:color w:val="auto"/>
        </w:rPr>
      </w:pPr>
      <w:r>
        <w:rPr>
          <w:rFonts w:ascii="Times New Roman" w:cs="Times New Roman" w:eastAsia="Times New Roman" w:hAnsi="Times New Roman"/>
          <w:sz w:val="20"/>
          <w:szCs w:val="20"/>
          <w:color w:val="auto"/>
        </w:rPr>
        <w:t>As of December 31, 2025 and 2024, there were four and one loans placed on non-accrual status, respectively. As of December 31, 2025, the total aggregate principal balance and carrying value of loans placed on non-accrual was $ 48.9 million and $48.8 million, respectively. There is $0 interest receivable as of December 31, 2025 relating to loans placed on non-accrual status. As of December 31, 2024, the total aggregate principal balance and carrying value of loans placed on non-accrual was $16.4 million.</w:t>
      </w:r>
    </w:p>
    <w:p>
      <w:pPr>
        <w:spacing w:after="0" w:line="153" w:lineRule="exact"/>
        <w:rPr>
          <w:sz w:val="20"/>
          <w:szCs w:val="20"/>
          <w:color w:val="auto"/>
        </w:rPr>
      </w:pPr>
    </w:p>
    <w:p>
      <w:pPr>
        <w:jc w:val="both"/>
        <w:ind w:left="1" w:firstLine="355"/>
        <w:spacing w:after="0" w:line="262" w:lineRule="auto"/>
        <w:rPr>
          <w:sz w:val="20"/>
          <w:szCs w:val="20"/>
          <w:color w:val="auto"/>
        </w:rPr>
      </w:pPr>
      <w:r>
        <w:rPr>
          <w:rFonts w:ascii="Times New Roman" w:cs="Times New Roman" w:eastAsia="Times New Roman" w:hAnsi="Times New Roman"/>
          <w:sz w:val="19"/>
          <w:szCs w:val="19"/>
          <w:color w:val="auto"/>
        </w:rPr>
        <w:t>As more fully described in Note 8, Loan #9 was placed on non-accrual status as of May 1, 2023 and has a carrying value of approximately $29.0 million and $16.4 million as of December 31, 2025 and December 31, 2024. Loan #9 carried a reserve for current expected credit losses of approximately $0.5 million and $ 1.2 million as of December 31, 2025 and December 31, 2024, respectively. The Company ceased accruing interest on the first date of delinquency, based on expectation of its ability to collect all amounts then due from the borrower. As a result, there was no accrued interest to write-off when the loan was placed on non-accrual.</w:t>
      </w:r>
    </w:p>
    <w:p>
      <w:pPr>
        <w:spacing w:after="0" w:line="142" w:lineRule="exact"/>
        <w:rPr>
          <w:sz w:val="20"/>
          <w:szCs w:val="20"/>
          <w:color w:val="auto"/>
        </w:rPr>
      </w:pPr>
    </w:p>
    <w:p>
      <w:pPr>
        <w:jc w:val="both"/>
        <w:ind w:left="1" w:firstLine="355"/>
        <w:spacing w:after="0" w:line="249" w:lineRule="auto"/>
        <w:rPr>
          <w:sz w:val="20"/>
          <w:szCs w:val="20"/>
          <w:color w:val="auto"/>
        </w:rPr>
      </w:pPr>
      <w:r>
        <w:rPr>
          <w:rFonts w:ascii="Times New Roman" w:cs="Times New Roman" w:eastAsia="Times New Roman" w:hAnsi="Times New Roman"/>
          <w:sz w:val="20"/>
          <w:szCs w:val="20"/>
          <w:color w:val="auto"/>
        </w:rPr>
        <w:t>Loan #6 was placed on non-accrual status as of May 9, 2025 and had an outstanding principal balance and carrying value of approximately $3.2 million as of December 31, 2025. A Default Notice was sent to the borrower on May 9, 2025 specifying certain events of default such as outstanding tax liens and recent non-payment of interest and principal. Management has begun the process to exercise its rights and remedies under the loan documents.</w:t>
      </w:r>
    </w:p>
    <w:p>
      <w:pPr>
        <w:spacing w:after="0" w:line="153" w:lineRule="exact"/>
        <w:rPr>
          <w:sz w:val="20"/>
          <w:szCs w:val="20"/>
          <w:color w:val="auto"/>
        </w:rPr>
      </w:pPr>
    </w:p>
    <w:p>
      <w:pPr>
        <w:jc w:val="both"/>
        <w:ind w:left="1" w:firstLine="355"/>
        <w:spacing w:after="0" w:line="246" w:lineRule="auto"/>
        <w:rPr>
          <w:sz w:val="20"/>
          <w:szCs w:val="20"/>
          <w:color w:val="auto"/>
        </w:rPr>
      </w:pPr>
      <w:r>
        <w:rPr>
          <w:rFonts w:ascii="Times New Roman" w:cs="Times New Roman" w:eastAsia="Times New Roman" w:hAnsi="Times New Roman"/>
          <w:sz w:val="20"/>
          <w:szCs w:val="20"/>
          <w:color w:val="auto"/>
        </w:rPr>
        <w:t>Loan #4 and Loan #34 were placed on non-accrual status as of December 1, 2025 following periods of non-collection of interest since August 1, 2025. The loan and security agreements governing these loans include cross-default and cross-collateral provisions. Loan #4 and Loan #34 had an aggregate outstanding principal balance and carrying value of approximately $ 16.6 million as of December 31, 2025. At the time these loans were placed on non-accrual status $0.9 million of interest receivable was reversed, and interest receivable as of December 31, 2025 is $0.</w:t>
      </w:r>
    </w:p>
    <w:p>
      <w:pPr>
        <w:sectPr>
          <w:pgSz w:w="12240" w:h="15840" w:orient="portrait"/>
          <w:cols w:equalWidth="0" w:num="1">
            <w:col w:w="10641"/>
          </w:cols>
          <w:pgMar w:left="799" w:top="1009"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641"/>
          </w:cols>
          <w:pgMar w:left="799" w:top="1009" w:right="800" w:bottom="266"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i w:val="1"/>
          <w:iCs w:val="1"/>
          <w:color w:val="auto"/>
        </w:rPr>
        <w:t>Credit Quality Indicators</w:t>
      </w:r>
    </w:p>
    <w:p>
      <w:pPr>
        <w:spacing w:after="0" w:line="19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96"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20"/>
          <w:szCs w:val="20"/>
          <w:b w:val="1"/>
          <w:bCs w:val="1"/>
          <w:u w:val="single" w:color="auto"/>
          <w:color w:val="auto"/>
        </w:rPr>
        <w:t>Rating</w:t>
      </w:r>
      <w:r>
        <w:rPr>
          <w:sz w:val="20"/>
          <w:szCs w:val="20"/>
          <w:color w:val="auto"/>
        </w:rPr>
        <w:tab/>
      </w:r>
      <w:r>
        <w:rPr>
          <w:rFonts w:ascii="Times New Roman" w:cs="Times New Roman" w:eastAsia="Times New Roman" w:hAnsi="Times New Roman"/>
          <w:sz w:val="20"/>
          <w:szCs w:val="20"/>
          <w:b w:val="1"/>
          <w:bCs w:val="1"/>
          <w:color w:val="auto"/>
        </w:rPr>
        <w:t>Definition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472440</wp:posOffset>
                </wp:positionH>
                <wp:positionV relativeFrom="paragraph">
                  <wp:posOffset>15875</wp:posOffset>
                </wp:positionV>
                <wp:extent cx="628396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3960"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pt,1.25pt" to="532pt,1.25pt" o:allowincell="f" strokecolor="#000000" strokeweight="0.4921pt"/>
            </w:pict>
          </mc:Fallback>
        </mc:AlternateContent>
      </w:r>
    </w:p>
    <w:p>
      <w:pPr>
        <w:ind w:left="640" w:hanging="378"/>
        <w:spacing w:after="0"/>
        <w:tabs>
          <w:tab w:leader="none" w:pos="6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1"/>
          <w:szCs w:val="1"/>
          <w:color w:val="auto"/>
        </w:rPr>
        <w:drawing>
          <wp:inline distT="0" distB="0" distL="0" distR="0">
            <wp:extent cx="67310" cy="1428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0">
                      <a:extLst>
                        <a:ext uri="{28A0092B-C50C-407E-A947-70E740481C1C}"/>
                      </a:extLst>
                    </a:blip>
                    <a:srcRect/>
                    <a:stretch>
                      <a:fillRect/>
                    </a:stretch>
                  </pic:blipFill>
                  <pic:spPr bwMode="auto">
                    <a:xfrm>
                      <a:off x="0" y="0"/>
                      <a:ext cx="67310" cy="142875"/>
                    </a:xfrm>
                    <a:prstGeom prst="rect">
                      <a:avLst/>
                    </a:prstGeom>
                    <a:noFill/>
                    <a:ln>
                      <a:noFill/>
                    </a:ln>
                  </pic:spPr>
                </pic:pic>
              </a:graphicData>
            </a:graphic>
          </wp:inline>
        </w:drawing>
      </w:r>
      <w:r>
        <w:rPr>
          <w:rFonts w:ascii="Times New Roman" w:cs="Times New Roman" w:eastAsia="Times New Roman" w:hAnsi="Times New Roman"/>
          <w:sz w:val="20"/>
          <w:szCs w:val="20"/>
          <w:color w:val="auto"/>
        </w:rPr>
        <w:t>Very low risk</w:t>
      </w:r>
    </w:p>
    <w:p>
      <w:pPr>
        <w:spacing w:after="0" w:line="21" w:lineRule="exact"/>
        <w:rPr>
          <w:rFonts w:ascii="Times New Roman" w:cs="Times New Roman" w:eastAsia="Times New Roman" w:hAnsi="Times New Roman"/>
          <w:sz w:val="20"/>
          <w:szCs w:val="20"/>
          <w:color w:val="auto"/>
        </w:rPr>
      </w:pPr>
    </w:p>
    <w:p>
      <w:pPr>
        <w:ind w:left="740" w:hanging="478"/>
        <w:spacing w:after="0"/>
        <w:tabs>
          <w:tab w:leader="none" w:pos="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 risk</w:t>
      </w:r>
    </w:p>
    <w:p>
      <w:pPr>
        <w:spacing w:after="0" w:line="11" w:lineRule="exact"/>
        <w:rPr>
          <w:rFonts w:ascii="Times New Roman" w:cs="Times New Roman" w:eastAsia="Times New Roman" w:hAnsi="Times New Roman"/>
          <w:sz w:val="20"/>
          <w:szCs w:val="20"/>
          <w:color w:val="auto"/>
        </w:rPr>
      </w:pPr>
    </w:p>
    <w:p>
      <w:pPr>
        <w:ind w:left="740" w:hanging="478"/>
        <w:spacing w:after="0"/>
        <w:tabs>
          <w:tab w:leader="none" w:pos="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Moderate/average risk</w:t>
      </w:r>
    </w:p>
    <w:p>
      <w:pPr>
        <w:spacing w:after="0" w:line="11" w:lineRule="exact"/>
        <w:rPr>
          <w:rFonts w:ascii="Times New Roman" w:cs="Times New Roman" w:eastAsia="Times New Roman" w:hAnsi="Times New Roman"/>
          <w:sz w:val="20"/>
          <w:szCs w:val="20"/>
          <w:color w:val="auto"/>
        </w:rPr>
      </w:pPr>
    </w:p>
    <w:p>
      <w:pPr>
        <w:ind w:left="740" w:hanging="478"/>
        <w:spacing w:after="0"/>
        <w:tabs>
          <w:tab w:leader="none" w:pos="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risk/potential for loss: a loan that has a risk of realizing a principal loss</w:t>
      </w:r>
    </w:p>
    <w:p>
      <w:pPr>
        <w:spacing w:after="0" w:line="11" w:lineRule="exact"/>
        <w:rPr>
          <w:rFonts w:ascii="Times New Roman" w:cs="Times New Roman" w:eastAsia="Times New Roman" w:hAnsi="Times New Roman"/>
          <w:sz w:val="20"/>
          <w:szCs w:val="20"/>
          <w:color w:val="auto"/>
        </w:rPr>
      </w:pPr>
    </w:p>
    <w:p>
      <w:pPr>
        <w:ind w:left="740" w:right="260" w:hanging="478"/>
        <w:spacing w:after="0" w:line="249" w:lineRule="auto"/>
        <w:tabs>
          <w:tab w:leader="none" w:pos="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Impaired/loss likely: a loan that has a high risk of realizing principal loss, has incurred principal loss or an impairment has been recorded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-925830</wp:posOffset>
                </wp:positionV>
                <wp:extent cx="405130" cy="15303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130" cy="153035"/>
                        </a:xfrm>
                        <a:prstGeom prst="rect">
                          <a:avLst/>
                        </a:prstGeom>
                        <a:solidFill>
                          <a:srgbClr val="E3E3E3"/>
                        </a:solidFill>
                      </wps:spPr>
                      <wps:bodyPr/>
                    </wps:wsp>
                  </a:graphicData>
                </a:graphic>
              </wp:anchor>
            </w:drawing>
          </mc:Choice>
          <mc:Fallback>
            <w:pict>
              <v:rect id="Shape 48" o:spid="_x0000_s1073" style="position:absolute;margin-left:0pt;margin-top:-72.8999pt;width:31.9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472440</wp:posOffset>
                </wp:positionH>
                <wp:positionV relativeFrom="paragraph">
                  <wp:posOffset>-925830</wp:posOffset>
                </wp:positionV>
                <wp:extent cx="6284595" cy="15303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4595" cy="153035"/>
                        </a:xfrm>
                        <a:prstGeom prst="rect">
                          <a:avLst/>
                        </a:prstGeom>
                        <a:solidFill>
                          <a:srgbClr val="E3E3E3"/>
                        </a:solidFill>
                      </wps:spPr>
                      <wps:bodyPr/>
                    </wps:wsp>
                  </a:graphicData>
                </a:graphic>
              </wp:anchor>
            </w:drawing>
          </mc:Choice>
          <mc:Fallback>
            <w:pict>
              <v:rect id="Shape 49" o:spid="_x0000_s1074" style="position:absolute;margin-left:37.2pt;margin-top:-72.8999pt;width:494.8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-619760</wp:posOffset>
                </wp:positionV>
                <wp:extent cx="6757035" cy="15303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035" cy="153035"/>
                        </a:xfrm>
                        <a:prstGeom prst="rect">
                          <a:avLst/>
                        </a:prstGeom>
                        <a:solidFill>
                          <a:srgbClr val="E3E3E3"/>
                        </a:solidFill>
                      </wps:spPr>
                      <wps:bodyPr/>
                    </wps:wsp>
                  </a:graphicData>
                </a:graphic>
              </wp:anchor>
            </w:drawing>
          </mc:Choice>
          <mc:Fallback>
            <w:pict>
              <v:rect id="Shape 50" o:spid="_x0000_s1075" style="position:absolute;margin-left:0pt;margin-top:-48.7999pt;width:532.0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-313055</wp:posOffset>
                </wp:positionV>
                <wp:extent cx="6757035" cy="29718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035" cy="297180"/>
                        </a:xfrm>
                        <a:prstGeom prst="rect">
                          <a:avLst/>
                        </a:prstGeom>
                        <a:solidFill>
                          <a:srgbClr val="E3E3E3"/>
                        </a:solidFill>
                      </wps:spPr>
                      <wps:bodyPr/>
                    </wps:wsp>
                  </a:graphicData>
                </a:graphic>
              </wp:anchor>
            </w:drawing>
          </mc:Choice>
          <mc:Fallback>
            <w:pict>
              <v:rect id="Shape 51" o:spid="_x0000_s1076" style="position:absolute;margin-left:0pt;margin-top:-24.6499pt;width:532.05pt;height:2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162"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risk ratings are primarily determined based on current and historical performance metrics specific to each portfolio company, as well as consideration of future economic conditions and each borrower’s estimated ability to meet debt service requirements. The risk ratings shown in the following table as of December 31, 2025 and 2024 consider borrower specific credit history and performance and reflect a quarterly re-evaluation of overall current macroeconomic conditions affecting the Company’s borrowers, specifically those designated as held for investment.</w:t>
      </w:r>
    </w:p>
    <w:p>
      <w:pPr>
        <w:spacing w:after="0" w:line="186"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As of December 31, 2025 and 2024, the carrying value, excluding the current expected credit loss reserve (the “CECL Reserve”), of the Company’s loans within each risk rating category by year of origination is as follows:</w:t>
      </w:r>
    </w:p>
    <w:p>
      <w:pPr>
        <w:spacing w:after="0" w:line="1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 xml:space="preserve">As of December 31, 2025 </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854710</wp:posOffset>
                </wp:positionH>
                <wp:positionV relativeFrom="paragraph">
                  <wp:posOffset>-17780</wp:posOffset>
                </wp:positionV>
                <wp:extent cx="58674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9382">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3pt,-1.3999pt" to="529.3pt,-1.3999pt" o:allowincell="f" strokecolor="#000000" strokeweight="0.7387pt"/>
            </w:pict>
          </mc:Fallback>
        </mc:AlternateContent>
      </w:r>
    </w:p>
    <w:tbl>
      <w:tblPr>
        <w:tblLayout w:type="fixed"/>
        <w:tblInd w:w="0" w:type="dxa"/>
        <w:tblCellMar>
          <w:top w:w="0" w:type="dxa"/>
          <w:left w:w="0" w:type="dxa"/>
          <w:bottom w:w="0" w:type="dxa"/>
          <w:right w:w="0" w:type="dxa"/>
        </w:tblCellMar>
      </w:tblPr>
      <w:tr>
        <w:trPr>
          <w:trHeight w:val="186"/>
        </w:trPr>
        <w:tc>
          <w:tcPr>
            <w:tcW w:w="134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Risk Rating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474"/>
              <w:spacing w:after="0" w:line="186" w:lineRule="exact"/>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4"/>
          </w:tcPr>
          <w:p>
            <w:pPr>
              <w:jc w:val="right"/>
              <w:ind w:right="291"/>
              <w:spacing w:after="0" w:line="186" w:lineRule="exact"/>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0"/>
              <w:spacing w:after="0" w:line="186" w:lineRule="exact"/>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80"/>
              <w:spacing w:after="0" w:line="186" w:lineRule="exact"/>
              <w:rPr>
                <w:sz w:val="20"/>
                <w:szCs w:val="20"/>
                <w:color w:val="auto"/>
              </w:rPr>
            </w:pPr>
            <w:r>
              <w:rPr>
                <w:rFonts w:ascii="Times New Roman" w:cs="Times New Roman" w:eastAsia="Times New Roman" w:hAnsi="Times New Roman"/>
                <w:sz w:val="17"/>
                <w:szCs w:val="17"/>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233"/>
              <w:spacing w:after="0" w:line="186" w:lineRule="exact"/>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ind w:left="360"/>
              <w:spacing w:after="0" w:line="186" w:lineRule="exact"/>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17,200,000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17,200,000</w:t>
            </w: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20" w:type="dxa"/>
            <w:vAlign w:val="bottom"/>
            <w:shd w:val="clear" w:color="auto" w:fill="E3E3E3"/>
          </w:tcPr>
          <w:p>
            <w:pP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56,825,751</w:t>
            </w: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8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26,726,735</w:t>
            </w: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116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43,676,371</w:t>
            </w: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54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43,542,664</w:t>
            </w: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8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3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170,771,521</w:t>
            </w:r>
          </w:p>
        </w:tc>
        <w:tc>
          <w:tcPr>
            <w:tcW w:w="2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104,831,283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52,297,509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1,363,484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42,709,369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201,201,645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20" w:type="dxa"/>
            <w:vAlign w:val="bottom"/>
            <w:shd w:val="clear" w:color="auto" w:fill="E3E3E3"/>
          </w:tcPr>
          <w:p>
            <w:pP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8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16,626,809</w:t>
            </w: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4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84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116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3,155,592</w:t>
            </w:r>
          </w:p>
        </w:tc>
        <w:tc>
          <w:tcPr>
            <w:tcW w:w="1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19,782,401</w:t>
            </w:r>
          </w:p>
        </w:tc>
        <w:tc>
          <w:tcPr>
            <w:tcW w:w="2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2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E3E3E3"/>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E3E3E3"/>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E3E3E3"/>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E3E3E3"/>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E3E3E3"/>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E3E3E3"/>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E3E3E3"/>
          </w:tcPr>
          <w:p>
            <w:pPr>
              <w:spacing w:after="0"/>
              <w:rPr>
                <w:sz w:val="17"/>
                <w:szCs w:val="17"/>
                <w:color w:val="auto"/>
              </w:rPr>
            </w:pPr>
          </w:p>
        </w:tc>
        <w:tc>
          <w:tcPr>
            <w:tcW w:w="180" w:type="dxa"/>
            <w:vAlign w:val="bottom"/>
            <w:shd w:val="clear" w:color="auto" w:fill="E3E3E3"/>
          </w:tcPr>
          <w:p>
            <w:pPr>
              <w:spacing w:after="0"/>
              <w:rPr>
                <w:sz w:val="17"/>
                <w:szCs w:val="17"/>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161,657,034</w:t>
            </w:r>
          </w:p>
        </w:tc>
        <w:tc>
          <w:tcPr>
            <w:tcW w:w="1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80" w:type="dxa"/>
            <w:vAlign w:val="bottom"/>
            <w:shd w:val="clear" w:color="auto" w:fill="E3E3E3"/>
          </w:tcPr>
          <w:p>
            <w:pPr>
              <w:jc w:val="right"/>
              <w:ind w:right="67"/>
              <w:spacing w:after="0"/>
              <w:rPr>
                <w:sz w:val="20"/>
                <w:szCs w:val="20"/>
                <w:color w:val="auto"/>
              </w:rPr>
            </w:pPr>
            <w:r>
              <w:rPr>
                <w:rFonts w:ascii="Times New Roman" w:cs="Times New Roman" w:eastAsia="Times New Roman" w:hAnsi="Times New Roman"/>
                <w:sz w:val="11"/>
                <w:szCs w:val="11"/>
                <w:color w:val="auto"/>
                <w:w w:val="71"/>
                <w:shd w:val="clear" w:color="auto" w:fill="E3E3E3"/>
              </w:rPr>
              <w:t>$</w:t>
            </w:r>
          </w:p>
        </w:tc>
        <w:tc>
          <w:tcPr>
            <w:tcW w:w="88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shd w:val="clear" w:color="auto" w:fill="E3E3E3"/>
              </w:rPr>
              <w:t>95,651,053</w:t>
            </w: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8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62,239,855</w:t>
            </w:r>
          </w:p>
        </w:tc>
        <w:tc>
          <w:tcPr>
            <w:tcW w:w="1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43,542,664</w:t>
            </w:r>
          </w:p>
        </w:tc>
        <w:tc>
          <w:tcPr>
            <w:tcW w:w="10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460" w:type="dxa"/>
            <w:vAlign w:val="bottom"/>
            <w:shd w:val="clear" w:color="auto" w:fill="E3E3E3"/>
          </w:tcPr>
          <w:p>
            <w:pPr>
              <w:jc w:val="right"/>
              <w:ind w:right="33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4"/>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45,864,961</w:t>
            </w:r>
          </w:p>
        </w:tc>
        <w:tc>
          <w:tcPr>
            <w:tcW w:w="120" w:type="dxa"/>
            <w:vAlign w:val="bottom"/>
            <w:shd w:val="clear" w:color="auto" w:fill="E3E3E3"/>
          </w:tcPr>
          <w:p>
            <w:pPr>
              <w:spacing w:after="0"/>
              <w:rPr>
                <w:sz w:val="17"/>
                <w:szCs w:val="17"/>
                <w:color w:val="auto"/>
              </w:rPr>
            </w:pPr>
          </w:p>
        </w:tc>
        <w:tc>
          <w:tcPr>
            <w:tcW w:w="20" w:type="dxa"/>
            <w:vAlign w:val="bottom"/>
            <w:shd w:val="clear" w:color="auto" w:fill="E3E3E3"/>
          </w:tcPr>
          <w:p>
            <w:pPr>
              <w:spacing w:after="0"/>
              <w:rPr>
                <w:sz w:val="17"/>
                <w:szCs w:val="17"/>
                <w:color w:val="auto"/>
              </w:rPr>
            </w:pPr>
          </w:p>
        </w:tc>
        <w:tc>
          <w:tcPr>
            <w:tcW w:w="240" w:type="dxa"/>
            <w:vAlign w:val="bottom"/>
            <w:shd w:val="clear" w:color="auto" w:fill="E3E3E3"/>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7"/>
                <w:szCs w:val="17"/>
                <w:color w:val="auto"/>
              </w:rPr>
              <w:t>408,955,567</w:t>
            </w:r>
          </w:p>
        </w:tc>
        <w:tc>
          <w:tcPr>
            <w:tcW w:w="20" w:type="dxa"/>
            <w:vAlign w:val="bottom"/>
            <w:shd w:val="clear" w:color="auto" w:fill="E3E3E3"/>
          </w:tcPr>
          <w:p>
            <w:pPr>
              <w:spacing w:after="0"/>
              <w:rPr>
                <w:sz w:val="17"/>
                <w:szCs w:val="17"/>
                <w:color w:val="auto"/>
              </w:rPr>
            </w:pPr>
          </w:p>
        </w:tc>
        <w:tc>
          <w:tcPr>
            <w:tcW w:w="4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 xml:space="preserve">As of December 31, 2024 </w:t>
            </w:r>
            <w:r>
              <w:rPr>
                <w:rFonts w:ascii="Times New Roman" w:cs="Times New Roman" w:eastAsia="Times New Roman" w:hAnsi="Times New Roman"/>
                <w:sz w:val="23"/>
                <w:szCs w:val="23"/>
                <w:b w:val="1"/>
                <w:bCs w:val="1"/>
                <w:color w:val="auto"/>
                <w:w w:val="99"/>
                <w:vertAlign w:val="superscript"/>
              </w:rPr>
              <w:t>(1)</w:t>
            </w: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713"/>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1,111,224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580,000</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41,045,793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42,737,017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520" w:type="dxa"/>
            <w:vAlign w:val="bottom"/>
            <w:gridSpan w:val="5"/>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63,823,279</w:t>
            </w: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520" w:type="dxa"/>
            <w:vAlign w:val="bottom"/>
            <w:shd w:val="clear" w:color="auto" w:fill="E3E3E3"/>
          </w:tcPr>
          <w:p>
            <w:pPr>
              <w:spacing w:after="0"/>
              <w:rPr>
                <w:sz w:val="18"/>
                <w:szCs w:val="18"/>
                <w:color w:val="auto"/>
              </w:rPr>
            </w:pPr>
          </w:p>
        </w:tc>
        <w:tc>
          <w:tcPr>
            <w:tcW w:w="820" w:type="dxa"/>
            <w:vAlign w:val="bottom"/>
            <w:gridSpan w:val="5"/>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96"/>
              </w:rPr>
              <w:t>64,896,824</w:t>
            </w:r>
          </w:p>
        </w:tc>
        <w:tc>
          <w:tcPr>
            <w:tcW w:w="10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98"/>
              </w:rPr>
              <w:t>90,874,764</w:t>
            </w: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96"/>
              </w:rPr>
              <w:t>24,239,380</w:t>
            </w: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243,834,247</w:t>
            </w:r>
          </w:p>
        </w:tc>
        <w:tc>
          <w:tcPr>
            <w:tcW w:w="2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34,653,247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2,466,705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27,110,506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13,687,904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77,918,362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shd w:val="clear" w:color="auto" w:fill="E3E3E3"/>
          </w:tcPr>
          <w:p>
            <w:pP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520" w:type="dxa"/>
            <w:vAlign w:val="bottom"/>
            <w:gridSpan w:val="5"/>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5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8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6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96"/>
              </w:rPr>
              <w:t>27,987,420</w:t>
            </w:r>
          </w:p>
        </w:tc>
        <w:tc>
          <w:tcPr>
            <w:tcW w:w="2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13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37,987,420</w:t>
            </w:r>
          </w:p>
        </w:tc>
        <w:tc>
          <w:tcPr>
            <w:tcW w:w="20" w:type="dxa"/>
            <w:vAlign w:val="bottom"/>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spacing w:after="0"/>
              <w:rPr>
                <w:sz w:val="18"/>
                <w:szCs w:val="18"/>
                <w:color w:val="auto"/>
              </w:rPr>
            </w:pPr>
          </w:p>
        </w:tc>
        <w:tc>
          <w:tcPr>
            <w:tcW w:w="160" w:type="dxa"/>
            <w:vAlign w:val="bottom"/>
            <w:tcBorders>
              <w:bottom w:val="single" w:sz="8" w:color="E3E3E3"/>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E3E3E3"/>
            </w:tcBorders>
          </w:tcPr>
          <w:p>
            <w:pPr>
              <w:spacing w:after="0"/>
              <w:rPr>
                <w:sz w:val="18"/>
                <w:szCs w:val="18"/>
                <w:color w:val="auto"/>
              </w:rPr>
            </w:pPr>
          </w:p>
        </w:tc>
        <w:tc>
          <w:tcPr>
            <w:tcW w:w="80" w:type="dxa"/>
            <w:vAlign w:val="bottom"/>
            <w:tcBorders>
              <w:bottom w:val="single" w:sz="8" w:color="E3E3E3"/>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3E3E3"/>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Borders>
              <w:bottom w:val="single" w:sz="8" w:color="E3E3E3"/>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Borders>
              <w:bottom w:val="single" w:sz="8" w:color="E3E3E3"/>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E3E3E3"/>
            </w:tcBorders>
          </w:tcPr>
          <w:p>
            <w:pPr>
              <w:spacing w:after="0"/>
              <w:rPr>
                <w:sz w:val="18"/>
                <w:szCs w:val="18"/>
                <w:color w:val="auto"/>
              </w:rPr>
            </w:pPr>
          </w:p>
        </w:tc>
        <w:tc>
          <w:tcPr>
            <w:tcW w:w="4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1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gridSpan w:val="5"/>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109,587,750</w:t>
            </w:r>
          </w:p>
        </w:tc>
        <w:tc>
          <w:tcPr>
            <w:tcW w:w="20" w:type="dxa"/>
            <w:vAlign w:val="bottom"/>
            <w:tcBorders>
              <w:bottom w:val="single" w:sz="8" w:color="auto"/>
            </w:tcBorders>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520" w:type="dxa"/>
            <w:vAlign w:val="bottom"/>
            <w:tcBorders>
              <w:bottom w:val="single" w:sz="8" w:color="auto"/>
            </w:tcBorders>
            <w:shd w:val="clear" w:color="auto" w:fill="E3E3E3"/>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5"/>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96"/>
              </w:rPr>
              <w:t>67,943,529</w:t>
            </w:r>
          </w:p>
        </w:tc>
        <w:tc>
          <w:tcPr>
            <w:tcW w:w="100" w:type="dxa"/>
            <w:vAlign w:val="bottom"/>
            <w:shd w:val="clear" w:color="auto" w:fill="E3E3E3"/>
          </w:tcPr>
          <w:p>
            <w:pPr>
              <w:spacing w:after="0"/>
              <w:rPr>
                <w:sz w:val="18"/>
                <w:szCs w:val="18"/>
                <w:color w:val="auto"/>
              </w:rPr>
            </w:pPr>
          </w:p>
        </w:tc>
        <w:tc>
          <w:tcPr>
            <w:tcW w:w="460" w:type="dxa"/>
            <w:vAlign w:val="bottom"/>
            <w:tcBorders>
              <w:bottom w:val="single" w:sz="8" w:color="auto"/>
            </w:tcBorders>
            <w:shd w:val="clear" w:color="auto" w:fill="E3E3E3"/>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4"/>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159,031,063</w:t>
            </w:r>
          </w:p>
        </w:tc>
        <w:tc>
          <w:tcPr>
            <w:tcW w:w="20" w:type="dxa"/>
            <w:vAlign w:val="bottom"/>
            <w:tcBorders>
              <w:bottom w:val="single" w:sz="8" w:color="auto"/>
            </w:tcBorders>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600" w:type="dxa"/>
            <w:vAlign w:val="bottom"/>
            <w:tcBorders>
              <w:bottom w:val="single" w:sz="8" w:color="auto"/>
            </w:tcBorders>
            <w:shd w:val="clear" w:color="auto" w:fill="E3E3E3"/>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E3E3E3"/>
          </w:tcPr>
          <w:p>
            <w:pPr>
              <w:spacing w:after="0"/>
              <w:rPr>
                <w:sz w:val="18"/>
                <w:szCs w:val="18"/>
                <w:color w:val="auto"/>
              </w:rPr>
            </w:pPr>
          </w:p>
        </w:tc>
        <w:tc>
          <w:tcPr>
            <w:tcW w:w="20" w:type="dxa"/>
            <w:vAlign w:val="bottom"/>
            <w:tcBorders>
              <w:bottom w:val="single" w:sz="8" w:color="auto"/>
            </w:tcBorders>
            <w:shd w:val="clear" w:color="auto" w:fill="E3E3E3"/>
          </w:tcPr>
          <w:p>
            <w:pPr>
              <w:spacing w:after="0"/>
              <w:rPr>
                <w:sz w:val="18"/>
                <w:szCs w:val="18"/>
                <w:color w:val="auto"/>
              </w:rPr>
            </w:pPr>
          </w:p>
        </w:tc>
        <w:tc>
          <w:tcPr>
            <w:tcW w:w="460" w:type="dxa"/>
            <w:vAlign w:val="bottom"/>
            <w:tcBorders>
              <w:bottom w:val="single" w:sz="8" w:color="auto"/>
            </w:tcBorders>
            <w:shd w:val="clear" w:color="auto" w:fill="E3E3E3"/>
          </w:tcPr>
          <w:p>
            <w:pPr>
              <w:spacing w:after="0"/>
              <w:rPr>
                <w:sz w:val="18"/>
                <w:szCs w:val="18"/>
                <w:color w:val="auto"/>
              </w:rPr>
            </w:pPr>
          </w:p>
        </w:tc>
        <w:tc>
          <w:tcPr>
            <w:tcW w:w="8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w w:val="96"/>
              </w:rPr>
              <w:t>65,914,704</w:t>
            </w:r>
          </w:p>
        </w:tc>
        <w:tc>
          <w:tcPr>
            <w:tcW w:w="20" w:type="dxa"/>
            <w:vAlign w:val="bottom"/>
            <w:tcBorders>
              <w:bottom w:val="single" w:sz="8" w:color="auto"/>
            </w:tcBorders>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240" w:type="dxa"/>
            <w:vAlign w:val="bottom"/>
            <w:tcBorders>
              <w:bottom w:val="single" w:sz="8" w:color="auto"/>
            </w:tcBorders>
            <w:shd w:val="clear" w:color="auto" w:fill="E3E3E3"/>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E3E3E3"/>
          </w:tcPr>
          <w:p>
            <w:pPr>
              <w:spacing w:after="0"/>
              <w:rPr>
                <w:sz w:val="18"/>
                <w:szCs w:val="18"/>
                <w:color w:val="auto"/>
              </w:rPr>
            </w:pPr>
          </w:p>
        </w:tc>
        <w:tc>
          <w:tcPr>
            <w:tcW w:w="20" w:type="dxa"/>
            <w:vAlign w:val="bottom"/>
            <w:tcBorders>
              <w:bottom w:val="single" w:sz="8" w:color="auto"/>
            </w:tcBorders>
            <w:shd w:val="clear" w:color="auto" w:fill="E3E3E3"/>
          </w:tcPr>
          <w:p>
            <w:pPr>
              <w:spacing w:after="0"/>
              <w:rPr>
                <w:sz w:val="18"/>
                <w:szCs w:val="18"/>
                <w:color w:val="auto"/>
              </w:rPr>
            </w:pPr>
          </w:p>
        </w:tc>
        <w:tc>
          <w:tcPr>
            <w:tcW w:w="240" w:type="dxa"/>
            <w:vAlign w:val="bottom"/>
            <w:tcBorders>
              <w:bottom w:val="single" w:sz="8" w:color="auto"/>
            </w:tcBorders>
            <w:shd w:val="clear" w:color="auto" w:fill="E3E3E3"/>
          </w:tcPr>
          <w:p>
            <w:pPr>
              <w:spacing w:after="0"/>
              <w:rPr>
                <w:sz w:val="18"/>
                <w:szCs w:val="18"/>
                <w:color w:val="auto"/>
              </w:rPr>
            </w:pPr>
          </w:p>
        </w:tc>
        <w:tc>
          <w:tcPr>
            <w:tcW w:w="13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20" w:type="dxa"/>
            <w:vAlign w:val="bottom"/>
            <w:tcBorders>
              <w:bottom w:val="single" w:sz="8" w:color="auto"/>
            </w:tcBorders>
            <w:shd w:val="clear" w:color="auto" w:fill="E3E3E3"/>
          </w:tcPr>
          <w:p>
            <w:pPr>
              <w:spacing w:after="0"/>
              <w:rPr>
                <w:sz w:val="18"/>
                <w:szCs w:val="18"/>
                <w:color w:val="auto"/>
              </w:rPr>
            </w:pPr>
          </w:p>
        </w:tc>
        <w:tc>
          <w:tcPr>
            <w:tcW w:w="4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Amounts are presented by loan origination year with subsequent advances shown in the original year of origination.</w:t>
      </w:r>
    </w:p>
    <w:p>
      <w:pPr>
        <w:spacing w:after="0" w:line="195"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Our loans are generally secured in whole or in part by real estate collateral which includes, but is not limited to; mortgages on industrial and retail real estate properties, leasehold mortgages, and other interests in real property. These forms of real estate collateral enable us to maintain our qualification as a REIT. Our loans are also generally secured by a combination of other forms of collateral, including licenses, accounts receivable, equipment, intellectual property, equity pledges of our borrowers, and personal or corporate guarantees which provide value incremental to our real estate collateral. While real estate collateral coverage is a significant indicator of the credit quality of our portfolio, the value of these other forms of collateral also contribute to the determination of the CECL reserve. Accordingly, changes in real estate collateral coverage alone may not present a direct correlation to the change in our CECL reserve.</w:t>
      </w:r>
    </w:p>
    <w:p>
      <w:pPr>
        <w:spacing w:after="0" w:line="162"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Our portfolio weighted average real estate collateral coverage for loans held for investment was 1.2x as of December 31, 2025 compared to 1.1x as of December 31, 2024. New loan originations during the year ended December 31, 2025 had weighted average real estate coverage of approximately 1.8x, which increased the total real estate collateral coverage of the portfolio. The below tables presents our real estate collateral coverage ratio, for loans held for investment, net as of December 31, 2025 and 2024:</w:t>
      </w:r>
    </w:p>
    <w:p>
      <w:pPr>
        <w:sectPr>
          <w:pgSz w:w="12240" w:h="15840" w:orient="portrait"/>
          <w:cols w:equalWidth="0" w:num="1">
            <w:col w:w="10640"/>
          </w:cols>
          <w:pgMar w:left="800" w:top="1011" w:right="800" w:bottom="266"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640"/>
          </w:cols>
          <w:pgMar w:left="800" w:top="1011" w:right="800" w:bottom="266" w:gutter="0" w:footer="0" w:header="0"/>
          <w:type w:val="continuous"/>
        </w:sectPr>
      </w:pPr>
    </w:p>
    <w:bookmarkStart w:id="119" w:name="page120"/>
    <w:bookmarkEnd w:id="119"/>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 xml:space="preserve">As of December 31, 2025 </w:t>
      </w:r>
      <w:r>
        <w:rPr>
          <w:rFonts w:ascii="Times New Roman" w:cs="Times New Roman" w:eastAsia="Times New Roman" w:hAnsi="Times New Roman"/>
          <w:sz w:val="25"/>
          <w:szCs w:val="25"/>
          <w:b w:val="1"/>
          <w:bCs w:val="1"/>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671703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7030" cy="4763"/>
                        </a:xfrm>
                        <a:prstGeom prst="line">
                          <a:avLst/>
                        </a:prstGeom>
                        <a:solidFill>
                          <a:srgbClr val="FFFFFF"/>
                        </a:solidFill>
                        <a:ln w="9382">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499pt" to="528.9pt,-1.4499pt" o:allowincell="f" strokecolor="#000000" strokeweight="0.7387pt"/>
            </w:pict>
          </mc:Fallback>
        </mc:AlternateContent>
      </w:r>
    </w:p>
    <w:tbl>
      <w:tblPr>
        <w:tblLayout w:type="fixed"/>
        <w:tblInd w:w="1" w:type="dxa"/>
        <w:tblCellMar>
          <w:top w:w="0" w:type="dxa"/>
          <w:left w:w="0" w:type="dxa"/>
          <w:bottom w:w="0" w:type="dxa"/>
          <w:right w:w="0" w:type="dxa"/>
        </w:tblCellMar>
      </w:tblPr>
      <w:tr>
        <w:trPr>
          <w:trHeight w:val="220"/>
        </w:trPr>
        <w:tc>
          <w:tcPr>
            <w:tcW w:w="1360" w:type="dxa"/>
            <w:vAlign w:val="bottom"/>
            <w:tcBorders>
              <w:bottom w:val="single" w:sz="8" w:color="E3E3E3"/>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1"/>
              <w:spacing w:after="0" w:line="220" w:lineRule="exact"/>
              <w:rPr>
                <w:sz w:val="20"/>
                <w:szCs w:val="20"/>
                <w:color w:val="auto"/>
              </w:rPr>
            </w:pPr>
            <w:r>
              <w:rPr>
                <w:rFonts w:ascii="Times New Roman" w:cs="Times New Roman" w:eastAsia="Times New Roman" w:hAnsi="Times New Roman"/>
                <w:sz w:val="20"/>
                <w:szCs w:val="20"/>
                <w:b w:val="1"/>
                <w:bCs w:val="1"/>
                <w:color w:val="auto"/>
              </w:rPr>
              <w:t>&lt; 1.0x</w:t>
            </w:r>
          </w:p>
        </w:tc>
        <w:tc>
          <w:tcPr>
            <w:tcW w:w="120" w:type="dxa"/>
            <w:vAlign w:val="bottom"/>
            <w:tcBorders>
              <w:bottom w:val="single" w:sz="8" w:color="E3E3E3"/>
            </w:tcBorders>
          </w:tcPr>
          <w:p>
            <w:pPr>
              <w:spacing w:after="0"/>
              <w:rPr>
                <w:sz w:val="19"/>
                <w:szCs w:val="19"/>
                <w:color w:val="auto"/>
              </w:rPr>
            </w:pPr>
          </w:p>
        </w:tc>
        <w:tc>
          <w:tcPr>
            <w:tcW w:w="112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1.0x – 1.25x</w:t>
            </w:r>
          </w:p>
        </w:tc>
        <w:tc>
          <w:tcPr>
            <w:tcW w:w="100" w:type="dxa"/>
            <w:vAlign w:val="bottom"/>
            <w:tcBorders>
              <w:bottom w:val="single" w:sz="8" w:color="E3E3E3"/>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
              <w:spacing w:after="0" w:line="220" w:lineRule="exact"/>
              <w:rPr>
                <w:sz w:val="20"/>
                <w:szCs w:val="20"/>
                <w:color w:val="auto"/>
              </w:rPr>
            </w:pPr>
            <w:r>
              <w:rPr>
                <w:rFonts w:ascii="Times New Roman" w:cs="Times New Roman" w:eastAsia="Times New Roman" w:hAnsi="Times New Roman"/>
                <w:sz w:val="20"/>
                <w:szCs w:val="20"/>
                <w:b w:val="1"/>
                <w:bCs w:val="1"/>
                <w:color w:val="auto"/>
                <w:w w:val="99"/>
              </w:rPr>
              <w:t>1.25x – 1.5x</w:t>
            </w:r>
          </w:p>
        </w:tc>
        <w:tc>
          <w:tcPr>
            <w:tcW w:w="10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260" w:type="dxa"/>
            <w:vAlign w:val="bottom"/>
            <w:tcBorders>
              <w:bottom w:val="single" w:sz="8" w:color="auto"/>
            </w:tcBorders>
            <w:gridSpan w:val="2"/>
          </w:tcPr>
          <w:p>
            <w:pPr>
              <w:jc w:val="right"/>
              <w:ind w:right="1"/>
              <w:spacing w:after="0" w:line="220" w:lineRule="exact"/>
              <w:rPr>
                <w:sz w:val="20"/>
                <w:szCs w:val="20"/>
                <w:color w:val="auto"/>
              </w:rPr>
            </w:pPr>
            <w:r>
              <w:rPr>
                <w:rFonts w:ascii="Times New Roman" w:cs="Times New Roman" w:eastAsia="Times New Roman" w:hAnsi="Times New Roman"/>
                <w:sz w:val="20"/>
                <w:szCs w:val="20"/>
                <w:b w:val="1"/>
                <w:bCs w:val="1"/>
                <w:color w:val="auto"/>
              </w:rPr>
              <w:t>1.50x – 1.75x</w:t>
            </w: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
              <w:spacing w:after="0" w:line="220" w:lineRule="exact"/>
              <w:rPr>
                <w:sz w:val="20"/>
                <w:szCs w:val="20"/>
                <w:color w:val="auto"/>
              </w:rPr>
            </w:pPr>
            <w:r>
              <w:rPr>
                <w:rFonts w:ascii="Times New Roman" w:cs="Times New Roman" w:eastAsia="Times New Roman" w:hAnsi="Times New Roman"/>
                <w:sz w:val="20"/>
                <w:szCs w:val="20"/>
                <w:b w:val="1"/>
                <w:bCs w:val="1"/>
                <w:color w:val="auto"/>
                <w:w w:val="97"/>
              </w:rPr>
              <w:t>1.75x – 2.0x</w:t>
            </w:r>
          </w:p>
        </w:tc>
        <w:tc>
          <w:tcPr>
            <w:tcW w:w="100" w:type="dxa"/>
            <w:vAlign w:val="bottom"/>
            <w:tcBorders>
              <w:bottom w:val="single" w:sz="8" w:color="E3E3E3"/>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21"/>
              <w:spacing w:after="0" w:line="220" w:lineRule="exact"/>
              <w:rPr>
                <w:sz w:val="20"/>
                <w:szCs w:val="20"/>
                <w:color w:val="auto"/>
              </w:rPr>
            </w:pPr>
            <w:r>
              <w:rPr>
                <w:rFonts w:ascii="Times New Roman" w:cs="Times New Roman" w:eastAsia="Times New Roman" w:hAnsi="Times New Roman"/>
                <w:sz w:val="20"/>
                <w:szCs w:val="20"/>
                <w:b w:val="1"/>
                <w:bCs w:val="1"/>
                <w:color w:val="auto"/>
              </w:rPr>
              <w:t>&gt; 2.0x</w:t>
            </w:r>
          </w:p>
        </w:tc>
        <w:tc>
          <w:tcPr>
            <w:tcW w:w="100" w:type="dxa"/>
            <w:vAlign w:val="bottom"/>
            <w:tcBorders>
              <w:bottom w:val="single" w:sz="8" w:color="E3E3E3"/>
            </w:tcBorders>
          </w:tcPr>
          <w:p>
            <w:pPr>
              <w:spacing w:after="0"/>
              <w:rPr>
                <w:sz w:val="19"/>
                <w:szCs w:val="19"/>
                <w:color w:val="auto"/>
              </w:rPr>
            </w:pPr>
          </w:p>
        </w:tc>
        <w:tc>
          <w:tcPr>
            <w:tcW w:w="1140" w:type="dxa"/>
            <w:vAlign w:val="bottom"/>
            <w:tcBorders>
              <w:bottom w:val="single" w:sz="8" w:color="auto"/>
            </w:tcBorders>
          </w:tcPr>
          <w:p>
            <w:pPr>
              <w:jc w:val="right"/>
              <w:ind w:right="261"/>
              <w:spacing w:after="0" w:line="220"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Borders>
              <w:bottom w:val="single" w:sz="8" w:color="E3E3E3"/>
            </w:tcBorders>
          </w:tcPr>
          <w:p>
            <w:pPr>
              <w:spacing w:after="0"/>
              <w:rPr>
                <w:sz w:val="19"/>
                <w:szCs w:val="19"/>
                <w:color w:val="auto"/>
              </w:rPr>
            </w:pPr>
          </w:p>
        </w:tc>
      </w:tr>
      <w:tr>
        <w:trPr>
          <w:trHeight w:val="236"/>
        </w:trPr>
        <w:tc>
          <w:tcPr>
            <w:tcW w:w="1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Fixed-rate</w:t>
            </w:r>
          </w:p>
        </w:tc>
        <w:tc>
          <w:tcPr>
            <w:tcW w:w="260" w:type="dxa"/>
            <w:vAlign w:val="bottom"/>
            <w:shd w:val="clear" w:color="auto" w:fill="E3E3E3"/>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79,144,978</w:t>
            </w:r>
          </w:p>
        </w:tc>
        <w:tc>
          <w:tcPr>
            <w:tcW w:w="12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24,714,544</w:t>
            </w: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41,525,802</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8,491,943</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0"/>
                <w:szCs w:val="20"/>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E3E3E3"/>
              </w:rPr>
              <w:t>$ 153,877,267</w:t>
            </w:r>
          </w:p>
        </w:tc>
        <w:tc>
          <w:tcPr>
            <w:tcW w:w="60" w:type="dxa"/>
            <w:vAlign w:val="bottom"/>
            <w:shd w:val="clear" w:color="auto" w:fill="E3E3E3"/>
          </w:tcPr>
          <w:p>
            <w:pPr>
              <w:spacing w:after="0"/>
              <w:rPr>
                <w:sz w:val="20"/>
                <w:szCs w:val="20"/>
                <w:color w:val="auto"/>
              </w:rPr>
            </w:pPr>
          </w:p>
        </w:tc>
      </w:tr>
      <w:tr>
        <w:trPr>
          <w:trHeight w:val="241"/>
        </w:trPr>
        <w:tc>
          <w:tcPr>
            <w:tcW w:w="136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auto"/>
              </w:rPr>
              <w:t>Floating-rate</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118,379,752</w:t>
            </w:r>
          </w:p>
        </w:tc>
        <w:tc>
          <w:tcPr>
            <w:tcW w:w="120" w:type="dxa"/>
            <w:vAlign w:val="bottom"/>
            <w:tcBorders>
              <w:bottom w:val="single" w:sz="8" w:color="E3E3E3"/>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6,547,194</w:t>
            </w:r>
          </w:p>
        </w:tc>
        <w:tc>
          <w:tcPr>
            <w:tcW w:w="10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35,683,291</w:t>
            </w: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27,087,360</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67,380,703</w:t>
            </w:r>
          </w:p>
        </w:tc>
        <w:tc>
          <w:tcPr>
            <w:tcW w:w="100" w:type="dxa"/>
            <w:vAlign w:val="bottom"/>
            <w:tcBorders>
              <w:bottom w:val="single" w:sz="8" w:color="E3E3E3"/>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255,078,300</w:t>
            </w:r>
          </w:p>
        </w:tc>
        <w:tc>
          <w:tcPr>
            <w:tcW w:w="60" w:type="dxa"/>
            <w:vAlign w:val="bottom"/>
            <w:tcBorders>
              <w:bottom w:val="single" w:sz="8" w:color="E3E3E3"/>
            </w:tcBorders>
          </w:tcPr>
          <w:p>
            <w:pPr>
              <w:spacing w:after="0"/>
              <w:rPr>
                <w:sz w:val="20"/>
                <w:szCs w:val="20"/>
                <w:color w:val="auto"/>
              </w:rPr>
            </w:pPr>
          </w:p>
        </w:tc>
      </w:tr>
      <w:tr>
        <w:trPr>
          <w:trHeight w:val="236"/>
        </w:trPr>
        <w:tc>
          <w:tcPr>
            <w:tcW w:w="1360" w:type="dxa"/>
            <w:vAlign w:val="bottom"/>
            <w:shd w:val="clear" w:color="auto" w:fill="E3E3E3"/>
          </w:tcPr>
          <w:p>
            <w:pPr>
              <w:spacing w:after="0"/>
              <w:rPr>
                <w:sz w:val="20"/>
                <w:szCs w:val="20"/>
                <w:color w:val="auto"/>
              </w:rPr>
            </w:pPr>
          </w:p>
        </w:tc>
        <w:tc>
          <w:tcPr>
            <w:tcW w:w="260" w:type="dxa"/>
            <w:vAlign w:val="bottom"/>
            <w:tcBorders>
              <w:bottom w:val="single" w:sz="8" w:color="auto"/>
            </w:tcBorders>
            <w:shd w:val="clear" w:color="auto" w:fill="E3E3E3"/>
          </w:tcPr>
          <w:p>
            <w:pPr>
              <w:jc w:val="right"/>
              <w:ind w:right="61"/>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197,524,730</w:t>
            </w:r>
          </w:p>
        </w:tc>
        <w:tc>
          <w:tcPr>
            <w:tcW w:w="120" w:type="dxa"/>
            <w:vAlign w:val="bottom"/>
            <w:shd w:val="clear" w:color="auto" w:fill="E3E3E3"/>
          </w:tcPr>
          <w:p>
            <w:pPr>
              <w:spacing w:after="0"/>
              <w:rPr>
                <w:sz w:val="20"/>
                <w:szCs w:val="20"/>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31,261,738</w:t>
            </w:r>
          </w:p>
        </w:tc>
        <w:tc>
          <w:tcPr>
            <w:tcW w:w="100" w:type="dxa"/>
            <w:vAlign w:val="bottom"/>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77,209,093</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jc w:val="right"/>
              <w:ind w:right="52"/>
              <w:spacing w:after="0"/>
              <w:rPr>
                <w:sz w:val="20"/>
                <w:szCs w:val="20"/>
                <w:color w:val="auto"/>
              </w:rPr>
            </w:pPr>
            <w:r>
              <w:rPr>
                <w:rFonts w:ascii="Times New Roman" w:cs="Times New Roman" w:eastAsia="Times New Roman" w:hAnsi="Times New Roman"/>
                <w:sz w:val="16"/>
                <w:szCs w:val="16"/>
                <w:color w:val="auto"/>
                <w:w w:val="74"/>
                <w:shd w:val="clear" w:color="auto" w:fill="E3E3E3"/>
              </w:rPr>
              <w:t>$</w:t>
            </w: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35,579,303</w:t>
            </w:r>
          </w:p>
        </w:tc>
        <w:tc>
          <w:tcPr>
            <w:tcW w:w="100" w:type="dxa"/>
            <w:vAlign w:val="bottom"/>
            <w:shd w:val="clear" w:color="auto" w:fill="E3E3E3"/>
          </w:tcPr>
          <w:p>
            <w:pPr>
              <w:spacing w:after="0"/>
              <w:rPr>
                <w:sz w:val="20"/>
                <w:szCs w:val="20"/>
                <w:color w:val="auto"/>
              </w:rPr>
            </w:pPr>
          </w:p>
        </w:tc>
        <w:tc>
          <w:tcPr>
            <w:tcW w:w="1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0"/>
                <w:szCs w:val="20"/>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67,380,703</w:t>
            </w:r>
          </w:p>
        </w:tc>
        <w:tc>
          <w:tcPr>
            <w:tcW w:w="100" w:type="dxa"/>
            <w:vAlign w:val="bottom"/>
            <w:shd w:val="clear" w:color="auto" w:fill="E3E3E3"/>
          </w:tcPr>
          <w:p>
            <w:pPr>
              <w:spacing w:after="0"/>
              <w:rPr>
                <w:sz w:val="20"/>
                <w:szCs w:val="20"/>
                <w:color w:val="auto"/>
              </w:rPr>
            </w:pPr>
          </w:p>
        </w:tc>
        <w:tc>
          <w:tcPr>
            <w:tcW w:w="1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E3E3E3"/>
              </w:rPr>
              <w:t>$ 408,955,567</w:t>
            </w:r>
          </w:p>
        </w:tc>
        <w:tc>
          <w:tcPr>
            <w:tcW w:w="60" w:type="dxa"/>
            <w:vAlign w:val="bottom"/>
            <w:shd w:val="clear" w:color="auto" w:fill="E3E3E3"/>
          </w:tcPr>
          <w:p>
            <w:pPr>
              <w:spacing w:after="0"/>
              <w:rPr>
                <w:sz w:val="20"/>
                <w:szCs w:val="20"/>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w w:val="97"/>
              </w:rPr>
              <w:t xml:space="preserve">As of December 31, 2024 </w:t>
            </w:r>
            <w:r>
              <w:rPr>
                <w:rFonts w:ascii="Times New Roman" w:cs="Times New Roman" w:eastAsia="Times New Roman" w:hAnsi="Times New Roman"/>
                <w:sz w:val="25"/>
                <w:szCs w:val="25"/>
                <w:b w:val="1"/>
                <w:bCs w:val="1"/>
                <w:color w:val="auto"/>
                <w:w w:val="97"/>
                <w:vertAlign w:val="superscript"/>
              </w:rPr>
              <w:t>(1)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1360" w:type="dxa"/>
            <w:vAlign w:val="bottom"/>
            <w:tcBorders>
              <w:bottom w:val="single" w:sz="8" w:color="E3E3E3"/>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&lt; 1.0x</w:t>
            </w:r>
          </w:p>
        </w:tc>
        <w:tc>
          <w:tcPr>
            <w:tcW w:w="120" w:type="dxa"/>
            <w:vAlign w:val="bottom"/>
            <w:tcBorders>
              <w:bottom w:val="single" w:sz="8" w:color="E3E3E3"/>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1.0x – 1.25x</w:t>
            </w:r>
          </w:p>
        </w:tc>
        <w:tc>
          <w:tcPr>
            <w:tcW w:w="10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9"/>
              </w:rPr>
              <w:t>1.25x – 1.5x</w:t>
            </w: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1.50x – 1.75x</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7"/>
              </w:rPr>
              <w:t>1.75x – 2.0x</w:t>
            </w:r>
          </w:p>
        </w:tc>
        <w:tc>
          <w:tcPr>
            <w:tcW w:w="100" w:type="dxa"/>
            <w:vAlign w:val="bottom"/>
            <w:tcBorders>
              <w:bottom w:val="single" w:sz="8" w:color="E3E3E3"/>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&gt; 2.0x</w:t>
            </w:r>
          </w:p>
        </w:tc>
        <w:tc>
          <w:tcPr>
            <w:tcW w:w="100" w:type="dxa"/>
            <w:vAlign w:val="bottom"/>
            <w:tcBorders>
              <w:bottom w:val="single" w:sz="8" w:color="E3E3E3"/>
            </w:tcBorders>
          </w:tcPr>
          <w:p>
            <w:pPr>
              <w:spacing w:after="0"/>
              <w:rPr>
                <w:sz w:val="20"/>
                <w:szCs w:val="20"/>
                <w:color w:val="auto"/>
              </w:rPr>
            </w:pPr>
          </w:p>
        </w:tc>
        <w:tc>
          <w:tcPr>
            <w:tcW w:w="11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Borders>
              <w:bottom w:val="single" w:sz="8" w:color="E3E3E3"/>
            </w:tcBorders>
          </w:tcPr>
          <w:p>
            <w:pPr>
              <w:spacing w:after="0"/>
              <w:rPr>
                <w:sz w:val="20"/>
                <w:szCs w:val="20"/>
                <w:color w:val="auto"/>
              </w:rPr>
            </w:pPr>
          </w:p>
        </w:tc>
      </w:tr>
      <w:tr>
        <w:trPr>
          <w:trHeight w:val="236"/>
        </w:trPr>
        <w:tc>
          <w:tcPr>
            <w:tcW w:w="1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Fixed-rate</w:t>
            </w:r>
          </w:p>
        </w:tc>
        <w:tc>
          <w:tcPr>
            <w:tcW w:w="260" w:type="dxa"/>
            <w:vAlign w:val="bottom"/>
            <w:shd w:val="clear" w:color="auto" w:fill="E3E3E3"/>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45,029,665</w:t>
            </w:r>
          </w:p>
        </w:tc>
        <w:tc>
          <w:tcPr>
            <w:tcW w:w="12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48,900,184</w:t>
            </w: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43,750,558</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9,603,167</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1,943,216</w:t>
            </w:r>
          </w:p>
        </w:tc>
        <w:tc>
          <w:tcPr>
            <w:tcW w:w="100" w:type="dxa"/>
            <w:vAlign w:val="bottom"/>
            <w:shd w:val="clear" w:color="auto" w:fill="E3E3E3"/>
          </w:tcPr>
          <w:p>
            <w:pPr>
              <w:spacing w:after="0"/>
              <w:rPr>
                <w:sz w:val="20"/>
                <w:szCs w:val="20"/>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E3E3E3"/>
              </w:rPr>
              <w:t>$ 149,226,790</w:t>
            </w:r>
          </w:p>
        </w:tc>
        <w:tc>
          <w:tcPr>
            <w:tcW w:w="60" w:type="dxa"/>
            <w:vAlign w:val="bottom"/>
            <w:shd w:val="clear" w:color="auto" w:fill="E3E3E3"/>
          </w:tcPr>
          <w:p>
            <w:pPr>
              <w:spacing w:after="0"/>
              <w:rPr>
                <w:sz w:val="20"/>
                <w:szCs w:val="20"/>
                <w:color w:val="auto"/>
              </w:rPr>
            </w:pPr>
          </w:p>
        </w:tc>
      </w:tr>
      <w:tr>
        <w:trPr>
          <w:trHeight w:val="241"/>
        </w:trPr>
        <w:tc>
          <w:tcPr>
            <w:tcW w:w="136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auto"/>
              </w:rPr>
              <w:t>Floating-rate</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155,364,941</w:t>
            </w:r>
          </w:p>
        </w:tc>
        <w:tc>
          <w:tcPr>
            <w:tcW w:w="120" w:type="dxa"/>
            <w:vAlign w:val="bottom"/>
            <w:tcBorders>
              <w:bottom w:val="single" w:sz="8" w:color="E3E3E3"/>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16,402,488</w:t>
            </w:r>
          </w:p>
        </w:tc>
        <w:tc>
          <w:tcPr>
            <w:tcW w:w="10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6,549,135</w:t>
            </w: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24,885,063</w:t>
            </w:r>
          </w:p>
        </w:tc>
        <w:tc>
          <w:tcPr>
            <w:tcW w:w="100" w:type="dxa"/>
            <w:vAlign w:val="bottom"/>
            <w:tcBorders>
              <w:bottom w:val="single" w:sz="8" w:color="E3E3E3"/>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50,048,629</w:t>
            </w:r>
          </w:p>
        </w:tc>
        <w:tc>
          <w:tcPr>
            <w:tcW w:w="100" w:type="dxa"/>
            <w:vAlign w:val="bottom"/>
            <w:tcBorders>
              <w:bottom w:val="single" w:sz="8" w:color="E3E3E3"/>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253,250,256</w:t>
            </w:r>
          </w:p>
        </w:tc>
        <w:tc>
          <w:tcPr>
            <w:tcW w:w="60" w:type="dxa"/>
            <w:vAlign w:val="bottom"/>
            <w:tcBorders>
              <w:bottom w:val="single" w:sz="8" w:color="E3E3E3"/>
            </w:tcBorders>
          </w:tcPr>
          <w:p>
            <w:pPr>
              <w:spacing w:after="0"/>
              <w:rPr>
                <w:sz w:val="20"/>
                <w:szCs w:val="20"/>
                <w:color w:val="auto"/>
              </w:rPr>
            </w:pPr>
          </w:p>
        </w:tc>
      </w:tr>
      <w:tr>
        <w:trPr>
          <w:trHeight w:val="236"/>
        </w:trPr>
        <w:tc>
          <w:tcPr>
            <w:tcW w:w="1360" w:type="dxa"/>
            <w:vAlign w:val="bottom"/>
            <w:shd w:val="clear" w:color="auto" w:fill="E3E3E3"/>
          </w:tcPr>
          <w:p>
            <w:pPr>
              <w:spacing w:after="0"/>
              <w:rPr>
                <w:sz w:val="20"/>
                <w:szCs w:val="20"/>
                <w:color w:val="auto"/>
              </w:rPr>
            </w:pPr>
          </w:p>
        </w:tc>
        <w:tc>
          <w:tcPr>
            <w:tcW w:w="260" w:type="dxa"/>
            <w:vAlign w:val="bottom"/>
            <w:tcBorders>
              <w:bottom w:val="single" w:sz="8" w:color="auto"/>
            </w:tcBorders>
            <w:shd w:val="clear" w:color="auto" w:fill="E3E3E3"/>
          </w:tcPr>
          <w:p>
            <w:pPr>
              <w:jc w:val="right"/>
              <w:ind w:right="61"/>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200,394,606</w:t>
            </w:r>
          </w:p>
        </w:tc>
        <w:tc>
          <w:tcPr>
            <w:tcW w:w="120" w:type="dxa"/>
            <w:vAlign w:val="bottom"/>
            <w:shd w:val="clear" w:color="auto" w:fill="E3E3E3"/>
          </w:tcPr>
          <w:p>
            <w:pPr>
              <w:spacing w:after="0"/>
              <w:rPr>
                <w:sz w:val="20"/>
                <w:szCs w:val="20"/>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65,302,672</w:t>
            </w:r>
          </w:p>
        </w:tc>
        <w:tc>
          <w:tcPr>
            <w:tcW w:w="100" w:type="dxa"/>
            <w:vAlign w:val="bottom"/>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50,299,693</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jc w:val="right"/>
              <w:ind w:right="5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9,603,167</w:t>
            </w:r>
          </w:p>
        </w:tc>
        <w:tc>
          <w:tcPr>
            <w:tcW w:w="100" w:type="dxa"/>
            <w:vAlign w:val="bottom"/>
            <w:shd w:val="clear" w:color="auto" w:fill="E3E3E3"/>
          </w:tcPr>
          <w:p>
            <w:pPr>
              <w:spacing w:after="0"/>
              <w:rPr>
                <w:sz w:val="20"/>
                <w:szCs w:val="20"/>
                <w:color w:val="auto"/>
              </w:rPr>
            </w:pPr>
          </w:p>
        </w:tc>
        <w:tc>
          <w:tcPr>
            <w:tcW w:w="1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24,885,063</w:t>
            </w:r>
          </w:p>
        </w:tc>
        <w:tc>
          <w:tcPr>
            <w:tcW w:w="100" w:type="dxa"/>
            <w:vAlign w:val="bottom"/>
            <w:shd w:val="clear" w:color="auto" w:fill="E3E3E3"/>
          </w:tcPr>
          <w:p>
            <w:pPr>
              <w:spacing w:after="0"/>
              <w:rPr>
                <w:sz w:val="20"/>
                <w:szCs w:val="20"/>
                <w:color w:val="auto"/>
              </w:rPr>
            </w:pPr>
          </w:p>
        </w:tc>
        <w:tc>
          <w:tcPr>
            <w:tcW w:w="1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51,991,845</w:t>
            </w:r>
          </w:p>
        </w:tc>
        <w:tc>
          <w:tcPr>
            <w:tcW w:w="100" w:type="dxa"/>
            <w:vAlign w:val="bottom"/>
            <w:shd w:val="clear" w:color="auto" w:fill="E3E3E3"/>
          </w:tcPr>
          <w:p>
            <w:pPr>
              <w:spacing w:after="0"/>
              <w:rPr>
                <w:sz w:val="20"/>
                <w:szCs w:val="20"/>
                <w:color w:val="auto"/>
              </w:rPr>
            </w:pPr>
          </w:p>
        </w:tc>
        <w:tc>
          <w:tcPr>
            <w:tcW w:w="11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5"/>
                <w:shd w:val="clear" w:color="auto" w:fill="E3E3E3"/>
              </w:rPr>
              <w:t>$ 402,477,046</w:t>
            </w:r>
          </w:p>
        </w:tc>
        <w:tc>
          <w:tcPr>
            <w:tcW w:w="60" w:type="dxa"/>
            <w:vAlign w:val="bottom"/>
            <w:shd w:val="clear" w:color="auto" w:fill="E3E3E3"/>
          </w:tcPr>
          <w:p>
            <w:pPr>
              <w:spacing w:after="0"/>
              <w:rPr>
                <w:sz w:val="20"/>
                <w:szCs w:val="20"/>
                <w:color w:val="auto"/>
              </w:rPr>
            </w:pPr>
          </w:p>
        </w:tc>
      </w:tr>
      <w:tr>
        <w:trPr>
          <w:trHeight w:val="20"/>
        </w:trPr>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1" w:hanging="361"/>
        <w:spacing w:after="0" w:line="272" w:lineRule="auto"/>
        <w:tabs>
          <w:tab w:leader="none" w:pos="36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 estate collateral coverage is calculated based upon the most recent third-party appraised values. The Company generally obtains new appraisals of all material real estate collateral at least once annually.</w:t>
      </w:r>
    </w:p>
    <w:p>
      <w:pPr>
        <w:spacing w:after="0" w:line="131" w:lineRule="exact"/>
        <w:rPr>
          <w:sz w:val="20"/>
          <w:szCs w:val="20"/>
          <w:color w:val="auto"/>
        </w:rPr>
      </w:pPr>
    </w:p>
    <w:p>
      <w:pPr>
        <w:ind w:left="1" w:firstLine="355"/>
        <w:spacing w:after="0" w:line="273" w:lineRule="auto"/>
        <w:rPr>
          <w:sz w:val="20"/>
          <w:szCs w:val="20"/>
          <w:color w:val="auto"/>
        </w:rPr>
      </w:pPr>
      <w:r>
        <w:rPr>
          <w:rFonts w:ascii="Times New Roman" w:cs="Times New Roman" w:eastAsia="Times New Roman" w:hAnsi="Times New Roman"/>
          <w:sz w:val="20"/>
          <w:szCs w:val="20"/>
          <w:color w:val="auto"/>
        </w:rPr>
        <w:t>Geographic concentration of our loans held for investment is also a significant credit quality indicator. As of December 31, 2025 and 2024, our borrowers have operations in the jurisdictions in the table below:</w:t>
      </w:r>
    </w:p>
    <w:p>
      <w:pPr>
        <w:spacing w:after="0" w:line="189" w:lineRule="exact"/>
        <w:rPr>
          <w:sz w:val="20"/>
          <w:szCs w:val="20"/>
          <w:color w:val="auto"/>
        </w:rPr>
      </w:pPr>
    </w:p>
    <w:tbl>
      <w:tblPr>
        <w:tblLayout w:type="fixed"/>
        <w:tblInd w:w="1" w:type="dxa"/>
        <w:tblCellMar>
          <w:top w:w="0" w:type="dxa"/>
          <w:left w:w="0" w:type="dxa"/>
          <w:bottom w:w="0" w:type="dxa"/>
          <w:right w:w="0" w:type="dxa"/>
        </w:tblCellMar>
      </w:tblPr>
      <w:tr>
        <w:trPr>
          <w:trHeight w:val="251"/>
        </w:trPr>
        <w:tc>
          <w:tcPr>
            <w:tcW w:w="14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8"/>
              </w:rPr>
              <w:t>As of December 31, 2025</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auto"/>
                <w:w w:val="99"/>
              </w:rPr>
              <w:t>Percentage</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7"/>
              </w:rPr>
              <w:t>Percentage</w:t>
            </w: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260" w:type="dxa"/>
            <w:vAlign w:val="bottom"/>
          </w:tcPr>
          <w:p>
            <w:pPr>
              <w:spacing w:after="0"/>
              <w:rPr>
                <w:sz w:val="19"/>
                <w:szCs w:val="19"/>
                <w:color w:val="auto"/>
              </w:rPr>
            </w:pPr>
          </w:p>
        </w:tc>
        <w:tc>
          <w:tcPr>
            <w:tcW w:w="1360" w:type="dxa"/>
            <w:vAlign w:val="bottom"/>
            <w:gridSpan w:val="2"/>
          </w:tcPr>
          <w:p>
            <w:pPr>
              <w:jc w:val="center"/>
              <w:ind w:right="400"/>
              <w:spacing w:after="0" w:line="228" w:lineRule="exact"/>
              <w:rPr>
                <w:sz w:val="20"/>
                <w:szCs w:val="20"/>
                <w:color w:val="auto"/>
              </w:rPr>
            </w:pPr>
            <w:r>
              <w:rPr>
                <w:rFonts w:ascii="Times New Roman" w:cs="Times New Roman" w:eastAsia="Times New Roman" w:hAnsi="Times New Roman"/>
                <w:sz w:val="20"/>
                <w:szCs w:val="20"/>
                <w:b w:val="1"/>
                <w:bCs w:val="1"/>
                <w:color w:val="auto"/>
                <w:w w:val="97"/>
              </w:rPr>
              <w:t>of Our</w:t>
            </w: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2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w w:val="97"/>
              </w:rPr>
              <w:t>Jurisdiction</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400"/>
              <w:spacing w:after="0" w:line="228" w:lineRule="exact"/>
              <w:rPr>
                <w:sz w:val="20"/>
                <w:szCs w:val="20"/>
                <w:color w:val="auto"/>
              </w:rPr>
            </w:pPr>
            <w:r>
              <w:rPr>
                <w:rFonts w:ascii="Times New Roman" w:cs="Times New Roman" w:eastAsia="Times New Roman" w:hAnsi="Times New Roman"/>
                <w:sz w:val="20"/>
                <w:szCs w:val="20"/>
                <w:b w:val="1"/>
                <w:bCs w:val="1"/>
                <w:color w:val="auto"/>
                <w:w w:val="98"/>
              </w:rPr>
              <w:t>Loan</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w w:val="99"/>
              </w:rPr>
              <w:t>Jurisdiction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240"/>
              <w:spacing w:after="0" w:line="228" w:lineRule="exact"/>
              <w:rPr>
                <w:sz w:val="20"/>
                <w:szCs w:val="20"/>
                <w:color w:val="auto"/>
              </w:rPr>
            </w:pPr>
            <w:r>
              <w:rPr>
                <w:rFonts w:ascii="Times New Roman" w:cs="Times New Roman" w:eastAsia="Times New Roman" w:hAnsi="Times New Roman"/>
                <w:sz w:val="20"/>
                <w:szCs w:val="20"/>
                <w:b w:val="1"/>
                <w:bCs w:val="1"/>
                <w:color w:val="auto"/>
                <w:w w:val="97"/>
              </w:rPr>
              <w:t>of Our Loan</w:t>
            </w:r>
          </w:p>
        </w:tc>
        <w:tc>
          <w:tcPr>
            <w:tcW w:w="0" w:type="dxa"/>
            <w:vAlign w:val="bottom"/>
          </w:tcPr>
          <w:p>
            <w:pPr>
              <w:spacing w:after="0"/>
              <w:rPr>
                <w:sz w:val="1"/>
                <w:szCs w:val="1"/>
                <w:color w:val="auto"/>
              </w:rPr>
            </w:pPr>
          </w:p>
        </w:tc>
      </w:tr>
      <w:tr>
        <w:trPr>
          <w:trHeight w:val="251"/>
        </w:trPr>
        <w:tc>
          <w:tcPr>
            <w:tcW w:w="142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0" w:type="dxa"/>
            <w:vAlign w:val="bottom"/>
            <w:tcBorders>
              <w:bottom w:val="single" w:sz="8" w:color="E3E3E3"/>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21"/>
              <w:spacing w:after="0" w:line="251" w:lineRule="exact"/>
              <w:rPr>
                <w:sz w:val="20"/>
                <w:szCs w:val="20"/>
                <w:color w:val="auto"/>
              </w:rPr>
            </w:pPr>
            <w:r>
              <w:rPr>
                <w:rFonts w:ascii="Times New Roman" w:cs="Times New Roman" w:eastAsia="Times New Roman" w:hAnsi="Times New Roman"/>
                <w:sz w:val="20"/>
                <w:szCs w:val="20"/>
                <w:b w:val="1"/>
                <w:bCs w:val="1"/>
                <w:color w:val="auto"/>
              </w:rPr>
              <w:t xml:space="preserve">Principal </w:t>
            </w:r>
            <w:r>
              <w:rPr>
                <w:rFonts w:ascii="Times New Roman" w:cs="Times New Roman" w:eastAsia="Times New Roman" w:hAnsi="Times New Roman"/>
                <w:sz w:val="25"/>
                <w:szCs w:val="25"/>
                <w:b w:val="1"/>
                <w:bCs w:val="1"/>
                <w:color w:val="auto"/>
                <w:vertAlign w:val="superscript"/>
              </w:rPr>
              <w:t>(1)</w:t>
            </w:r>
          </w:p>
        </w:tc>
        <w:tc>
          <w:tcPr>
            <w:tcW w:w="260" w:type="dxa"/>
            <w:vAlign w:val="bottom"/>
            <w:tcBorders>
              <w:bottom w:val="single" w:sz="8" w:color="E3E3E3"/>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Portfolio</w:t>
            </w:r>
          </w:p>
        </w:tc>
        <w:tc>
          <w:tcPr>
            <w:tcW w:w="340" w:type="dxa"/>
            <w:vAlign w:val="bottom"/>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E3E3E3"/>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21"/>
              <w:spacing w:after="0" w:line="251" w:lineRule="exact"/>
              <w:rPr>
                <w:sz w:val="20"/>
                <w:szCs w:val="20"/>
                <w:color w:val="auto"/>
              </w:rPr>
            </w:pPr>
            <w:r>
              <w:rPr>
                <w:rFonts w:ascii="Times New Roman" w:cs="Times New Roman" w:eastAsia="Times New Roman" w:hAnsi="Times New Roman"/>
                <w:sz w:val="20"/>
                <w:szCs w:val="20"/>
                <w:b w:val="1"/>
                <w:bCs w:val="1"/>
                <w:color w:val="auto"/>
              </w:rPr>
              <w:t xml:space="preserve">Principal </w:t>
            </w:r>
            <w:r>
              <w:rPr>
                <w:rFonts w:ascii="Times New Roman" w:cs="Times New Roman" w:eastAsia="Times New Roman" w:hAnsi="Times New Roman"/>
                <w:sz w:val="25"/>
                <w:szCs w:val="25"/>
                <w:b w:val="1"/>
                <w:bCs w:val="1"/>
                <w:color w:val="auto"/>
                <w:vertAlign w:val="superscript"/>
              </w:rPr>
              <w:t>(1)</w:t>
            </w:r>
          </w:p>
        </w:tc>
        <w:tc>
          <w:tcPr>
            <w:tcW w:w="260" w:type="dxa"/>
            <w:vAlign w:val="bottom"/>
            <w:tcBorders>
              <w:bottom w:val="single" w:sz="8" w:color="E3E3E3"/>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Portfolio</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Illinois</w:t>
            </w:r>
          </w:p>
        </w:tc>
        <w:tc>
          <w:tcPr>
            <w:tcW w:w="38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76,736,737</w:t>
            </w:r>
          </w:p>
        </w:tc>
        <w:tc>
          <w:tcPr>
            <w:tcW w:w="260" w:type="dxa"/>
            <w:vAlign w:val="bottom"/>
            <w:tcBorders>
              <w:right w:val="single" w:sz="8" w:color="E3E3E3"/>
            </w:tcBorders>
            <w:shd w:val="clear" w:color="auto" w:fill="E3E3E3"/>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w:t>
            </w:r>
          </w:p>
        </w:tc>
        <w:tc>
          <w:tcPr>
            <w:tcW w:w="14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Ohio</w:t>
            </w:r>
          </w:p>
        </w:tc>
        <w:tc>
          <w:tcPr>
            <w:tcW w:w="36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60,065,707</w:t>
            </w:r>
          </w:p>
        </w:tc>
        <w:tc>
          <w:tcPr>
            <w:tcW w:w="260" w:type="dxa"/>
            <w:vAlign w:val="bottom"/>
            <w:tcBorders>
              <w:right w:val="single" w:sz="8" w:color="E3E3E3"/>
            </w:tcBorders>
            <w:shd w:val="clear" w:color="auto" w:fill="E3E3E3"/>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Ohio</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65,865,842</w:t>
            </w:r>
          </w:p>
        </w:tc>
        <w:tc>
          <w:tcPr>
            <w:tcW w:w="2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16%</w:t>
            </w: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Illinois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55,958,079</w:t>
            </w:r>
          </w:p>
        </w:tc>
        <w:tc>
          <w:tcPr>
            <w:tcW w:w="2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41"/>
        </w:trPr>
        <w:tc>
          <w:tcPr>
            <w:tcW w:w="1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Florida</w:t>
            </w:r>
          </w:p>
        </w:tc>
        <w:tc>
          <w:tcPr>
            <w:tcW w:w="38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56,317,033</w:t>
            </w:r>
          </w:p>
        </w:tc>
        <w:tc>
          <w:tcPr>
            <w:tcW w:w="1620" w:type="dxa"/>
            <w:vAlign w:val="bottom"/>
            <w:gridSpan w:val="3"/>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14%</w:t>
            </w:r>
          </w:p>
        </w:tc>
        <w:tc>
          <w:tcPr>
            <w:tcW w:w="14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Florida</w:t>
            </w:r>
          </w:p>
        </w:tc>
        <w:tc>
          <w:tcPr>
            <w:tcW w:w="36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42,712,285</w:t>
            </w:r>
          </w:p>
        </w:tc>
        <w:tc>
          <w:tcPr>
            <w:tcW w:w="158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Pennsylvania</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46,114,129</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11%</w:t>
            </w: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Missouri</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38,208,259</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41"/>
        </w:trPr>
        <w:tc>
          <w:tcPr>
            <w:tcW w:w="1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Michigan</w:t>
            </w:r>
          </w:p>
        </w:tc>
        <w:tc>
          <w:tcPr>
            <w:tcW w:w="38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31,237,041</w:t>
            </w:r>
          </w:p>
        </w:tc>
        <w:tc>
          <w:tcPr>
            <w:tcW w:w="1620" w:type="dxa"/>
            <w:vAlign w:val="bottom"/>
            <w:gridSpan w:val="3"/>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8%</w:t>
            </w:r>
          </w:p>
        </w:tc>
        <w:tc>
          <w:tcPr>
            <w:tcW w:w="14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Pennsylvania</w:t>
            </w:r>
          </w:p>
        </w:tc>
        <w:tc>
          <w:tcPr>
            <w:tcW w:w="36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35,727,045</w:t>
            </w:r>
          </w:p>
        </w:tc>
        <w:tc>
          <w:tcPr>
            <w:tcW w:w="158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27,316,846</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7%</w:t>
            </w: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Michigan</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32,068,629</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41"/>
        </w:trPr>
        <w:tc>
          <w:tcPr>
            <w:tcW w:w="1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Arizona</w:t>
            </w:r>
          </w:p>
        </w:tc>
        <w:tc>
          <w:tcPr>
            <w:tcW w:w="38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26,326,748</w:t>
            </w:r>
          </w:p>
        </w:tc>
        <w:tc>
          <w:tcPr>
            <w:tcW w:w="1620" w:type="dxa"/>
            <w:vAlign w:val="bottom"/>
            <w:gridSpan w:val="3"/>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6%</w:t>
            </w:r>
          </w:p>
        </w:tc>
        <w:tc>
          <w:tcPr>
            <w:tcW w:w="14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Arizona</w:t>
            </w:r>
          </w:p>
        </w:tc>
        <w:tc>
          <w:tcPr>
            <w:tcW w:w="36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28,023,340</w:t>
            </w:r>
          </w:p>
        </w:tc>
        <w:tc>
          <w:tcPr>
            <w:tcW w:w="158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Missouri</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26,139,970</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6%</w:t>
            </w: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California</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26,057,479</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1"/>
        </w:trPr>
        <w:tc>
          <w:tcPr>
            <w:tcW w:w="1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New York</w:t>
            </w:r>
          </w:p>
        </w:tc>
        <w:tc>
          <w:tcPr>
            <w:tcW w:w="38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22,068,401</w:t>
            </w:r>
          </w:p>
        </w:tc>
        <w:tc>
          <w:tcPr>
            <w:tcW w:w="1620" w:type="dxa"/>
            <w:vAlign w:val="bottom"/>
            <w:gridSpan w:val="3"/>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5%</w:t>
            </w:r>
          </w:p>
        </w:tc>
        <w:tc>
          <w:tcPr>
            <w:tcW w:w="14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New York</w:t>
            </w:r>
          </w:p>
        </w:tc>
        <w:tc>
          <w:tcPr>
            <w:tcW w:w="36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25,093,595</w:t>
            </w:r>
          </w:p>
        </w:tc>
        <w:tc>
          <w:tcPr>
            <w:tcW w:w="158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Nebraska</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17,200,000</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4%</w:t>
            </w: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Maryland</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21,835,901</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1"/>
        </w:trPr>
        <w:tc>
          <w:tcPr>
            <w:tcW w:w="1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West Virginia</w:t>
            </w:r>
          </w:p>
        </w:tc>
        <w:tc>
          <w:tcPr>
            <w:tcW w:w="38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8,491,943</w:t>
            </w:r>
          </w:p>
        </w:tc>
        <w:tc>
          <w:tcPr>
            <w:tcW w:w="1620" w:type="dxa"/>
            <w:vAlign w:val="bottom"/>
            <w:gridSpan w:val="3"/>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2%</w:t>
            </w:r>
          </w:p>
        </w:tc>
        <w:tc>
          <w:tcPr>
            <w:tcW w:w="14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Nebraska</w:t>
            </w:r>
          </w:p>
        </w:tc>
        <w:tc>
          <w:tcPr>
            <w:tcW w:w="36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17,400,000</w:t>
            </w:r>
          </w:p>
        </w:tc>
        <w:tc>
          <w:tcPr>
            <w:tcW w:w="158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41"/>
        </w:trPr>
        <w:tc>
          <w:tcPr>
            <w:tcW w:w="1420" w:type="dxa"/>
            <w:vAlign w:val="bottom"/>
          </w:tcPr>
          <w:p>
            <w:pPr>
              <w:spacing w:after="0" w:line="241"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5"/>
                <w:szCs w:val="25"/>
                <w:color w:val="auto"/>
                <w:vertAlign w:val="superscript"/>
              </w:rPr>
              <w:t>(2)</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2,360,539</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w:t>
            </w: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West Virginia</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8,491,943</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1"/>
        </w:trPr>
        <w:tc>
          <w:tcPr>
            <w:tcW w:w="1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Texas</w:t>
            </w:r>
          </w:p>
        </w:tc>
        <w:tc>
          <w:tcPr>
            <w:tcW w:w="38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2,335,787</w:t>
            </w:r>
          </w:p>
        </w:tc>
        <w:tc>
          <w:tcPr>
            <w:tcW w:w="1620" w:type="dxa"/>
            <w:vAlign w:val="bottom"/>
            <w:gridSpan w:val="3"/>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auto"/>
              </w:rPr>
              <w:t>1%</w:t>
            </w:r>
          </w:p>
        </w:tc>
        <w:tc>
          <w:tcPr>
            <w:tcW w:w="14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Nevada</w:t>
            </w:r>
          </w:p>
        </w:tc>
        <w:tc>
          <w:tcPr>
            <w:tcW w:w="36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6,000,000</w:t>
            </w:r>
          </w:p>
        </w:tc>
        <w:tc>
          <w:tcPr>
            <w:tcW w:w="158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Maryland</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1,312,711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Texas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2,756,870</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1"/>
        </w:trPr>
        <w:tc>
          <w:tcPr>
            <w:tcW w:w="1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Massachusetts</w:t>
            </w:r>
          </w:p>
        </w:tc>
        <w:tc>
          <w:tcPr>
            <w:tcW w:w="38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731,146</w:t>
            </w:r>
          </w:p>
        </w:tc>
        <w:tc>
          <w:tcPr>
            <w:tcW w:w="1280" w:type="dxa"/>
            <w:vAlign w:val="bottom"/>
            <w:tcBorders>
              <w:right w:val="single" w:sz="8" w:color="E3E3E3"/>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E3E3E3"/>
          </w:tcPr>
          <w:p>
            <w:pPr>
              <w:spacing w:after="0"/>
              <w:rPr>
                <w:sz w:val="20"/>
                <w:szCs w:val="20"/>
                <w:color w:val="auto"/>
              </w:rPr>
            </w:pPr>
          </w:p>
        </w:tc>
        <w:tc>
          <w:tcPr>
            <w:tcW w:w="14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Massachusetts</w:t>
            </w:r>
          </w:p>
        </w:tc>
        <w:tc>
          <w:tcPr>
            <w:tcW w:w="36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2,626,423</w:t>
            </w:r>
          </w:p>
        </w:tc>
        <w:tc>
          <w:tcPr>
            <w:tcW w:w="158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Nevada</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225,199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Minnesota</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Oregon</w:t>
            </w:r>
          </w:p>
        </w:tc>
        <w:tc>
          <w:tcPr>
            <w:tcW w:w="38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193,286</w:t>
            </w:r>
          </w:p>
        </w:tc>
        <w:tc>
          <w:tcPr>
            <w:tcW w:w="1280" w:type="dxa"/>
            <w:vAlign w:val="bottom"/>
            <w:tcBorders>
              <w:right w:val="single" w:sz="8" w:color="E3E3E3"/>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E3E3E3"/>
          </w:tcPr>
          <w:p>
            <w:pPr>
              <w:spacing w:after="0"/>
              <w:rPr>
                <w:sz w:val="24"/>
                <w:szCs w:val="24"/>
                <w:color w:val="auto"/>
              </w:rPr>
            </w:pPr>
          </w:p>
        </w:tc>
        <w:tc>
          <w:tcPr>
            <w:tcW w:w="14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Oregon</w:t>
            </w:r>
          </w:p>
        </w:tc>
        <w:tc>
          <w:tcPr>
            <w:tcW w:w="360" w:type="dxa"/>
            <w:vAlign w:val="bottom"/>
            <w:shd w:val="clear" w:color="auto" w:fill="E3E3E3"/>
          </w:tcPr>
          <w:p>
            <w:pPr>
              <w:spacing w:after="0"/>
              <w:rPr>
                <w:sz w:val="24"/>
                <w:szCs w:val="24"/>
                <w:color w:val="auto"/>
              </w:rPr>
            </w:pPr>
          </w:p>
        </w:tc>
        <w:tc>
          <w:tcPr>
            <w:tcW w:w="160" w:type="dxa"/>
            <w:vAlign w:val="bottom"/>
            <w:shd w:val="clear" w:color="auto" w:fill="E3E3E3"/>
          </w:tcPr>
          <w:p>
            <w:pPr>
              <w:spacing w:after="0"/>
              <w:rPr>
                <w:sz w:val="24"/>
                <w:szCs w:val="24"/>
                <w:color w:val="auto"/>
              </w:rPr>
            </w:pPr>
          </w:p>
        </w:tc>
        <w:tc>
          <w:tcPr>
            <w:tcW w:w="220" w:type="dxa"/>
            <w:vAlign w:val="bottom"/>
            <w:shd w:val="clear" w:color="auto" w:fill="E3E3E3"/>
          </w:tcPr>
          <w:p>
            <w:pPr>
              <w:spacing w:after="0"/>
              <w:rPr>
                <w:sz w:val="24"/>
                <w:szCs w:val="24"/>
                <w:color w:val="auto"/>
              </w:rPr>
            </w:pP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580,000</w:t>
            </w:r>
          </w:p>
        </w:tc>
        <w:tc>
          <w:tcPr>
            <w:tcW w:w="13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auto"/>
              </w:rPr>
              <w:t>Minnesota</w:t>
            </w:r>
          </w:p>
        </w:tc>
        <w:tc>
          <w:tcPr>
            <w:tcW w:w="380" w:type="dxa"/>
            <w:vAlign w:val="bottom"/>
            <w:tcBorders>
              <w:bottom w:val="single" w:sz="8" w:color="E3E3E3"/>
            </w:tcBorders>
          </w:tcPr>
          <w:p>
            <w:pPr>
              <w:spacing w:after="0"/>
              <w:rPr>
                <w:sz w:val="24"/>
                <w:szCs w:val="24"/>
                <w:color w:val="auto"/>
              </w:rPr>
            </w:pPr>
          </w:p>
        </w:tc>
        <w:tc>
          <w:tcPr>
            <w:tcW w:w="160" w:type="dxa"/>
            <w:vAlign w:val="bottom"/>
            <w:tcBorders>
              <w:bottom w:val="single" w:sz="8" w:color="E3E3E3"/>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101,730</w:t>
            </w:r>
          </w:p>
        </w:tc>
        <w:tc>
          <w:tcPr>
            <w:tcW w:w="260" w:type="dxa"/>
            <w:vAlign w:val="bottom"/>
            <w:tcBorders>
              <w:bottom w:val="single" w:sz="8" w:color="E3E3E3"/>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1440" w:type="dxa"/>
            <w:vAlign w:val="bottom"/>
          </w:tcPr>
          <w:p>
            <w:pPr>
              <w:spacing w:after="0" w:line="280"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5"/>
                <w:szCs w:val="25"/>
                <w:color w:val="auto"/>
                <w:vertAlign w:val="superscript"/>
              </w:rPr>
              <w:t>(2)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3E3E3"/>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w:t>
            </w:r>
          </w:p>
        </w:tc>
        <w:tc>
          <w:tcPr>
            <w:tcW w:w="380" w:type="dxa"/>
            <w:vAlign w:val="bottom"/>
            <w:shd w:val="clear" w:color="auto" w:fill="E3E3E3"/>
          </w:tcPr>
          <w:p>
            <w:pPr>
              <w:spacing w:after="0"/>
              <w:rPr>
                <w:sz w:val="23"/>
                <w:szCs w:val="23"/>
                <w:color w:val="auto"/>
              </w:rPr>
            </w:pPr>
          </w:p>
        </w:tc>
        <w:tc>
          <w:tcPr>
            <w:tcW w:w="160" w:type="dxa"/>
            <w:vAlign w:val="bottom"/>
            <w:shd w:val="clear" w:color="auto" w:fill="E3E3E3"/>
          </w:tcPr>
          <w:p>
            <w:pPr>
              <w:spacing w:after="0"/>
              <w:rPr>
                <w:sz w:val="23"/>
                <w:szCs w:val="23"/>
                <w:color w:val="auto"/>
              </w:rPr>
            </w:pPr>
          </w:p>
        </w:tc>
        <w:tc>
          <w:tcPr>
            <w:tcW w:w="22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411,075,088</w:t>
            </w:r>
          </w:p>
        </w:tc>
        <w:tc>
          <w:tcPr>
            <w:tcW w:w="260" w:type="dxa"/>
            <w:vAlign w:val="bottom"/>
            <w:tcBorders>
              <w:right w:val="single" w:sz="8" w:color="E3E3E3"/>
            </w:tcBorders>
            <w:shd w:val="clear" w:color="auto" w:fill="E3E3E3"/>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404,721,554</w:t>
            </w:r>
          </w:p>
        </w:tc>
        <w:tc>
          <w:tcPr>
            <w:tcW w:w="260" w:type="dxa"/>
            <w:vAlign w:val="bottom"/>
            <w:tcBorders>
              <w:right w:val="single" w:sz="8" w:color="E3E3E3"/>
            </w:tcBorders>
            <w:shd w:val="clear" w:color="auto" w:fill="E3E3E3"/>
          </w:tcPr>
          <w:p>
            <w:pPr>
              <w:spacing w:after="0"/>
              <w:rPr>
                <w:sz w:val="23"/>
                <w:szCs w:val="23"/>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2520950</wp:posOffset>
                </wp:positionH>
                <wp:positionV relativeFrom="paragraph">
                  <wp:posOffset>-3001010</wp:posOffset>
                </wp:positionV>
                <wp:extent cx="641350" cy="15303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0" cy="153035"/>
                        </a:xfrm>
                        <a:prstGeom prst="rect">
                          <a:avLst/>
                        </a:prstGeom>
                        <a:solidFill>
                          <a:srgbClr val="E3E3E3"/>
                        </a:solidFill>
                      </wps:spPr>
                      <wps:bodyPr/>
                    </wps:wsp>
                  </a:graphicData>
                </a:graphic>
              </wp:anchor>
            </w:drawing>
          </mc:Choice>
          <mc:Fallback>
            <w:pict>
              <v:rect id="Shape 54" o:spid="_x0000_s1079" style="position:absolute;margin-left:198.5pt;margin-top:-236.2999pt;width:50.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3162300</wp:posOffset>
                </wp:positionH>
                <wp:positionV relativeFrom="paragraph">
                  <wp:posOffset>-3010535</wp:posOffset>
                </wp:positionV>
                <wp:extent cx="227965" cy="16256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965" cy="162560"/>
                        </a:xfrm>
                        <a:prstGeom prst="rect">
                          <a:avLst/>
                        </a:prstGeom>
                        <a:solidFill>
                          <a:srgbClr val="E3E3E3"/>
                        </a:solidFill>
                      </wps:spPr>
                      <wps:bodyPr/>
                    </wps:wsp>
                  </a:graphicData>
                </a:graphic>
              </wp:anchor>
            </w:drawing>
          </mc:Choice>
          <mc:Fallback>
            <w:pict>
              <v:rect id="Shape 55" o:spid="_x0000_s1080" style="position:absolute;margin-left:249pt;margin-top:-237.0499pt;width:17.95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5911850</wp:posOffset>
                </wp:positionH>
                <wp:positionV relativeFrom="paragraph">
                  <wp:posOffset>-3001010</wp:posOffset>
                </wp:positionV>
                <wp:extent cx="711835" cy="15303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153035"/>
                        </a:xfrm>
                        <a:prstGeom prst="rect">
                          <a:avLst/>
                        </a:prstGeom>
                        <a:solidFill>
                          <a:srgbClr val="E3E3E3"/>
                        </a:solidFill>
                      </wps:spPr>
                      <wps:bodyPr/>
                    </wps:wsp>
                  </a:graphicData>
                </a:graphic>
              </wp:anchor>
            </w:drawing>
          </mc:Choice>
          <mc:Fallback>
            <w:pict>
              <v:rect id="Shape 56" o:spid="_x0000_s1081" style="position:absolute;margin-left:465.5pt;margin-top:-236.2999pt;width:56.05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2520950</wp:posOffset>
                </wp:positionH>
                <wp:positionV relativeFrom="paragraph">
                  <wp:posOffset>-186055</wp:posOffset>
                </wp:positionV>
                <wp:extent cx="641350" cy="17716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0" cy="177165"/>
                        </a:xfrm>
                        <a:prstGeom prst="rect">
                          <a:avLst/>
                        </a:prstGeom>
                        <a:solidFill>
                          <a:srgbClr val="E3E3E3"/>
                        </a:solidFill>
                      </wps:spPr>
                      <wps:bodyPr/>
                    </wps:wsp>
                  </a:graphicData>
                </a:graphic>
              </wp:anchor>
            </w:drawing>
          </mc:Choice>
          <mc:Fallback>
            <w:pict>
              <v:rect id="Shape 57" o:spid="_x0000_s1082" style="position:absolute;margin-left:198.5pt;margin-top:-14.6499pt;width:50.5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3162300</wp:posOffset>
                </wp:positionH>
                <wp:positionV relativeFrom="paragraph">
                  <wp:posOffset>-195580</wp:posOffset>
                </wp:positionV>
                <wp:extent cx="1468120" cy="18669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120" cy="186690"/>
                        </a:xfrm>
                        <a:prstGeom prst="rect">
                          <a:avLst/>
                        </a:prstGeom>
                        <a:solidFill>
                          <a:srgbClr val="E3E3E3"/>
                        </a:solidFill>
                      </wps:spPr>
                      <wps:bodyPr/>
                    </wps:wsp>
                  </a:graphicData>
                </a:graphic>
              </wp:anchor>
            </w:drawing>
          </mc:Choice>
          <mc:Fallback>
            <w:pict>
              <v:rect id="Shape 58" o:spid="_x0000_s1083" style="position:absolute;margin-left:249pt;margin-top:-15.3999pt;width:115.6pt;height:14.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5911850</wp:posOffset>
                </wp:positionH>
                <wp:positionV relativeFrom="paragraph">
                  <wp:posOffset>-186055</wp:posOffset>
                </wp:positionV>
                <wp:extent cx="711835" cy="17716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177165"/>
                        </a:xfrm>
                        <a:prstGeom prst="rect">
                          <a:avLst/>
                        </a:prstGeom>
                        <a:solidFill>
                          <a:srgbClr val="E3E3E3"/>
                        </a:solidFill>
                      </wps:spPr>
                      <wps:bodyPr/>
                    </wps:wsp>
                  </a:graphicData>
                </a:graphic>
              </wp:anchor>
            </w:drawing>
          </mc:Choice>
          <mc:Fallback>
            <w:pict>
              <v:rect id="Shape 59" o:spid="_x0000_s1084" style="position:absolute;margin-left:465.5pt;margin-top:-14.6499pt;width:56.05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  Less than 1%</w:t>
      </w:r>
    </w:p>
    <w:p>
      <w:pPr>
        <w:spacing w:after="0" w:line="34" w:lineRule="exact"/>
        <w:rPr>
          <w:sz w:val="20"/>
          <w:szCs w:val="20"/>
          <w:color w:val="auto"/>
        </w:rPr>
      </w:pPr>
    </w:p>
    <w:p>
      <w:pPr>
        <w:ind w:left="1" w:right="340" w:hanging="1"/>
        <w:spacing w:after="0" w:line="241" w:lineRule="auto"/>
        <w:tabs>
          <w:tab w:leader="none" w:pos="2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balance of the loans not secured by real estate collateral are included in the jurisdiction representing the principal place of business.</w:t>
      </w:r>
    </w:p>
    <w:p>
      <w:pPr>
        <w:ind w:left="281" w:hanging="281"/>
        <w:spacing w:after="0"/>
        <w:tabs>
          <w:tab w:leader="none" w:pos="28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Connecticut, Washington, and New Jersey</w:t>
      </w:r>
    </w:p>
    <w:p>
      <w:pPr>
        <w:spacing w:after="0" w:line="16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CECL Reserve</w:t>
      </w:r>
    </w:p>
    <w:p>
      <w:pPr>
        <w:spacing w:after="0" w:line="193" w:lineRule="exact"/>
        <w:rPr>
          <w:sz w:val="20"/>
          <w:szCs w:val="20"/>
          <w:color w:val="auto"/>
        </w:rPr>
      </w:pPr>
    </w:p>
    <w:p>
      <w:pPr>
        <w:jc w:val="both"/>
        <w:ind w:left="1" w:firstLine="709"/>
        <w:spacing w:after="0" w:line="246" w:lineRule="auto"/>
        <w:rPr>
          <w:sz w:val="20"/>
          <w:szCs w:val="20"/>
          <w:color w:val="auto"/>
        </w:rPr>
      </w:pPr>
      <w:r>
        <w:rPr>
          <w:rFonts w:ascii="Times New Roman" w:cs="Times New Roman" w:eastAsia="Times New Roman" w:hAnsi="Times New Roman"/>
          <w:sz w:val="20"/>
          <w:szCs w:val="20"/>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ectPr>
          <w:pgSz w:w="12240" w:h="15840" w:orient="portrait"/>
          <w:cols w:equalWidth="0" w:num="1">
            <w:col w:w="10641"/>
          </w:cols>
          <w:pgMar w:left="799" w:top="1019" w:right="800" w:bottom="266"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641"/>
          </w:cols>
          <w:pgMar w:left="799" w:top="1019" w:right="800" w:bottom="266" w:gutter="0" w:footer="0" w:header="0"/>
          <w:type w:val="continuous"/>
        </w:sectPr>
      </w:pPr>
    </w:p>
    <w:bookmarkStart w:id="120" w:name="page121"/>
    <w:bookmarkEnd w:id="120"/>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59" w:lineRule="exact"/>
        <w:rPr>
          <w:sz w:val="20"/>
          <w:szCs w:val="20"/>
          <w:color w:val="auto"/>
        </w:rPr>
      </w:pPr>
    </w:p>
    <w:p>
      <w:pPr>
        <w:jc w:val="both"/>
        <w:ind w:firstLine="709"/>
        <w:spacing w:after="0" w:line="243" w:lineRule="auto"/>
        <w:rPr>
          <w:sz w:val="20"/>
          <w:szCs w:val="20"/>
          <w:color w:val="auto"/>
        </w:rPr>
      </w:pPr>
      <w:r>
        <w:rPr>
          <w:rFonts w:ascii="Times New Roman" w:cs="Times New Roman" w:eastAsia="Times New Roman" w:hAnsi="Times New Roman"/>
          <w:sz w:val="20"/>
          <w:szCs w:val="20"/>
          <w:color w:val="auto"/>
        </w:rPr>
        <w:t>The Company evaluates its loans on a collective (pool) basis by aggregating on the basis of similar risk characteristics as explained above. We make the judgment that loans to cannabis-related borrowers that are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may be evaluated as a separate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160" w:lineRule="exact"/>
        <w:rPr>
          <w:sz w:val="20"/>
          <w:szCs w:val="20"/>
          <w:color w:val="auto"/>
        </w:rPr>
      </w:pPr>
    </w:p>
    <w:p>
      <w:pPr>
        <w:jc w:val="both"/>
        <w:ind w:firstLine="709"/>
        <w:spacing w:after="0" w:line="256" w:lineRule="auto"/>
        <w:rPr>
          <w:sz w:val="20"/>
          <w:szCs w:val="20"/>
          <w:color w:val="auto"/>
        </w:rPr>
      </w:pPr>
      <w:r>
        <w:rPr>
          <w:rFonts w:ascii="Times New Roman" w:cs="Times New Roman" w:eastAsia="Times New Roman" w:hAnsi="Times New Roman"/>
          <w:sz w:val="19"/>
          <w:szCs w:val="19"/>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including benchmark interest rate fluctuations. The Company also considers loan-specific qualitative factors which may include; among other factors;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53" w:lineRule="exact"/>
        <w:rPr>
          <w:sz w:val="20"/>
          <w:szCs w:val="20"/>
          <w:color w:val="auto"/>
        </w:rPr>
      </w:pPr>
    </w:p>
    <w:p>
      <w:pPr>
        <w:jc w:val="both"/>
        <w:ind w:firstLine="709"/>
        <w:spacing w:after="0" w:line="259" w:lineRule="auto"/>
        <w:rPr>
          <w:sz w:val="20"/>
          <w:szCs w:val="20"/>
          <w:color w:val="auto"/>
        </w:rPr>
      </w:pPr>
      <w:r>
        <w:rPr>
          <w:rFonts w:ascii="Times New Roman" w:cs="Times New Roman" w:eastAsia="Times New Roman" w:hAnsi="Times New Roman"/>
          <w:sz w:val="19"/>
          <w:szCs w:val="19"/>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operating history, since its incorporation on March 30, 2021. However, the Company’s Sponsor and its affiliates have had operations for the past six fiscal years and have made investments in similar loans that have similar characteristics including interest rate, collateral coverage, guarantees, and prepayment/make whole provisions, which fall into the pools identified above, and may be considered by management in determining the extent to which a CECL Reserve shall be recorded.</w:t>
      </w:r>
    </w:p>
    <w:p>
      <w:pPr>
        <w:spacing w:after="0" w:line="147" w:lineRule="exact"/>
        <w:rPr>
          <w:sz w:val="20"/>
          <w:szCs w:val="20"/>
          <w:color w:val="auto"/>
        </w:rPr>
      </w:pPr>
    </w:p>
    <w:p>
      <w:pPr>
        <w:jc w:val="both"/>
        <w:ind w:firstLine="709"/>
        <w:spacing w:after="0" w:line="253" w:lineRule="auto"/>
        <w:rPr>
          <w:sz w:val="20"/>
          <w:szCs w:val="20"/>
          <w:color w:val="auto"/>
        </w:rPr>
      </w:pPr>
      <w:r>
        <w:rPr>
          <w:rFonts w:ascii="Times New Roman" w:cs="Times New Roman" w:eastAsia="Times New Roman" w:hAnsi="Times New Roman"/>
          <w:sz w:val="19"/>
          <w:szCs w:val="19"/>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September 30, 2025, to which the Manager may apply a private company discount based on the Company’s current borrower profile.</w:t>
      </w:r>
    </w:p>
    <w:p>
      <w:pPr>
        <w:spacing w:after="0" w:line="160" w:lineRule="exact"/>
        <w:rPr>
          <w:sz w:val="20"/>
          <w:szCs w:val="20"/>
          <w:color w:val="auto"/>
        </w:rPr>
      </w:pPr>
    </w:p>
    <w:p>
      <w:pPr>
        <w:jc w:val="both"/>
        <w:ind w:firstLine="709"/>
        <w:spacing w:after="0" w:line="242" w:lineRule="auto"/>
        <w:rPr>
          <w:sz w:val="20"/>
          <w:szCs w:val="20"/>
          <w:color w:val="auto"/>
        </w:rPr>
      </w:pPr>
      <w:r>
        <w:rPr>
          <w:rFonts w:ascii="Times New Roman" w:cs="Times New Roman" w:eastAsia="Times New Roman" w:hAnsi="Times New Roman"/>
          <w:sz w:val="20"/>
          <w:szCs w:val="20"/>
          <w:color w:val="auto"/>
        </w:rPr>
        <w:t>Regarding the determination of value of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 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without historical loss data.</w:t>
      </w:r>
    </w:p>
    <w:p>
      <w:pPr>
        <w:spacing w:after="0" w:line="162"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ectPr>
          <w:pgSz w:w="12240" w:h="15840" w:orient="portrait"/>
          <w:cols w:equalWidth="0" w:num="1">
            <w:col w:w="10640"/>
          </w:cols>
          <w:pgMar w:left="800" w:top="1009"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640"/>
          </w:cols>
          <w:pgMar w:left="800" w:top="1009" w:right="800" w:bottom="266" w:gutter="0" w:footer="0" w:header="0"/>
          <w:type w:val="continuous"/>
        </w:sectPr>
      </w:pPr>
    </w:p>
    <w:bookmarkStart w:id="121" w:name="page122"/>
    <w:bookmarkEnd w:id="121"/>
    <w:p>
      <w:pPr>
        <w:jc w:val="both"/>
        <w:ind w:firstLine="709"/>
        <w:spacing w:after="0" w:line="244" w:lineRule="auto"/>
        <w:rPr>
          <w:sz w:val="20"/>
          <w:szCs w:val="20"/>
          <w:color w:val="auto"/>
        </w:rPr>
      </w:pPr>
      <w:r>
        <w:rPr>
          <w:rFonts w:ascii="Times New Roman" w:cs="Times New Roman" w:eastAsia="Times New Roman" w:hAnsi="Times New Roman"/>
          <w:sz w:val="20"/>
          <w:szCs w:val="20"/>
          <w:color w:val="auto"/>
        </w:rPr>
        <w:t>During the period ended December 31, 2025, the Company's CECL Reserve increased by approximately $0.7 million compared to December 31, 2024. On a relative size basis, the CECL reserve represented 1.23% and 1.06% of principal on our loans held for investment as of December 31, 2025 and December 31, 2024, respectively. The year over year increase in the CECL reserve results from a combination of changes in portfolio composition driven by new originations and repayments, as well as portfolio company specific events and credit quality changes that impacted expected loss estimates. The key drivers of the change in the CECL reserve during the comparative period are outlined below:</w:t>
      </w:r>
    </w:p>
    <w:p>
      <w:pPr>
        <w:spacing w:after="0" w:line="94" w:lineRule="exact"/>
        <w:rPr>
          <w:sz w:val="20"/>
          <w:szCs w:val="20"/>
          <w:color w:val="auto"/>
        </w:rPr>
      </w:pPr>
    </w:p>
    <w:p>
      <w:pPr>
        <w:jc w:val="both"/>
        <w:ind w:left="960" w:hanging="478"/>
        <w:spacing w:after="0" w:line="248" w:lineRule="auto"/>
        <w:tabs>
          <w:tab w:leader="none" w:pos="96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During the year ended December 31, 2025, the Company recorded reserves on new originations of approximately $28 thousand, which were offset by $42 thousand of reserves which existed at December 31, 2024 and were reversed as a result of full loan repayments. The net effect of the new originations and full repayments on the CECL reserve was approximately a $14 thousand decrease.</w:t>
      </w:r>
    </w:p>
    <w:p>
      <w:pPr>
        <w:spacing w:after="0" w:line="90" w:lineRule="exact"/>
        <w:rPr>
          <w:rFonts w:ascii="Arial" w:cs="Arial" w:eastAsia="Arial" w:hAnsi="Arial"/>
          <w:sz w:val="20"/>
          <w:szCs w:val="20"/>
          <w:color w:val="auto"/>
        </w:rPr>
      </w:pPr>
    </w:p>
    <w:p>
      <w:pPr>
        <w:jc w:val="both"/>
        <w:ind w:left="960" w:hanging="478"/>
        <w:spacing w:after="0" w:line="274" w:lineRule="auto"/>
        <w:tabs>
          <w:tab w:leader="none" w:pos="960" w:val="left"/>
        </w:tabs>
        <w:numPr>
          <w:ilvl w:val="0"/>
          <w:numId w:val="73"/>
        </w:numPr>
        <w:rPr>
          <w:rFonts w:ascii="Arial" w:cs="Arial" w:eastAsia="Arial" w:hAnsi="Arial"/>
          <w:sz w:val="19"/>
          <w:szCs w:val="19"/>
          <w:color w:val="auto"/>
        </w:rPr>
      </w:pPr>
      <w:r>
        <w:rPr>
          <w:rFonts w:ascii="Times New Roman" w:cs="Times New Roman" w:eastAsia="Times New Roman" w:hAnsi="Times New Roman"/>
          <w:sz w:val="19"/>
          <w:szCs w:val="19"/>
          <w:color w:val="auto"/>
        </w:rPr>
        <w:t>The CECL reserve relating to loans with a risk rating of "2" and "3" was $2.9 million or 0.8% of outstanding principal as of December 31, 2025 and $2.1 million or 0.6% of outstanding principal as of December 31, 2024. Management notes that loans risk rated "2" and "3" are generally deemed to be performing loans and generally carry similar CECL reserves,</w:t>
      </w:r>
    </w:p>
    <w:p>
      <w:pPr>
        <w:spacing w:after="0" w:line="65" w:lineRule="exact"/>
        <w:rPr>
          <w:rFonts w:ascii="Arial" w:cs="Arial" w:eastAsia="Arial" w:hAnsi="Arial"/>
          <w:sz w:val="19"/>
          <w:szCs w:val="19"/>
          <w:color w:val="auto"/>
        </w:rPr>
      </w:pPr>
    </w:p>
    <w:p>
      <w:pPr>
        <w:jc w:val="both"/>
        <w:ind w:left="960" w:hanging="478"/>
        <w:spacing w:after="0" w:line="254" w:lineRule="auto"/>
        <w:tabs>
          <w:tab w:leader="none" w:pos="96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The CECL reserve for loans included in risk rating "4" was $2.2 million or 11.3% of outstanding principal as of December 31, 2025 and $2.3 million or 6.0% of outstanding principal as of December 31, 2024. Loans that are risk rated "4"are high risk for potential loss and require regular monitoring.</w:t>
      </w:r>
    </w:p>
    <w:p>
      <w:pPr>
        <w:spacing w:after="0" w:line="83" w:lineRule="exact"/>
        <w:rPr>
          <w:rFonts w:ascii="Arial" w:cs="Arial" w:eastAsia="Arial" w:hAnsi="Arial"/>
          <w:sz w:val="20"/>
          <w:szCs w:val="20"/>
          <w:color w:val="auto"/>
        </w:rPr>
      </w:pPr>
    </w:p>
    <w:p>
      <w:pPr>
        <w:jc w:val="both"/>
        <w:ind w:left="960" w:hanging="478"/>
        <w:spacing w:after="0" w:line="248" w:lineRule="auto"/>
        <w:tabs>
          <w:tab w:leader="none" w:pos="96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Loans placed on non-accrual during the year, specifically Loan #4 and Loan #34, resulted in a $1.3 million increase to the CECL reserve. When the loans were placed on non-accrual status in December 2025, an aggregate of $0.9 million of accrued interest receivable was reversed. The non-performing nature of these loans as of December 31, 2025 is a key input to the Company's CECL analysis.</w:t>
      </w:r>
    </w:p>
    <w:p>
      <w:pPr>
        <w:spacing w:after="0" w:line="90" w:lineRule="exact"/>
        <w:rPr>
          <w:rFonts w:ascii="Arial" w:cs="Arial" w:eastAsia="Arial" w:hAnsi="Arial"/>
          <w:sz w:val="20"/>
          <w:szCs w:val="20"/>
          <w:color w:val="auto"/>
        </w:rPr>
      </w:pPr>
    </w:p>
    <w:p>
      <w:pPr>
        <w:jc w:val="both"/>
        <w:ind w:left="960" w:hanging="478"/>
        <w:spacing w:after="0" w:line="241" w:lineRule="auto"/>
        <w:tabs>
          <w:tab w:leader="none" w:pos="96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Loan #9(a)(b), which have been on non-accrual since May 2023, were restructured during 2025. The Company made incremental advances to fund accretive acquisitions which management expects to result in improved operating performance. As a result of the borrowers acquisitions, the estimated LTV ratio decreased by approximately 15% year over year. Additionally, in connection with the December 2025 advance, the Company collected all past due unpaid interest and the borrower was brought to current. Management elected to maintain Loan #9 on non-accrual status as of December 31, 2025 until such time that the borrower demonstrates sustained ability to meet debt service obligations for a minimum of 60 days. However; despite maintaining the loan on non-accrual, the decrease in LTV ratio and collection of past due interest were the primary drivers of a $0.7 million decrease in CECL reserve as of December 31, 2025, and offset the increase attributable to Loan #4 and #34.</w:t>
      </w:r>
    </w:p>
    <w:p>
      <w:pPr>
        <w:spacing w:after="0" w:line="165"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Activity related to the CECL Reserve for outstanding balances and unfunded commitments on the Company’s loans held at carrying value and loans receivable at carrying value as of and for the years ended December 31, 2025 and 2024 is presented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Funded</w:t>
            </w:r>
          </w:p>
        </w:tc>
        <w:tc>
          <w:tcPr>
            <w:tcW w:w="160" w:type="dxa"/>
            <w:vAlign w:val="bottom"/>
          </w:tcPr>
          <w:p>
            <w:pPr>
              <w:spacing w:after="0"/>
              <w:rPr>
                <w:sz w:val="21"/>
                <w:szCs w:val="21"/>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Unfunded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22"/>
        </w:trPr>
        <w:tc>
          <w:tcPr>
            <w:tcW w:w="6180" w:type="dxa"/>
            <w:vAlign w:val="bottom"/>
            <w:tcBorders>
              <w:top w:val="single" w:sz="8" w:color="E3E3E3"/>
            </w:tcBorders>
            <w:gridSpan w:val="2"/>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200" w:type="dxa"/>
            <w:vAlign w:val="bottom"/>
            <w:tcBorders>
              <w:top w:val="single" w:sz="8" w:color="auto"/>
            </w:tcBorders>
            <w:shd w:val="clear" w:color="auto" w:fill="E3E3E3"/>
          </w:tcPr>
          <w:p>
            <w:pPr>
              <w:jc w:val="right"/>
              <w:ind w:right="9"/>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top w:val="single" w:sz="8" w:color="auto"/>
            </w:tcBorders>
            <w:gridSpan w:val="2"/>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4,346,869</w:t>
            </w:r>
          </w:p>
        </w:tc>
        <w:tc>
          <w:tcPr>
            <w:tcW w:w="240" w:type="dxa"/>
            <w:vAlign w:val="bottom"/>
            <w:tcBorders>
              <w:top w:val="single" w:sz="8" w:color="E3E3E3"/>
            </w:tcBorders>
            <w:shd w:val="clear" w:color="auto" w:fill="E3E3E3"/>
          </w:tcPr>
          <w:p>
            <w:pPr>
              <w:spacing w:after="0"/>
              <w:rPr>
                <w:sz w:val="19"/>
                <w:szCs w:val="19"/>
                <w:color w:val="auto"/>
              </w:rPr>
            </w:pPr>
          </w:p>
        </w:tc>
        <w:tc>
          <w:tcPr>
            <w:tcW w:w="160" w:type="dxa"/>
            <w:vAlign w:val="bottom"/>
            <w:tcBorders>
              <w:top w:val="single" w:sz="8" w:color="auto"/>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top w:val="single" w:sz="8" w:color="auto"/>
            </w:tcBorders>
            <w:gridSpan w:val="2"/>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45,572</w:t>
            </w:r>
          </w:p>
        </w:tc>
        <w:tc>
          <w:tcPr>
            <w:tcW w:w="240" w:type="dxa"/>
            <w:vAlign w:val="bottom"/>
            <w:tcBorders>
              <w:top w:val="single" w:sz="8" w:color="E3E3E3"/>
            </w:tcBorders>
            <w:shd w:val="clear" w:color="auto" w:fill="E3E3E3"/>
          </w:tcPr>
          <w:p>
            <w:pPr>
              <w:spacing w:after="0"/>
              <w:rPr>
                <w:sz w:val="19"/>
                <w:szCs w:val="19"/>
                <w:color w:val="auto"/>
              </w:rPr>
            </w:pPr>
          </w:p>
        </w:tc>
        <w:tc>
          <w:tcPr>
            <w:tcW w:w="20" w:type="dxa"/>
            <w:vAlign w:val="bottom"/>
            <w:tcBorders>
              <w:top w:val="single" w:sz="8" w:color="E3E3E3"/>
            </w:tcBorders>
            <w:shd w:val="clear" w:color="auto" w:fill="E3E3E3"/>
          </w:tcPr>
          <w:p>
            <w:pPr>
              <w:spacing w:after="0"/>
              <w:rPr>
                <w:sz w:val="19"/>
                <w:szCs w:val="19"/>
                <w:color w:val="auto"/>
              </w:rPr>
            </w:pPr>
          </w:p>
        </w:tc>
        <w:tc>
          <w:tcPr>
            <w:tcW w:w="260" w:type="dxa"/>
            <w:vAlign w:val="bottom"/>
            <w:tcBorders>
              <w:top w:val="single" w:sz="8" w:color="auto"/>
            </w:tcBorders>
            <w:shd w:val="clear" w:color="auto" w:fill="E3E3E3"/>
          </w:tcPr>
          <w:p>
            <w:pPr>
              <w:jc w:val="right"/>
              <w:ind w:right="61"/>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top w:val="single" w:sz="8" w:color="auto"/>
            </w:tcBorders>
            <w:gridSpan w:val="2"/>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4,392,441</w:t>
            </w:r>
          </w:p>
        </w:tc>
        <w:tc>
          <w:tcPr>
            <w:tcW w:w="60" w:type="dxa"/>
            <w:vAlign w:val="bottom"/>
            <w:tcBorders>
              <w:top w:val="single" w:sz="8" w:color="E3E3E3"/>
            </w:tcBorders>
            <w:shd w:val="clear" w:color="auto" w:fill="E3E3E3"/>
          </w:tcPr>
          <w:p>
            <w:pPr>
              <w:spacing w:after="0"/>
              <w:rPr>
                <w:sz w:val="19"/>
                <w:szCs w:val="19"/>
                <w:color w:val="auto"/>
              </w:rPr>
            </w:pPr>
          </w:p>
        </w:tc>
      </w:tr>
      <w:tr>
        <w:trPr>
          <w:trHeight w:val="227"/>
        </w:trPr>
        <w:tc>
          <w:tcPr>
            <w:tcW w:w="6180" w:type="dxa"/>
            <w:vAlign w:val="bottom"/>
            <w:tcBorders>
              <w:bottom w:val="single" w:sz="8" w:color="E3E3E3"/>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Provision (benefit) for current expected credit losses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715,916</w:t>
            </w:r>
          </w:p>
        </w:tc>
        <w:tc>
          <w:tcPr>
            <w:tcW w:w="240" w:type="dxa"/>
            <w:vAlign w:val="bottom"/>
            <w:tcBorders>
              <w:bottom w:val="single" w:sz="8" w:color="E3E3E3"/>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15,135</w:t>
            </w:r>
          </w:p>
        </w:tc>
        <w:tc>
          <w:tcPr>
            <w:tcW w:w="24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731,051</w:t>
            </w:r>
          </w:p>
        </w:tc>
        <w:tc>
          <w:tcPr>
            <w:tcW w:w="60" w:type="dxa"/>
            <w:vAlign w:val="bottom"/>
            <w:tcBorders>
              <w:bottom w:val="single" w:sz="8" w:color="E3E3E3"/>
            </w:tcBorders>
          </w:tcPr>
          <w:p>
            <w:pPr>
              <w:spacing w:after="0"/>
              <w:rPr>
                <w:sz w:val="19"/>
                <w:szCs w:val="19"/>
                <w:color w:val="auto"/>
              </w:rPr>
            </w:pPr>
          </w:p>
        </w:tc>
      </w:tr>
      <w:tr>
        <w:trPr>
          <w:trHeight w:val="242"/>
        </w:trPr>
        <w:tc>
          <w:tcPr>
            <w:tcW w:w="6180" w:type="dxa"/>
            <w:vAlign w:val="bottom"/>
            <w:tcBorders>
              <w:bottom w:val="single" w:sz="8" w:color="E3E3E3"/>
            </w:tcBorders>
            <w:gridSpan w:val="2"/>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200" w:type="dxa"/>
            <w:vAlign w:val="bottom"/>
            <w:tcBorders>
              <w:bottom w:val="single" w:sz="8" w:color="auto"/>
            </w:tcBorders>
            <w:shd w:val="clear" w:color="auto" w:fill="E3E3E3"/>
          </w:tcPr>
          <w:p>
            <w:pPr>
              <w:jc w:val="right"/>
              <w:ind w:right="9"/>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bottom w:val="single" w:sz="8" w:color="auto"/>
            </w:tcBorders>
            <w:gridSpan w:val="2"/>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5,062,785</w:t>
            </w:r>
          </w:p>
        </w:tc>
        <w:tc>
          <w:tcPr>
            <w:tcW w:w="240" w:type="dxa"/>
            <w:vAlign w:val="bottom"/>
            <w:tcBorders>
              <w:bottom w:val="single" w:sz="8" w:color="E3E3E3"/>
            </w:tcBorders>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gridSpan w:val="2"/>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60,707</w:t>
            </w:r>
          </w:p>
        </w:tc>
        <w:tc>
          <w:tcPr>
            <w:tcW w:w="240" w:type="dxa"/>
            <w:vAlign w:val="bottom"/>
            <w:tcBorders>
              <w:bottom w:val="single" w:sz="8" w:color="E3E3E3"/>
            </w:tcBorders>
            <w:shd w:val="clear" w:color="auto" w:fill="E3E3E3"/>
          </w:tcPr>
          <w:p>
            <w:pPr>
              <w:spacing w:after="0"/>
              <w:rPr>
                <w:sz w:val="21"/>
                <w:szCs w:val="21"/>
                <w:color w:val="auto"/>
              </w:rPr>
            </w:pPr>
          </w:p>
        </w:tc>
        <w:tc>
          <w:tcPr>
            <w:tcW w:w="20" w:type="dxa"/>
            <w:vAlign w:val="bottom"/>
            <w:tcBorders>
              <w:bottom w:val="single" w:sz="8" w:color="E3E3E3"/>
            </w:tcBorders>
            <w:shd w:val="clear" w:color="auto" w:fill="E3E3E3"/>
          </w:tcPr>
          <w:p>
            <w:pPr>
              <w:spacing w:after="0"/>
              <w:rPr>
                <w:sz w:val="21"/>
                <w:szCs w:val="21"/>
                <w:color w:val="auto"/>
              </w:rPr>
            </w:pPr>
          </w:p>
        </w:tc>
        <w:tc>
          <w:tcPr>
            <w:tcW w:w="260" w:type="dxa"/>
            <w:vAlign w:val="bottom"/>
            <w:tcBorders>
              <w:bottom w:val="single" w:sz="8" w:color="auto"/>
            </w:tcBorders>
            <w:shd w:val="clear" w:color="auto" w:fill="E3E3E3"/>
          </w:tcPr>
          <w:p>
            <w:pPr>
              <w:jc w:val="right"/>
              <w:ind w:right="61"/>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gridSpan w:val="2"/>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5,123,492</w:t>
            </w:r>
          </w:p>
        </w:tc>
        <w:tc>
          <w:tcPr>
            <w:tcW w:w="60" w:type="dxa"/>
            <w:vAlign w:val="bottom"/>
            <w:tcBorders>
              <w:bottom w:val="single" w:sz="8" w:color="E3E3E3"/>
            </w:tcBorders>
            <w:shd w:val="clear" w:color="auto" w:fill="E3E3E3"/>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9"/>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Funded</w:t>
            </w:r>
          </w:p>
        </w:tc>
        <w:tc>
          <w:tcPr>
            <w:tcW w:w="160" w:type="dxa"/>
            <w:vAlign w:val="bottom"/>
          </w:tcPr>
          <w:p>
            <w:pPr>
              <w:spacing w:after="0"/>
              <w:rPr>
                <w:sz w:val="24"/>
                <w:szCs w:val="24"/>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Unfunded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22"/>
        </w:trPr>
        <w:tc>
          <w:tcPr>
            <w:tcW w:w="6160" w:type="dxa"/>
            <w:vAlign w:val="bottom"/>
            <w:tcBorders>
              <w:top w:val="single" w:sz="8" w:color="E3E3E3"/>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20" w:type="dxa"/>
            <w:vAlign w:val="bottom"/>
            <w:tcBorders>
              <w:top w:val="single" w:sz="8" w:color="auto"/>
            </w:tcBorders>
            <w:shd w:val="clear" w:color="auto" w:fill="E3E3E3"/>
          </w:tcPr>
          <w:p>
            <w:pPr>
              <w:spacing w:after="0"/>
              <w:rPr>
                <w:sz w:val="19"/>
                <w:szCs w:val="19"/>
                <w:color w:val="auto"/>
              </w:rPr>
            </w:pPr>
          </w:p>
        </w:tc>
        <w:tc>
          <w:tcPr>
            <w:tcW w:w="200" w:type="dxa"/>
            <w:vAlign w:val="bottom"/>
            <w:tcBorders>
              <w:top w:val="single" w:sz="8" w:color="auto"/>
            </w:tcBorders>
            <w:shd w:val="clear" w:color="auto" w:fill="E3E3E3"/>
          </w:tcPr>
          <w:p>
            <w:pPr>
              <w:jc w:val="right"/>
              <w:ind w:right="2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4,972,647</w:t>
            </w:r>
          </w:p>
        </w:tc>
        <w:tc>
          <w:tcPr>
            <w:tcW w:w="20" w:type="dxa"/>
            <w:vAlign w:val="bottom"/>
            <w:tcBorders>
              <w:top w:val="single" w:sz="8" w:color="E3E3E3"/>
            </w:tcBorders>
            <w:shd w:val="clear" w:color="auto" w:fill="E3E3E3"/>
          </w:tcPr>
          <w:p>
            <w:pPr>
              <w:spacing w:after="0"/>
              <w:rPr>
                <w:sz w:val="19"/>
                <w:szCs w:val="19"/>
                <w:color w:val="auto"/>
              </w:rPr>
            </w:pPr>
          </w:p>
        </w:tc>
        <w:tc>
          <w:tcPr>
            <w:tcW w:w="240" w:type="dxa"/>
            <w:vAlign w:val="bottom"/>
            <w:tcBorders>
              <w:top w:val="single" w:sz="8" w:color="E3E3E3"/>
            </w:tcBorders>
            <w:shd w:val="clear" w:color="auto" w:fill="E3E3E3"/>
          </w:tcPr>
          <w:p>
            <w:pPr>
              <w:spacing w:after="0"/>
              <w:rPr>
                <w:sz w:val="19"/>
                <w:szCs w:val="19"/>
                <w:color w:val="auto"/>
              </w:rPr>
            </w:pPr>
          </w:p>
        </w:tc>
        <w:tc>
          <w:tcPr>
            <w:tcW w:w="160" w:type="dxa"/>
            <w:vAlign w:val="bottom"/>
            <w:tcBorders>
              <w:top w:val="single" w:sz="8" w:color="auto"/>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3,092</w:t>
            </w:r>
          </w:p>
        </w:tc>
        <w:tc>
          <w:tcPr>
            <w:tcW w:w="20" w:type="dxa"/>
            <w:vAlign w:val="bottom"/>
            <w:tcBorders>
              <w:top w:val="single" w:sz="8" w:color="E3E3E3"/>
            </w:tcBorders>
            <w:shd w:val="clear" w:color="auto" w:fill="E3E3E3"/>
          </w:tcPr>
          <w:p>
            <w:pPr>
              <w:spacing w:after="0"/>
              <w:rPr>
                <w:sz w:val="19"/>
                <w:szCs w:val="19"/>
                <w:color w:val="auto"/>
              </w:rPr>
            </w:pPr>
          </w:p>
        </w:tc>
        <w:tc>
          <w:tcPr>
            <w:tcW w:w="240" w:type="dxa"/>
            <w:vAlign w:val="bottom"/>
            <w:tcBorders>
              <w:top w:val="single" w:sz="8" w:color="E3E3E3"/>
            </w:tcBorders>
            <w:shd w:val="clear" w:color="auto" w:fill="E3E3E3"/>
          </w:tcPr>
          <w:p>
            <w:pPr>
              <w:spacing w:after="0"/>
              <w:rPr>
                <w:sz w:val="19"/>
                <w:szCs w:val="19"/>
                <w:color w:val="auto"/>
              </w:rPr>
            </w:pPr>
          </w:p>
        </w:tc>
        <w:tc>
          <w:tcPr>
            <w:tcW w:w="280" w:type="dxa"/>
            <w:vAlign w:val="bottom"/>
            <w:tcBorders>
              <w:top w:val="single" w:sz="8" w:color="auto"/>
            </w:tcBorders>
            <w:gridSpan w:val="2"/>
            <w:shd w:val="clear" w:color="auto" w:fill="E3E3E3"/>
          </w:tcPr>
          <w:p>
            <w:pPr>
              <w:jc w:val="right"/>
              <w:ind w:right="81"/>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2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4,975,739</w:t>
            </w:r>
          </w:p>
        </w:tc>
        <w:tc>
          <w:tcPr>
            <w:tcW w:w="20" w:type="dxa"/>
            <w:vAlign w:val="bottom"/>
            <w:tcBorders>
              <w:top w:val="single" w:sz="8" w:color="E3E3E3"/>
            </w:tcBorders>
            <w:shd w:val="clear" w:color="auto" w:fill="E3E3E3"/>
          </w:tcPr>
          <w:p>
            <w:pPr>
              <w:spacing w:after="0"/>
              <w:rPr>
                <w:sz w:val="19"/>
                <w:szCs w:val="19"/>
                <w:color w:val="auto"/>
              </w:rPr>
            </w:pPr>
          </w:p>
        </w:tc>
        <w:tc>
          <w:tcPr>
            <w:tcW w:w="60" w:type="dxa"/>
            <w:vAlign w:val="bottom"/>
            <w:tcBorders>
              <w:top w:val="single" w:sz="8" w:color="E3E3E3"/>
            </w:tcBorders>
            <w:shd w:val="clear" w:color="auto" w:fill="E3E3E3"/>
          </w:tcPr>
          <w:p>
            <w:pPr>
              <w:spacing w:after="0"/>
              <w:rPr>
                <w:sz w:val="19"/>
                <w:szCs w:val="19"/>
                <w:color w:val="auto"/>
              </w:rPr>
            </w:pPr>
          </w:p>
        </w:tc>
      </w:tr>
      <w:tr>
        <w:trPr>
          <w:trHeight w:val="227"/>
        </w:trPr>
        <w:tc>
          <w:tcPr>
            <w:tcW w:w="6180" w:type="dxa"/>
            <w:vAlign w:val="bottom"/>
            <w:tcBorders>
              <w:bottom w:val="single" w:sz="8" w:color="E3E3E3"/>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Provision (benefit) for current expected credit losses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(625,778)</w:t>
            </w:r>
          </w:p>
        </w:tc>
        <w:tc>
          <w:tcPr>
            <w:tcW w:w="20" w:type="dxa"/>
            <w:vAlign w:val="bottom"/>
            <w:tcBorders>
              <w:bottom w:val="single" w:sz="8" w:color="E3E3E3"/>
            </w:tcBorders>
          </w:tcPr>
          <w:p>
            <w:pPr>
              <w:spacing w:after="0"/>
              <w:rPr>
                <w:sz w:val="19"/>
                <w:szCs w:val="19"/>
                <w:color w:val="auto"/>
              </w:rPr>
            </w:pPr>
          </w:p>
        </w:tc>
        <w:tc>
          <w:tcPr>
            <w:tcW w:w="240" w:type="dxa"/>
            <w:vAlign w:val="bottom"/>
            <w:tcBorders>
              <w:bottom w:val="single" w:sz="8" w:color="E3E3E3"/>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42,480</w:t>
            </w:r>
          </w:p>
        </w:tc>
        <w:tc>
          <w:tcPr>
            <w:tcW w:w="20" w:type="dxa"/>
            <w:vAlign w:val="bottom"/>
            <w:tcBorders>
              <w:bottom w:val="single" w:sz="8" w:color="E3E3E3"/>
            </w:tcBorders>
          </w:tcPr>
          <w:p>
            <w:pPr>
              <w:spacing w:after="0"/>
              <w:rPr>
                <w:sz w:val="19"/>
                <w:szCs w:val="19"/>
                <w:color w:val="auto"/>
              </w:rPr>
            </w:pPr>
          </w:p>
        </w:tc>
        <w:tc>
          <w:tcPr>
            <w:tcW w:w="240" w:type="dxa"/>
            <w:vAlign w:val="bottom"/>
            <w:tcBorders>
              <w:bottom w:val="single" w:sz="8" w:color="E3E3E3"/>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(583,298)</w:t>
            </w:r>
          </w:p>
        </w:tc>
        <w:tc>
          <w:tcPr>
            <w:tcW w:w="20" w:type="dxa"/>
            <w:vAlign w:val="bottom"/>
            <w:tcBorders>
              <w:bottom w:val="single" w:sz="8" w:color="E3E3E3"/>
            </w:tcBorders>
          </w:tcPr>
          <w:p>
            <w:pPr>
              <w:spacing w:after="0"/>
              <w:rPr>
                <w:sz w:val="19"/>
                <w:szCs w:val="19"/>
                <w:color w:val="auto"/>
              </w:rPr>
            </w:pPr>
          </w:p>
        </w:tc>
        <w:tc>
          <w:tcPr>
            <w:tcW w:w="60" w:type="dxa"/>
            <w:vAlign w:val="bottom"/>
            <w:tcBorders>
              <w:bottom w:val="single" w:sz="8" w:color="E3E3E3"/>
            </w:tcBorders>
          </w:tcPr>
          <w:p>
            <w:pPr>
              <w:spacing w:after="0"/>
              <w:rPr>
                <w:sz w:val="19"/>
                <w:szCs w:val="19"/>
                <w:color w:val="auto"/>
              </w:rPr>
            </w:pPr>
          </w:p>
        </w:tc>
      </w:tr>
      <w:tr>
        <w:trPr>
          <w:trHeight w:val="242"/>
        </w:trPr>
        <w:tc>
          <w:tcPr>
            <w:tcW w:w="6180" w:type="dxa"/>
            <w:vAlign w:val="bottom"/>
            <w:tcBorders>
              <w:bottom w:val="single" w:sz="8" w:color="E3E3E3"/>
            </w:tcBorders>
            <w:gridSpan w:val="2"/>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200" w:type="dxa"/>
            <w:vAlign w:val="bottom"/>
            <w:tcBorders>
              <w:bottom w:val="single" w:sz="8" w:color="auto"/>
            </w:tcBorders>
            <w:shd w:val="clear" w:color="auto" w:fill="E3E3E3"/>
          </w:tcPr>
          <w:p>
            <w:pPr>
              <w:jc w:val="right"/>
              <w:ind w:right="2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4,346,869</w:t>
            </w:r>
          </w:p>
        </w:tc>
        <w:tc>
          <w:tcPr>
            <w:tcW w:w="20" w:type="dxa"/>
            <w:vAlign w:val="bottom"/>
            <w:tcBorders>
              <w:bottom w:val="single" w:sz="8" w:color="E3E3E3"/>
            </w:tcBorders>
            <w:shd w:val="clear" w:color="auto" w:fill="E3E3E3"/>
          </w:tcPr>
          <w:p>
            <w:pPr>
              <w:spacing w:after="0"/>
              <w:rPr>
                <w:sz w:val="21"/>
                <w:szCs w:val="21"/>
                <w:color w:val="auto"/>
              </w:rPr>
            </w:pPr>
          </w:p>
        </w:tc>
        <w:tc>
          <w:tcPr>
            <w:tcW w:w="240" w:type="dxa"/>
            <w:vAlign w:val="bottom"/>
            <w:tcBorders>
              <w:bottom w:val="single" w:sz="8" w:color="E3E3E3"/>
            </w:tcBorders>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45,572</w:t>
            </w:r>
          </w:p>
        </w:tc>
        <w:tc>
          <w:tcPr>
            <w:tcW w:w="20" w:type="dxa"/>
            <w:vAlign w:val="bottom"/>
            <w:tcBorders>
              <w:bottom w:val="single" w:sz="8" w:color="E3E3E3"/>
            </w:tcBorders>
            <w:shd w:val="clear" w:color="auto" w:fill="E3E3E3"/>
          </w:tcPr>
          <w:p>
            <w:pPr>
              <w:spacing w:after="0"/>
              <w:rPr>
                <w:sz w:val="21"/>
                <w:szCs w:val="21"/>
                <w:color w:val="auto"/>
              </w:rPr>
            </w:pPr>
          </w:p>
        </w:tc>
        <w:tc>
          <w:tcPr>
            <w:tcW w:w="240" w:type="dxa"/>
            <w:vAlign w:val="bottom"/>
            <w:tcBorders>
              <w:bottom w:val="single" w:sz="8" w:color="E3E3E3"/>
            </w:tcBorders>
            <w:shd w:val="clear" w:color="auto" w:fill="E3E3E3"/>
          </w:tcPr>
          <w:p>
            <w:pPr>
              <w:spacing w:after="0"/>
              <w:rPr>
                <w:sz w:val="21"/>
                <w:szCs w:val="21"/>
                <w:color w:val="auto"/>
              </w:rPr>
            </w:pPr>
          </w:p>
        </w:tc>
        <w:tc>
          <w:tcPr>
            <w:tcW w:w="280" w:type="dxa"/>
            <w:vAlign w:val="bottom"/>
            <w:tcBorders>
              <w:bottom w:val="single" w:sz="8" w:color="auto"/>
            </w:tcBorders>
            <w:gridSpan w:val="2"/>
            <w:shd w:val="clear" w:color="auto" w:fill="E3E3E3"/>
          </w:tcPr>
          <w:p>
            <w:pPr>
              <w:jc w:val="right"/>
              <w:ind w:right="81"/>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2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4,392,441</w:t>
            </w:r>
          </w:p>
        </w:tc>
        <w:tc>
          <w:tcPr>
            <w:tcW w:w="20" w:type="dxa"/>
            <w:vAlign w:val="bottom"/>
            <w:tcBorders>
              <w:bottom w:val="single" w:sz="8" w:color="E3E3E3"/>
            </w:tcBorders>
            <w:shd w:val="clear" w:color="auto" w:fill="E3E3E3"/>
          </w:tcPr>
          <w:p>
            <w:pPr>
              <w:spacing w:after="0"/>
              <w:rPr>
                <w:sz w:val="21"/>
                <w:szCs w:val="21"/>
                <w:color w:val="auto"/>
              </w:rPr>
            </w:pPr>
          </w:p>
        </w:tc>
        <w:tc>
          <w:tcPr>
            <w:tcW w:w="60" w:type="dxa"/>
            <w:vAlign w:val="bottom"/>
            <w:tcBorders>
              <w:bottom w:val="single" w:sz="8" w:color="E3E3E3"/>
            </w:tcBorders>
            <w:shd w:val="clear" w:color="auto" w:fill="E3E3E3"/>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LOANS HELD FOR SALE</w:t>
      </w:r>
    </w:p>
    <w:p>
      <w:pPr>
        <w:spacing w:after="0" w:line="19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The Company's loans are generally classified as held for investment; however, once the Company decides to sell all or a portion of a loan, it is transferred from held for investment to held for sale and carried at the lower of amortized cost or fair value. There were no loans classified as held for sale as of December 31, 2025 and 2024. The table below presents activity of loans held for sale during the year ended December 31, 2024.</w:t>
      </w:r>
    </w:p>
    <w:p>
      <w:pPr>
        <w:sectPr>
          <w:pgSz w:w="12240" w:h="15840" w:orient="portrait"/>
          <w:cols w:equalWidth="0" w:num="1">
            <w:col w:w="10640"/>
          </w:cols>
          <w:pgMar w:left="800" w:top="1009"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640"/>
          </w:cols>
          <w:pgMar w:left="800" w:top="1009" w:right="800" w:bottom="266"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9"/>
              </w:rPr>
              <w:t>Original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left="81"/>
              <w:spacing w:after="0" w:line="228" w:lineRule="exact"/>
              <w:rPr>
                <w:sz w:val="20"/>
                <w:szCs w:val="20"/>
                <w:color w:val="auto"/>
              </w:rPr>
            </w:pPr>
            <w:r>
              <w:rPr>
                <w:rFonts w:ascii="Times New Roman" w:cs="Times New Roman" w:eastAsia="Times New Roman" w:hAnsi="Times New Roman"/>
                <w:sz w:val="20"/>
                <w:szCs w:val="20"/>
                <w:b w:val="1"/>
                <w:bCs w:val="1"/>
                <w:color w:val="auto"/>
              </w:rPr>
              <w:t>Issue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Unrealized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rPr>
              <w:t>Discount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Gains (Losses)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January 1, 2024</w:t>
            </w:r>
          </w:p>
        </w:tc>
        <w:tc>
          <w:tcPr>
            <w:tcW w:w="1100" w:type="dxa"/>
            <w:vAlign w:val="bottom"/>
            <w:tcBorders>
              <w:top w:val="single" w:sz="8" w:color="auto"/>
            </w:tcBorders>
          </w:tcPr>
          <w:p>
            <w:pPr>
              <w:jc w:val="right"/>
              <w:ind w:right="901"/>
              <w:spacing w:after="0"/>
              <w:rPr>
                <w:sz w:val="20"/>
                <w:szCs w:val="20"/>
                <w:color w:val="auto"/>
              </w:rPr>
            </w:pPr>
            <w:r>
              <w:rPr>
                <w:rFonts w:ascii="Times New Roman" w:cs="Times New Roman" w:eastAsia="Times New Roman" w:hAnsi="Times New Roman"/>
                <w:sz w:val="20"/>
                <w:szCs w:val="20"/>
                <w:color w:val="auto"/>
                <w:w w:val="7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E3E3E3"/>
          </w:tcPr>
          <w:p>
            <w:pPr>
              <w:ind w:left="200"/>
              <w:spacing w:after="0" w:line="222" w:lineRule="exact"/>
              <w:rPr>
                <w:sz w:val="20"/>
                <w:szCs w:val="20"/>
                <w:color w:val="auto"/>
              </w:rPr>
            </w:pPr>
            <w:r>
              <w:rPr>
                <w:rFonts w:ascii="Times New Roman" w:cs="Times New Roman" w:eastAsia="Times New Roman" w:hAnsi="Times New Roman"/>
                <w:sz w:val="20"/>
                <w:szCs w:val="20"/>
                <w:color w:val="auto"/>
              </w:rPr>
              <w:t>Transfer of loans held for investment to loans held for</w:t>
            </w:r>
          </w:p>
        </w:tc>
        <w:tc>
          <w:tcPr>
            <w:tcW w:w="1260" w:type="dxa"/>
            <w:vAlign w:val="bottom"/>
            <w:gridSpan w:val="2"/>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19,000,000</w:t>
            </w:r>
          </w:p>
        </w:tc>
        <w:tc>
          <w:tcPr>
            <w:tcW w:w="240" w:type="dxa"/>
            <w:vAlign w:val="bottom"/>
            <w:shd w:val="clear" w:color="auto" w:fill="E3E3E3"/>
          </w:tcPr>
          <w:p>
            <w:pPr>
              <w:spacing w:after="0"/>
              <w:rPr>
                <w:sz w:val="19"/>
                <w:szCs w:val="19"/>
                <w:color w:val="auto"/>
              </w:rPr>
            </w:pPr>
          </w:p>
        </w:tc>
        <w:tc>
          <w:tcPr>
            <w:tcW w:w="1100" w:type="dxa"/>
            <w:vAlign w:val="bottom"/>
            <w:shd w:val="clear" w:color="auto" w:fill="E3E3E3"/>
          </w:tcPr>
          <w:p>
            <w:pPr>
              <w:spacing w:after="0"/>
              <w:rPr>
                <w:sz w:val="19"/>
                <w:szCs w:val="19"/>
                <w:color w:val="auto"/>
              </w:rPr>
            </w:pPr>
          </w:p>
        </w:tc>
        <w:tc>
          <w:tcPr>
            <w:tcW w:w="18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14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120" w:type="dxa"/>
            <w:vAlign w:val="bottom"/>
            <w:vMerge w:val="restart"/>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19,000,000</w:t>
            </w:r>
          </w:p>
        </w:tc>
        <w:tc>
          <w:tcPr>
            <w:tcW w:w="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sale</w:t>
            </w:r>
          </w:p>
        </w:tc>
        <w:tc>
          <w:tcPr>
            <w:tcW w:w="1260" w:type="dxa"/>
            <w:vAlign w:val="bottom"/>
            <w:gridSpan w:val="2"/>
            <w:vMerge w:val="continue"/>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100" w:type="dxa"/>
            <w:vAlign w:val="bottom"/>
            <w:shd w:val="clear" w:color="auto" w:fill="E3E3E3"/>
          </w:tcPr>
          <w:p>
            <w:pPr>
              <w:spacing w:after="0"/>
              <w:rPr>
                <w:sz w:val="21"/>
                <w:szCs w:val="21"/>
                <w:color w:val="auto"/>
              </w:rPr>
            </w:pPr>
          </w:p>
        </w:tc>
        <w:tc>
          <w:tcPr>
            <w:tcW w:w="180" w:type="dxa"/>
            <w:vAlign w:val="bottom"/>
            <w:vMerge w:val="continue"/>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40" w:type="dxa"/>
            <w:vAlign w:val="bottom"/>
            <w:vMerge w:val="continue"/>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20" w:type="dxa"/>
            <w:vAlign w:val="bottom"/>
            <w:vMerge w:val="continue"/>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Sale of loan</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(19,000,000)</w:t>
            </w:r>
          </w:p>
        </w:tc>
        <w:tc>
          <w:tcPr>
            <w:tcW w:w="1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(19,000,000)</w:t>
            </w:r>
          </w:p>
        </w:tc>
        <w:tc>
          <w:tcPr>
            <w:tcW w:w="0" w:type="dxa"/>
            <w:vAlign w:val="bottom"/>
          </w:tcPr>
          <w:p>
            <w:pPr>
              <w:spacing w:after="0"/>
              <w:rPr>
                <w:sz w:val="1"/>
                <w:szCs w:val="1"/>
                <w:color w:val="auto"/>
              </w:rPr>
            </w:pPr>
          </w:p>
        </w:tc>
      </w:tr>
      <w:tr>
        <w:trPr>
          <w:trHeight w:val="236"/>
        </w:trPr>
        <w:tc>
          <w:tcPr>
            <w:tcW w:w="474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100" w:type="dxa"/>
            <w:vAlign w:val="bottom"/>
            <w:tcBorders>
              <w:top w:val="single" w:sz="8" w:color="auto"/>
              <w:bottom w:val="single" w:sz="8" w:color="auto"/>
            </w:tcBorders>
            <w:shd w:val="clear" w:color="auto" w:fill="E3E3E3"/>
          </w:tcPr>
          <w:p>
            <w:pPr>
              <w:jc w:val="right"/>
              <w:ind w:right="90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tcBorders>
              <w:top w:val="single" w:sz="8" w:color="E3E3E3"/>
            </w:tcBorders>
            <w:shd w:val="clear" w:color="auto" w:fill="E3E3E3"/>
          </w:tcPr>
          <w:p>
            <w:pPr>
              <w:spacing w:after="0"/>
              <w:rPr>
                <w:sz w:val="20"/>
                <w:szCs w:val="20"/>
                <w:color w:val="auto"/>
              </w:rPr>
            </w:pPr>
          </w:p>
        </w:tc>
        <w:tc>
          <w:tcPr>
            <w:tcW w:w="1100" w:type="dxa"/>
            <w:vAlign w:val="bottom"/>
            <w:tcBorders>
              <w:top w:val="single" w:sz="8" w:color="auto"/>
              <w:bottom w:val="single" w:sz="8" w:color="auto"/>
            </w:tcBorders>
            <w:shd w:val="clear" w:color="auto" w:fill="E3E3E3"/>
          </w:tcPr>
          <w:p>
            <w:pPr>
              <w:jc w:val="right"/>
              <w:ind w:right="90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auto"/>
              <w:bottom w:val="single" w:sz="8" w:color="auto"/>
            </w:tcBorders>
            <w:shd w:val="clear" w:color="auto" w:fill="E3E3E3"/>
          </w:tcPr>
          <w:p>
            <w:pPr>
              <w:spacing w:after="0"/>
              <w:rPr>
                <w:sz w:val="20"/>
                <w:szCs w:val="20"/>
                <w:color w:val="auto"/>
              </w:rPr>
            </w:pPr>
          </w:p>
        </w:tc>
        <w:tc>
          <w:tcPr>
            <w:tcW w:w="240" w:type="dxa"/>
            <w:vAlign w:val="bottom"/>
            <w:tcBorders>
              <w:top w:val="single" w:sz="8" w:color="E3E3E3"/>
            </w:tcBorders>
            <w:shd w:val="clear" w:color="auto" w:fill="E3E3E3"/>
          </w:tcPr>
          <w:p>
            <w:pPr>
              <w:spacing w:after="0"/>
              <w:rPr>
                <w:sz w:val="20"/>
                <w:szCs w:val="20"/>
                <w:color w:val="auto"/>
              </w:rPr>
            </w:pPr>
          </w:p>
        </w:tc>
        <w:tc>
          <w:tcPr>
            <w:tcW w:w="120" w:type="dxa"/>
            <w:vAlign w:val="bottom"/>
            <w:tcBorders>
              <w:top w:val="single" w:sz="8" w:color="auto"/>
              <w:bottom w:val="single" w:sz="8" w:color="auto"/>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auto"/>
              <w:bottom w:val="single" w:sz="8" w:color="auto"/>
            </w:tcBorders>
            <w:shd w:val="clear" w:color="auto" w:fill="E3E3E3"/>
          </w:tcPr>
          <w:p>
            <w:pPr>
              <w:spacing w:after="0"/>
              <w:rPr>
                <w:sz w:val="20"/>
                <w:szCs w:val="20"/>
                <w:color w:val="auto"/>
              </w:rPr>
            </w:pPr>
          </w:p>
        </w:tc>
        <w:tc>
          <w:tcPr>
            <w:tcW w:w="10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top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LOANS, AT FAIR VALUE</w:t>
      </w:r>
    </w:p>
    <w:p>
      <w:pPr>
        <w:spacing w:after="0" w:line="229"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As of December 31, 2024, the Company's portfolio included one loan held at fair value. The aggregate commitment under this loan was approximately $11.5 million and outstanding principal was $5.5 million as of December 31, 2024. As of December 31, 2024, there is $6.0 million of unfunded commitments related to the loan held at fair value. There were no loans held at fair value as of December 31, 2025.</w:t>
      </w:r>
    </w:p>
    <w:p>
      <w:pPr>
        <w:spacing w:after="0" w:line="183" w:lineRule="exact"/>
        <w:rPr>
          <w:sz w:val="20"/>
          <w:szCs w:val="20"/>
          <w:color w:val="auto"/>
        </w:rPr>
      </w:pPr>
    </w:p>
    <w:p>
      <w:pPr>
        <w:jc w:val="both"/>
        <w:ind w:firstLine="709"/>
        <w:spacing w:after="0" w:line="249" w:lineRule="auto"/>
        <w:rPr>
          <w:sz w:val="20"/>
          <w:szCs w:val="20"/>
          <w:color w:val="auto"/>
        </w:rPr>
      </w:pPr>
      <w:r>
        <w:rPr>
          <w:rFonts w:ascii="Times New Roman" w:cs="Times New Roman" w:eastAsia="Times New Roman" w:hAnsi="Times New Roman"/>
          <w:sz w:val="20"/>
          <w:szCs w:val="20"/>
          <w:color w:val="auto"/>
        </w:rPr>
        <w:t>The loan held at fair value as of December 31, 2024 was originated to a related party (Note 9), and is included within Loans, at fair value - related party on the consolidated balance sheets. The Company elected the fair value option for this asset due to other indebtedness of the borrower that is senior to our loan, uncertainty with respect to management's intent to hold to maturity or payoff given the related party nature of the investment.</w:t>
      </w:r>
    </w:p>
    <w:p>
      <w:pPr>
        <w:spacing w:after="0" w:line="183" w:lineRule="exact"/>
        <w:rPr>
          <w:sz w:val="20"/>
          <w:szCs w:val="20"/>
          <w:color w:val="auto"/>
        </w:rPr>
      </w:pPr>
    </w:p>
    <w:p>
      <w:pPr>
        <w:jc w:val="both"/>
        <w:ind w:firstLine="709"/>
        <w:spacing w:after="0" w:line="272" w:lineRule="auto"/>
        <w:rPr>
          <w:sz w:val="20"/>
          <w:szCs w:val="20"/>
          <w:color w:val="auto"/>
        </w:rPr>
      </w:pPr>
      <w:r>
        <w:rPr>
          <w:rFonts w:ascii="Times New Roman" w:cs="Times New Roman" w:eastAsia="Times New Roman" w:hAnsi="Times New Roman"/>
          <w:sz w:val="20"/>
          <w:szCs w:val="20"/>
          <w:color w:val="auto"/>
        </w:rPr>
        <w:t>The following table summarizes the Company's loan held at fair value as of December 31, 2024. There were no loans held at fair value as of December 31, 2025.</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Loan</w:t>
            </w:r>
          </w:p>
        </w:tc>
        <w:tc>
          <w:tcPr>
            <w:tcW w:w="2000" w:type="dxa"/>
            <w:vAlign w:val="bottom"/>
            <w:vMerge w:val="restart"/>
          </w:tcPr>
          <w:p>
            <w:pPr>
              <w:ind w:left="880"/>
              <w:spacing w:after="0"/>
              <w:rPr>
                <w:sz w:val="20"/>
                <w:szCs w:val="20"/>
                <w:color w:val="auto"/>
              </w:rPr>
            </w:pPr>
            <w:r>
              <w:rPr>
                <w:rFonts w:ascii="Times New Roman" w:cs="Times New Roman" w:eastAsia="Times New Roman" w:hAnsi="Times New Roman"/>
                <w:sz w:val="20"/>
                <w:szCs w:val="20"/>
                <w:b w:val="1"/>
                <w:bCs w:val="1"/>
                <w:color w:val="auto"/>
              </w:rPr>
              <w:t>Location(s)</w:t>
            </w:r>
          </w:p>
        </w:tc>
        <w:tc>
          <w:tcPr>
            <w:tcW w:w="1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Maturity Date</w:t>
            </w:r>
          </w:p>
        </w:tc>
        <w:tc>
          <w:tcPr>
            <w:tcW w:w="140" w:type="dxa"/>
            <w:vAlign w:val="bottom"/>
          </w:tcPr>
          <w:p>
            <w:pPr>
              <w:spacing w:after="0"/>
              <w:rPr>
                <w:sz w:val="19"/>
                <w:szCs w:val="19"/>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Principal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Amortized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Interest</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Periodic</w:t>
            </w:r>
          </w:p>
        </w:tc>
        <w:tc>
          <w:tcPr>
            <w:tcW w:w="0" w:type="dxa"/>
            <w:vAlign w:val="bottom"/>
          </w:tcPr>
          <w:p>
            <w:pPr>
              <w:spacing w:after="0"/>
              <w:rPr>
                <w:sz w:val="1"/>
                <w:szCs w:val="1"/>
                <w:color w:val="auto"/>
              </w:rPr>
            </w:pPr>
          </w:p>
        </w:tc>
      </w:tr>
      <w:tr>
        <w:trPr>
          <w:trHeight w:val="251"/>
        </w:trPr>
        <w:tc>
          <w:tcPr>
            <w:tcW w:w="1180" w:type="dxa"/>
            <w:vAlign w:val="bottom"/>
            <w:tcBorders>
              <w:bottom w:val="single" w:sz="8" w:color="auto"/>
            </w:tcBorders>
            <w:vMerge w:val="continue"/>
          </w:tcPr>
          <w:p>
            <w:pPr>
              <w:spacing w:after="0"/>
              <w:rPr>
                <w:sz w:val="21"/>
                <w:szCs w:val="21"/>
                <w:color w:val="auto"/>
              </w:rPr>
            </w:pPr>
          </w:p>
        </w:tc>
        <w:tc>
          <w:tcPr>
            <w:tcW w:w="200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gridSpan w:val="2"/>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20" w:type="dxa"/>
            <w:vAlign w:val="bottom"/>
            <w:tcBorders>
              <w:bottom w:val="single" w:sz="8" w:color="E3E3E3"/>
            </w:tcBorders>
          </w:tcPr>
          <w:p>
            <w:pPr>
              <w:spacing w:after="0"/>
              <w:rPr>
                <w:sz w:val="21"/>
                <w:szCs w:val="21"/>
                <w:color w:val="auto"/>
              </w:rPr>
            </w:pPr>
          </w:p>
        </w:tc>
        <w:tc>
          <w:tcPr>
            <w:tcW w:w="80" w:type="dxa"/>
            <w:vAlign w:val="bottom"/>
            <w:tcBorders>
              <w:bottom w:val="single" w:sz="8" w:color="E3E3E3"/>
            </w:tcBorders>
          </w:tcPr>
          <w:p>
            <w:pPr>
              <w:spacing w:after="0"/>
              <w:rPr>
                <w:sz w:val="21"/>
                <w:szCs w:val="21"/>
                <w:color w:val="auto"/>
              </w:rPr>
            </w:pPr>
          </w:p>
        </w:tc>
        <w:tc>
          <w:tcPr>
            <w:tcW w:w="1360" w:type="dxa"/>
            <w:vAlign w:val="bottom"/>
            <w:tcBorders>
              <w:bottom w:val="single" w:sz="8" w:color="auto"/>
            </w:tcBorders>
            <w:gridSpan w:val="2"/>
            <w:vMerge w:val="continue"/>
          </w:tcPr>
          <w:p>
            <w:pPr>
              <w:spacing w:after="0"/>
              <w:rPr>
                <w:sz w:val="21"/>
                <w:szCs w:val="21"/>
                <w:color w:val="auto"/>
              </w:rPr>
            </w:pPr>
          </w:p>
        </w:tc>
        <w:tc>
          <w:tcPr>
            <w:tcW w:w="20" w:type="dxa"/>
            <w:vAlign w:val="bottom"/>
            <w:tcBorders>
              <w:bottom w:val="single" w:sz="8" w:color="E3E3E3"/>
            </w:tcBorders>
          </w:tcPr>
          <w:p>
            <w:pPr>
              <w:spacing w:after="0"/>
              <w:rPr>
                <w:sz w:val="21"/>
                <w:szCs w:val="21"/>
                <w:color w:val="auto"/>
              </w:rPr>
            </w:pPr>
          </w:p>
        </w:tc>
        <w:tc>
          <w:tcPr>
            <w:tcW w:w="100" w:type="dxa"/>
            <w:vAlign w:val="bottom"/>
            <w:tcBorders>
              <w:bottom w:val="single" w:sz="8" w:color="E3E3E3"/>
            </w:tcBorders>
          </w:tcPr>
          <w:p>
            <w:pPr>
              <w:spacing w:after="0"/>
              <w:rPr>
                <w:sz w:val="21"/>
                <w:szCs w:val="21"/>
                <w:color w:val="auto"/>
              </w:rPr>
            </w:pPr>
          </w:p>
        </w:tc>
        <w:tc>
          <w:tcPr>
            <w:tcW w:w="10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E3E3E3"/>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Rate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Payment</w:t>
            </w:r>
          </w:p>
        </w:tc>
        <w:tc>
          <w:tcPr>
            <w:tcW w:w="0" w:type="dxa"/>
            <w:vAlign w:val="bottom"/>
          </w:tcPr>
          <w:p>
            <w:pPr>
              <w:spacing w:after="0"/>
              <w:rPr>
                <w:sz w:val="1"/>
                <w:szCs w:val="1"/>
                <w:color w:val="auto"/>
              </w:rPr>
            </w:pPr>
          </w:p>
        </w:tc>
      </w:tr>
      <w:tr>
        <w:trPr>
          <w:trHeight w:val="236"/>
        </w:trPr>
        <w:tc>
          <w:tcPr>
            <w:tcW w:w="11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39</w:t>
            </w:r>
          </w:p>
        </w:tc>
        <w:tc>
          <w:tcPr>
            <w:tcW w:w="2000" w:type="dxa"/>
            <w:vAlign w:val="bottom"/>
            <w:shd w:val="clear" w:color="auto" w:fill="E3E3E3"/>
          </w:tcPr>
          <w:p>
            <w:pPr>
              <w:ind w:left="760"/>
              <w:spacing w:after="0"/>
              <w:rPr>
                <w:sz w:val="20"/>
                <w:szCs w:val="20"/>
                <w:color w:val="auto"/>
              </w:rPr>
            </w:pPr>
            <w:r>
              <w:rPr>
                <w:rFonts w:ascii="Times New Roman" w:cs="Times New Roman" w:eastAsia="Times New Roman" w:hAnsi="Times New Roman"/>
                <w:sz w:val="20"/>
                <w:szCs w:val="20"/>
                <w:color w:val="auto"/>
              </w:rPr>
              <w:t>Minnesota</w:t>
            </w:r>
          </w:p>
        </w:tc>
        <w:tc>
          <w:tcPr>
            <w:tcW w:w="1640" w:type="dxa"/>
            <w:vAlign w:val="bottom"/>
            <w:shd w:val="clear" w:color="auto" w:fill="E3E3E3"/>
          </w:tcPr>
          <w:p>
            <w:pPr>
              <w:jc w:val="right"/>
              <w:ind w:right="341"/>
              <w:spacing w:after="0"/>
              <w:rPr>
                <w:sz w:val="20"/>
                <w:szCs w:val="20"/>
                <w:color w:val="auto"/>
              </w:rPr>
            </w:pPr>
            <w:r>
              <w:rPr>
                <w:rFonts w:ascii="Times New Roman" w:cs="Times New Roman" w:eastAsia="Times New Roman" w:hAnsi="Times New Roman"/>
                <w:sz w:val="20"/>
                <w:szCs w:val="20"/>
                <w:color w:val="auto"/>
              </w:rPr>
              <w:t>6/26/2026</w:t>
            </w:r>
          </w:p>
        </w:tc>
        <w:tc>
          <w:tcPr>
            <w:tcW w:w="2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5,500,000</w:t>
            </w: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5,500,000</w:t>
            </w: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5,335,000</w:t>
            </w:r>
          </w:p>
        </w:tc>
        <w:tc>
          <w:tcPr>
            <w:tcW w:w="100" w:type="dxa"/>
            <w:vAlign w:val="bottom"/>
            <w:shd w:val="clear" w:color="auto" w:fill="E3E3E3"/>
          </w:tcPr>
          <w:p>
            <w:pPr>
              <w:spacing w:after="0"/>
              <w:rPr>
                <w:sz w:val="20"/>
                <w:szCs w:val="20"/>
                <w:color w:val="auto"/>
              </w:rPr>
            </w:pPr>
          </w:p>
        </w:tc>
        <w:tc>
          <w:tcPr>
            <w:tcW w:w="10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7"/>
              </w:rPr>
              <w:t>10.5% Cash</w:t>
            </w:r>
          </w:p>
        </w:tc>
        <w:tc>
          <w:tcPr>
            <w:tcW w:w="84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7"/>
              </w:rPr>
              <w:t>I/O</w:t>
            </w: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6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auto"/>
                <w:w w:val="98"/>
              </w:rPr>
              <w:t>Subtotal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5,500,000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5,500,000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5,335,000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As of December 31, 2024, the loan held at fair value was current on all interest and principal payments due.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INTEREST RECEIVABLE</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As of December 31, 2025 and 2024, the Company had interest receivable of approximately $4.0 and $1.5 million.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following tables categorize the aging of interest receivable on past due loans (including non-accrual loans) by class as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15"/>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As of December 31, 2025</w:t>
            </w: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vMerge w:val="restart"/>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Current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center"/>
              <w:ind w:right="1"/>
              <w:spacing w:after="0" w:line="199" w:lineRule="exact"/>
              <w:rPr>
                <w:sz w:val="20"/>
                <w:szCs w:val="20"/>
                <w:color w:val="auto"/>
              </w:rPr>
            </w:pPr>
            <w:r>
              <w:rPr>
                <w:rFonts w:ascii="Times New Roman" w:cs="Times New Roman" w:eastAsia="Times New Roman" w:hAnsi="Times New Roman"/>
                <w:sz w:val="20"/>
                <w:szCs w:val="20"/>
                <w:b w:val="1"/>
                <w:bCs w:val="1"/>
                <w:color w:val="auto"/>
                <w:w w:val="98"/>
              </w:rPr>
              <w:t>31-60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center"/>
              <w:ind w:right="1"/>
              <w:spacing w:after="0" w:line="199" w:lineRule="exact"/>
              <w:rPr>
                <w:sz w:val="20"/>
                <w:szCs w:val="20"/>
                <w:color w:val="auto"/>
              </w:rPr>
            </w:pPr>
            <w:r>
              <w:rPr>
                <w:rFonts w:ascii="Times New Roman" w:cs="Times New Roman" w:eastAsia="Times New Roman" w:hAnsi="Times New Roman"/>
                <w:sz w:val="20"/>
                <w:szCs w:val="20"/>
                <w:b w:val="1"/>
                <w:bCs w:val="1"/>
                <w:color w:val="auto"/>
                <w:w w:val="98"/>
              </w:rPr>
              <w:t>61-90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01"/>
              <w:spacing w:after="0" w:line="199" w:lineRule="exact"/>
              <w:rPr>
                <w:sz w:val="20"/>
                <w:szCs w:val="20"/>
                <w:color w:val="auto"/>
              </w:rPr>
            </w:pPr>
            <w:r>
              <w:rPr>
                <w:rFonts w:ascii="Times New Roman" w:cs="Times New Roman" w:eastAsia="Times New Roman" w:hAnsi="Times New Roman"/>
                <w:sz w:val="20"/>
                <w:szCs w:val="20"/>
                <w:b w:val="1"/>
                <w:bCs w:val="1"/>
                <w:color w:val="auto"/>
                <w:w w:val="96"/>
              </w:rPr>
              <w:t>90+ Days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6"/>
              </w:rPr>
              <w:t>Total</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Non-</w:t>
            </w:r>
          </w:p>
        </w:tc>
        <w:tc>
          <w:tcPr>
            <w:tcW w:w="0" w:type="dxa"/>
            <w:vAlign w:val="bottom"/>
          </w:tcPr>
          <w:p>
            <w:pPr>
              <w:spacing w:after="0"/>
              <w:rPr>
                <w:sz w:val="1"/>
                <w:szCs w:val="1"/>
                <w:color w:val="auto"/>
              </w:rPr>
            </w:pPr>
          </w:p>
        </w:tc>
      </w:tr>
      <w:tr>
        <w:trPr>
          <w:trHeight w:val="227"/>
        </w:trPr>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center"/>
              <w:ind w:right="1"/>
              <w:spacing w:after="0" w:line="228" w:lineRule="exact"/>
              <w:rPr>
                <w:sz w:val="20"/>
                <w:szCs w:val="20"/>
                <w:color w:val="auto"/>
              </w:rPr>
            </w:pPr>
            <w:r>
              <w:rPr>
                <w:rFonts w:ascii="Times New Roman" w:cs="Times New Roman" w:eastAsia="Times New Roman" w:hAnsi="Times New Roman"/>
                <w:sz w:val="20"/>
                <w:szCs w:val="20"/>
                <w:b w:val="1"/>
                <w:bCs w:val="1"/>
                <w:color w:val="auto"/>
                <w:w w:val="99"/>
              </w:rPr>
              <w:t>Days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center"/>
              <w:ind w:right="1"/>
              <w:spacing w:after="0" w:line="228" w:lineRule="exact"/>
              <w:rPr>
                <w:sz w:val="20"/>
                <w:szCs w:val="20"/>
                <w:color w:val="auto"/>
              </w:rPr>
            </w:pPr>
            <w:r>
              <w:rPr>
                <w:rFonts w:ascii="Times New Roman" w:cs="Times New Roman" w:eastAsia="Times New Roman" w:hAnsi="Times New Roman"/>
                <w:sz w:val="20"/>
                <w:szCs w:val="20"/>
                <w:b w:val="1"/>
                <w:bCs w:val="1"/>
                <w:color w:val="auto"/>
                <w:w w:val="99"/>
              </w:rPr>
              <w:t>Days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101"/>
              <w:spacing w:after="0" w:line="228" w:lineRule="exact"/>
              <w:rPr>
                <w:sz w:val="20"/>
                <w:szCs w:val="20"/>
                <w:color w:val="auto"/>
              </w:rPr>
            </w:pPr>
            <w:r>
              <w:rPr>
                <w:rFonts w:ascii="Times New Roman" w:cs="Times New Roman" w:eastAsia="Times New Roman" w:hAnsi="Times New Roman"/>
                <w:sz w:val="20"/>
                <w:szCs w:val="20"/>
                <w:b w:val="1"/>
                <w:bCs w:val="1"/>
                <w:color w:val="auto"/>
                <w:w w:val="99"/>
              </w:rPr>
              <w:t>Past Due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7"/>
              </w:rPr>
              <w:t>Past Due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Past Due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(and accruing)</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Past Due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5"/>
              </w:rPr>
              <w:t>Loans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7"/>
              </w:rPr>
              <w:t>Accrual</w:t>
            </w:r>
          </w:p>
        </w:tc>
        <w:tc>
          <w:tcPr>
            <w:tcW w:w="0" w:type="dxa"/>
            <w:vAlign w:val="bottom"/>
          </w:tcPr>
          <w:p>
            <w:pPr>
              <w:spacing w:after="0"/>
              <w:rPr>
                <w:sz w:val="1"/>
                <w:szCs w:val="1"/>
                <w:color w:val="auto"/>
              </w:rPr>
            </w:pPr>
          </w:p>
        </w:tc>
      </w:tr>
      <w:tr>
        <w:trPr>
          <w:trHeight w:val="222"/>
        </w:trPr>
        <w:tc>
          <w:tcPr>
            <w:tcW w:w="2100" w:type="dxa"/>
            <w:vAlign w:val="bottom"/>
            <w:tcBorders>
              <w:top w:val="single" w:sz="8" w:color="E3E3E3"/>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color w:val="auto"/>
              </w:rPr>
              <w:t>Interest receivable</w:t>
            </w:r>
          </w:p>
        </w:tc>
        <w:tc>
          <w:tcPr>
            <w:tcW w:w="120" w:type="dxa"/>
            <w:vAlign w:val="bottom"/>
            <w:tcBorders>
              <w:top w:val="single" w:sz="8" w:color="auto"/>
            </w:tcBorders>
            <w:gridSpan w:val="4"/>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8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4,009,800</w:t>
            </w:r>
          </w:p>
        </w:tc>
        <w:tc>
          <w:tcPr>
            <w:tcW w:w="22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auto"/>
            </w:tcBorders>
            <w:gridSpan w:val="4"/>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auto"/>
            </w:tcBorders>
            <w:gridSpan w:val="4"/>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auto"/>
            </w:tcBorders>
            <w:gridSpan w:val="5"/>
            <w:shd w:val="clear" w:color="auto" w:fill="E3E3E3"/>
          </w:tcPr>
          <w:p>
            <w:pPr>
              <w:jc w:val="right"/>
              <w:ind w:right="1"/>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E3E3E3"/>
            </w:tcBorders>
            <w:shd w:val="clear" w:color="auto" w:fill="E3E3E3"/>
          </w:tcPr>
          <w:p>
            <w:pPr>
              <w:spacing w:after="0"/>
              <w:rPr>
                <w:sz w:val="19"/>
                <w:szCs w:val="19"/>
                <w:color w:val="auto"/>
              </w:rPr>
            </w:pPr>
          </w:p>
        </w:tc>
        <w:tc>
          <w:tcPr>
            <w:tcW w:w="120" w:type="dxa"/>
            <w:vAlign w:val="bottom"/>
            <w:tcBorders>
              <w:top w:val="single" w:sz="8" w:color="auto"/>
            </w:tcBorders>
            <w:gridSpan w:val="5"/>
            <w:shd w:val="clear" w:color="auto" w:fill="E3E3E3"/>
          </w:tcPr>
          <w:p>
            <w:pPr>
              <w:jc w:val="right"/>
              <w:ind w:right="2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auto"/>
            </w:tcBorders>
            <w:gridSpan w:val="4"/>
            <w:shd w:val="clear" w:color="auto" w:fill="E3E3E3"/>
          </w:tcPr>
          <w:p>
            <w:pPr>
              <w:jc w:val="right"/>
              <w:ind w:right="13"/>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84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4,009,800</w:t>
            </w:r>
          </w:p>
        </w:tc>
        <w:tc>
          <w:tcPr>
            <w:tcW w:w="220" w:type="dxa"/>
            <w:vAlign w:val="bottom"/>
            <w:tcBorders>
              <w:top w:val="single" w:sz="8" w:color="E3E3E3"/>
            </w:tcBorders>
            <w:shd w:val="clear" w:color="auto" w:fill="E3E3E3"/>
          </w:tcPr>
          <w:p>
            <w:pPr>
              <w:spacing w:after="0"/>
              <w:rPr>
                <w:sz w:val="19"/>
                <w:szCs w:val="19"/>
                <w:color w:val="auto"/>
              </w:rPr>
            </w:pPr>
          </w:p>
        </w:tc>
        <w:tc>
          <w:tcPr>
            <w:tcW w:w="120" w:type="dxa"/>
            <w:vAlign w:val="bottom"/>
            <w:tcBorders>
              <w:top w:val="single" w:sz="8" w:color="auto"/>
            </w:tcBorders>
            <w:gridSpan w:val="4"/>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E3E3E3"/>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00" w:type="dxa"/>
            <w:vAlign w:val="bottom"/>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Pr>
          <w:p>
            <w:pPr>
              <w:spacing w:after="0"/>
              <w:rPr>
                <w:sz w:val="19"/>
                <w:szCs w:val="19"/>
                <w:color w:val="auto"/>
              </w:rPr>
            </w:pPr>
          </w:p>
        </w:tc>
        <w:tc>
          <w:tcPr>
            <w:tcW w:w="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4,009,800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4,009,800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5"/>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As of December 31, 2024</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vMerge w:val="restart"/>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Current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center"/>
              <w:ind w:right="1"/>
              <w:spacing w:after="0" w:line="199" w:lineRule="exact"/>
              <w:rPr>
                <w:sz w:val="20"/>
                <w:szCs w:val="20"/>
                <w:color w:val="auto"/>
              </w:rPr>
            </w:pPr>
            <w:r>
              <w:rPr>
                <w:rFonts w:ascii="Times New Roman" w:cs="Times New Roman" w:eastAsia="Times New Roman" w:hAnsi="Times New Roman"/>
                <w:sz w:val="20"/>
                <w:szCs w:val="20"/>
                <w:b w:val="1"/>
                <w:bCs w:val="1"/>
                <w:color w:val="auto"/>
                <w:w w:val="98"/>
              </w:rPr>
              <w:t>31-60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center"/>
              <w:ind w:right="1"/>
              <w:spacing w:after="0" w:line="199" w:lineRule="exact"/>
              <w:rPr>
                <w:sz w:val="20"/>
                <w:szCs w:val="20"/>
                <w:color w:val="auto"/>
              </w:rPr>
            </w:pPr>
            <w:r>
              <w:rPr>
                <w:rFonts w:ascii="Times New Roman" w:cs="Times New Roman" w:eastAsia="Times New Roman" w:hAnsi="Times New Roman"/>
                <w:sz w:val="20"/>
                <w:szCs w:val="20"/>
                <w:b w:val="1"/>
                <w:bCs w:val="1"/>
                <w:color w:val="auto"/>
                <w:w w:val="98"/>
              </w:rPr>
              <w:t>61-90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01"/>
              <w:spacing w:after="0" w:line="199" w:lineRule="exact"/>
              <w:rPr>
                <w:sz w:val="20"/>
                <w:szCs w:val="20"/>
                <w:color w:val="auto"/>
              </w:rPr>
            </w:pPr>
            <w:r>
              <w:rPr>
                <w:rFonts w:ascii="Times New Roman" w:cs="Times New Roman" w:eastAsia="Times New Roman" w:hAnsi="Times New Roman"/>
                <w:sz w:val="20"/>
                <w:szCs w:val="20"/>
                <w:b w:val="1"/>
                <w:bCs w:val="1"/>
                <w:color w:val="auto"/>
                <w:w w:val="96"/>
              </w:rPr>
              <w:t>90+ Days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6"/>
              </w:rPr>
              <w:t>Total</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Non-</w:t>
            </w:r>
          </w:p>
        </w:tc>
        <w:tc>
          <w:tcPr>
            <w:tcW w:w="0" w:type="dxa"/>
            <w:vAlign w:val="bottom"/>
          </w:tcPr>
          <w:p>
            <w:pPr>
              <w:spacing w:after="0"/>
              <w:rPr>
                <w:sz w:val="1"/>
                <w:szCs w:val="1"/>
                <w:color w:val="auto"/>
              </w:rPr>
            </w:pPr>
          </w:p>
        </w:tc>
      </w:tr>
      <w:tr>
        <w:trPr>
          <w:trHeight w:val="227"/>
        </w:trPr>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center"/>
              <w:ind w:right="1"/>
              <w:spacing w:after="0" w:line="228" w:lineRule="exact"/>
              <w:rPr>
                <w:sz w:val="20"/>
                <w:szCs w:val="20"/>
                <w:color w:val="auto"/>
              </w:rPr>
            </w:pPr>
            <w:r>
              <w:rPr>
                <w:rFonts w:ascii="Times New Roman" w:cs="Times New Roman" w:eastAsia="Times New Roman" w:hAnsi="Times New Roman"/>
                <w:sz w:val="20"/>
                <w:szCs w:val="20"/>
                <w:b w:val="1"/>
                <w:bCs w:val="1"/>
                <w:color w:val="auto"/>
                <w:w w:val="99"/>
              </w:rPr>
              <w:t>Days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center"/>
              <w:ind w:right="1"/>
              <w:spacing w:after="0" w:line="228" w:lineRule="exact"/>
              <w:rPr>
                <w:sz w:val="20"/>
                <w:szCs w:val="20"/>
                <w:color w:val="auto"/>
              </w:rPr>
            </w:pPr>
            <w:r>
              <w:rPr>
                <w:rFonts w:ascii="Times New Roman" w:cs="Times New Roman" w:eastAsia="Times New Roman" w:hAnsi="Times New Roman"/>
                <w:sz w:val="20"/>
                <w:szCs w:val="20"/>
                <w:b w:val="1"/>
                <w:bCs w:val="1"/>
                <w:color w:val="auto"/>
                <w:w w:val="99"/>
              </w:rPr>
              <w:t>Days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101"/>
              <w:spacing w:after="0" w:line="228" w:lineRule="exact"/>
              <w:rPr>
                <w:sz w:val="20"/>
                <w:szCs w:val="20"/>
                <w:color w:val="auto"/>
              </w:rPr>
            </w:pPr>
            <w:r>
              <w:rPr>
                <w:rFonts w:ascii="Times New Roman" w:cs="Times New Roman" w:eastAsia="Times New Roman" w:hAnsi="Times New Roman"/>
                <w:sz w:val="20"/>
                <w:szCs w:val="20"/>
                <w:b w:val="1"/>
                <w:bCs w:val="1"/>
                <w:color w:val="auto"/>
                <w:w w:val="99"/>
              </w:rPr>
              <w:t>Past Due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7"/>
              </w:rPr>
              <w:t>Past Due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Past Due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(and accruing)</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Past Due</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5"/>
              </w:rPr>
              <w:t>Loans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7"/>
              </w:rPr>
              <w:t>Accrual</w:t>
            </w:r>
          </w:p>
        </w:tc>
        <w:tc>
          <w:tcPr>
            <w:tcW w:w="0" w:type="dxa"/>
            <w:vAlign w:val="bottom"/>
          </w:tcPr>
          <w:p>
            <w:pPr>
              <w:spacing w:after="0"/>
              <w:rPr>
                <w:sz w:val="1"/>
                <w:szCs w:val="1"/>
                <w:color w:val="auto"/>
              </w:rPr>
            </w:pPr>
          </w:p>
        </w:tc>
      </w:tr>
      <w:tr>
        <w:trPr>
          <w:trHeight w:val="222"/>
        </w:trPr>
        <w:tc>
          <w:tcPr>
            <w:tcW w:w="2100" w:type="dxa"/>
            <w:vAlign w:val="bottom"/>
            <w:tcBorders>
              <w:top w:val="single" w:sz="8" w:color="E3E3E3"/>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color w:val="auto"/>
              </w:rPr>
              <w:t>Interest receivable</w:t>
            </w:r>
          </w:p>
        </w:tc>
        <w:tc>
          <w:tcPr>
            <w:tcW w:w="20" w:type="dxa"/>
            <w:vAlign w:val="bottom"/>
            <w:tcBorders>
              <w:top w:val="single" w:sz="8" w:color="E3E3E3"/>
            </w:tcBorders>
            <w:shd w:val="clear" w:color="auto" w:fill="E3E3E3"/>
          </w:tcPr>
          <w:p>
            <w:pPr>
              <w:spacing w:after="0"/>
              <w:rPr>
                <w:sz w:val="19"/>
                <w:szCs w:val="19"/>
                <w:color w:val="auto"/>
              </w:rPr>
            </w:pPr>
          </w:p>
        </w:tc>
        <w:tc>
          <w:tcPr>
            <w:tcW w:w="20" w:type="dxa"/>
            <w:vAlign w:val="bottom"/>
            <w:tcBorders>
              <w:top w:val="single" w:sz="8" w:color="E3E3E3"/>
            </w:tcBorders>
            <w:shd w:val="clear" w:color="auto" w:fill="E3E3E3"/>
          </w:tcPr>
          <w:p>
            <w:pPr>
              <w:spacing w:after="0"/>
              <w:rPr>
                <w:sz w:val="19"/>
                <w:szCs w:val="19"/>
                <w:color w:val="auto"/>
              </w:rPr>
            </w:pPr>
          </w:p>
        </w:tc>
        <w:tc>
          <w:tcPr>
            <w:tcW w:w="8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3E3E3"/>
              </w:rPr>
              <w:t>$</w:t>
            </w:r>
          </w:p>
        </w:tc>
        <w:tc>
          <w:tcPr>
            <w:tcW w:w="8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1,388,058</w:t>
            </w:r>
          </w:p>
        </w:tc>
        <w:tc>
          <w:tcPr>
            <w:tcW w:w="220" w:type="dxa"/>
            <w:vAlign w:val="bottom"/>
            <w:tcBorders>
              <w:top w:val="single" w:sz="8" w:color="E3E3E3"/>
            </w:tcBorders>
            <w:shd w:val="clear" w:color="auto" w:fill="E3E3E3"/>
          </w:tcPr>
          <w:p>
            <w:pPr>
              <w:spacing w:after="0"/>
              <w:rPr>
                <w:sz w:val="19"/>
                <w:szCs w:val="19"/>
                <w:color w:val="auto"/>
              </w:rPr>
            </w:pPr>
          </w:p>
        </w:tc>
        <w:tc>
          <w:tcPr>
            <w:tcW w:w="40" w:type="dxa"/>
            <w:vAlign w:val="bottom"/>
            <w:tcBorders>
              <w:top w:val="single" w:sz="8" w:color="E3E3E3"/>
            </w:tcBorders>
            <w:gridSpan w:val="2"/>
            <w:shd w:val="clear" w:color="auto" w:fill="E3E3E3"/>
          </w:tcPr>
          <w:p>
            <w:pPr>
              <w:spacing w:after="0"/>
              <w:rPr>
                <w:sz w:val="19"/>
                <w:szCs w:val="19"/>
                <w:color w:val="auto"/>
              </w:rPr>
            </w:pPr>
          </w:p>
        </w:tc>
        <w:tc>
          <w:tcPr>
            <w:tcW w:w="6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E3E3E3"/>
              </w:rPr>
              <w:t>$</w:t>
            </w:r>
          </w:p>
        </w:tc>
        <w:tc>
          <w:tcPr>
            <w:tcW w:w="8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65,765</w:t>
            </w:r>
          </w:p>
        </w:tc>
        <w:tc>
          <w:tcPr>
            <w:tcW w:w="220" w:type="dxa"/>
            <w:vAlign w:val="bottom"/>
            <w:tcBorders>
              <w:top w:val="single" w:sz="8" w:color="E3E3E3"/>
            </w:tcBorders>
            <w:shd w:val="clear" w:color="auto" w:fill="E3E3E3"/>
          </w:tcPr>
          <w:p>
            <w:pPr>
              <w:spacing w:after="0"/>
              <w:rPr>
                <w:sz w:val="19"/>
                <w:szCs w:val="19"/>
                <w:color w:val="auto"/>
              </w:rPr>
            </w:pPr>
          </w:p>
        </w:tc>
        <w:tc>
          <w:tcPr>
            <w:tcW w:w="40" w:type="dxa"/>
            <w:vAlign w:val="bottom"/>
            <w:tcBorders>
              <w:top w:val="single" w:sz="8" w:color="E3E3E3"/>
            </w:tcBorders>
            <w:gridSpan w:val="2"/>
            <w:shd w:val="clear" w:color="auto" w:fill="E3E3E3"/>
          </w:tcPr>
          <w:p>
            <w:pPr>
              <w:spacing w:after="0"/>
              <w:rPr>
                <w:sz w:val="19"/>
                <w:szCs w:val="19"/>
                <w:color w:val="auto"/>
              </w:rPr>
            </w:pPr>
          </w:p>
        </w:tc>
        <w:tc>
          <w:tcPr>
            <w:tcW w:w="6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E3E3E3"/>
            </w:tcBorders>
            <w:shd w:val="clear" w:color="auto" w:fill="E3E3E3"/>
          </w:tcPr>
          <w:p>
            <w:pPr>
              <w:spacing w:after="0"/>
              <w:rPr>
                <w:sz w:val="19"/>
                <w:szCs w:val="19"/>
                <w:color w:val="auto"/>
              </w:rPr>
            </w:pPr>
          </w:p>
        </w:tc>
        <w:tc>
          <w:tcPr>
            <w:tcW w:w="40" w:type="dxa"/>
            <w:vAlign w:val="bottom"/>
            <w:tcBorders>
              <w:top w:val="single" w:sz="8" w:color="E3E3E3"/>
            </w:tcBorders>
            <w:gridSpan w:val="2"/>
            <w:shd w:val="clear" w:color="auto" w:fill="E3E3E3"/>
          </w:tcPr>
          <w:p>
            <w:pPr>
              <w:spacing w:after="0"/>
              <w:rPr>
                <w:sz w:val="19"/>
                <w:szCs w:val="19"/>
                <w:color w:val="auto"/>
              </w:rPr>
            </w:pPr>
          </w:p>
        </w:tc>
        <w:tc>
          <w:tcPr>
            <w:tcW w:w="160" w:type="dxa"/>
            <w:vAlign w:val="bottom"/>
            <w:tcBorders>
              <w:top w:val="single" w:sz="8" w:color="auto"/>
            </w:tcBorders>
            <w:gridSpan w:val="3"/>
            <w:shd w:val="clear" w:color="auto" w:fill="E3E3E3"/>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E3E3E3"/>
            </w:tcBorders>
            <w:shd w:val="clear" w:color="auto" w:fill="E3E3E3"/>
          </w:tcPr>
          <w:p>
            <w:pPr>
              <w:spacing w:after="0"/>
              <w:rPr>
                <w:sz w:val="19"/>
                <w:szCs w:val="19"/>
                <w:color w:val="auto"/>
              </w:rPr>
            </w:pPr>
          </w:p>
        </w:tc>
        <w:tc>
          <w:tcPr>
            <w:tcW w:w="40" w:type="dxa"/>
            <w:vAlign w:val="bottom"/>
            <w:tcBorders>
              <w:top w:val="single" w:sz="8" w:color="E3E3E3"/>
            </w:tcBorders>
            <w:gridSpan w:val="2"/>
            <w:shd w:val="clear" w:color="auto" w:fill="E3E3E3"/>
          </w:tcPr>
          <w:p>
            <w:pPr>
              <w:spacing w:after="0"/>
              <w:rPr>
                <w:sz w:val="19"/>
                <w:szCs w:val="19"/>
                <w:color w:val="auto"/>
              </w:rPr>
            </w:pPr>
          </w:p>
        </w:tc>
        <w:tc>
          <w:tcPr>
            <w:tcW w:w="80" w:type="dxa"/>
            <w:vAlign w:val="bottom"/>
            <w:tcBorders>
              <w:top w:val="single" w:sz="8" w:color="auto"/>
            </w:tcBorders>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11"/>
                <w:szCs w:val="11"/>
                <w:color w:val="auto"/>
                <w:w w:val="71"/>
                <w:shd w:val="clear" w:color="auto" w:fill="E3E3E3"/>
              </w:rPr>
              <w:t>$</w:t>
            </w:r>
          </w:p>
        </w:tc>
        <w:tc>
          <w:tcPr>
            <w:tcW w:w="8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65,765</w:t>
            </w:r>
          </w:p>
        </w:tc>
        <w:tc>
          <w:tcPr>
            <w:tcW w:w="220" w:type="dxa"/>
            <w:vAlign w:val="bottom"/>
            <w:tcBorders>
              <w:top w:val="single" w:sz="8" w:color="E3E3E3"/>
            </w:tcBorders>
            <w:shd w:val="clear" w:color="auto" w:fill="E3E3E3"/>
          </w:tcPr>
          <w:p>
            <w:pPr>
              <w:spacing w:after="0"/>
              <w:rPr>
                <w:sz w:val="19"/>
                <w:szCs w:val="19"/>
                <w:color w:val="auto"/>
              </w:rPr>
            </w:pPr>
          </w:p>
        </w:tc>
        <w:tc>
          <w:tcPr>
            <w:tcW w:w="40" w:type="dxa"/>
            <w:vAlign w:val="bottom"/>
            <w:tcBorders>
              <w:top w:val="single" w:sz="8" w:color="E3E3E3"/>
            </w:tcBorders>
            <w:gridSpan w:val="2"/>
            <w:shd w:val="clear" w:color="auto" w:fill="E3E3E3"/>
          </w:tcPr>
          <w:p>
            <w:pPr>
              <w:spacing w:after="0"/>
              <w:rPr>
                <w:sz w:val="19"/>
                <w:szCs w:val="19"/>
                <w:color w:val="auto"/>
              </w:rPr>
            </w:pPr>
          </w:p>
        </w:tc>
        <w:tc>
          <w:tcPr>
            <w:tcW w:w="100" w:type="dxa"/>
            <w:vAlign w:val="bottom"/>
            <w:tcBorders>
              <w:top w:val="single" w:sz="8" w:color="auto"/>
            </w:tcBorders>
            <w:gridSpan w:val="2"/>
            <w:shd w:val="clear" w:color="auto" w:fill="E3E3E3"/>
          </w:tcPr>
          <w:p>
            <w:pPr>
              <w:jc w:val="right"/>
              <w:ind w:right="13"/>
              <w:spacing w:after="0"/>
              <w:rPr>
                <w:sz w:val="20"/>
                <w:szCs w:val="20"/>
                <w:color w:val="auto"/>
              </w:rPr>
            </w:pPr>
            <w:r>
              <w:rPr>
                <w:rFonts w:ascii="Times New Roman" w:cs="Times New Roman" w:eastAsia="Times New Roman" w:hAnsi="Times New Roman"/>
                <w:sz w:val="11"/>
                <w:szCs w:val="11"/>
                <w:color w:val="auto"/>
                <w:w w:val="71"/>
                <w:shd w:val="clear" w:color="auto" w:fill="E3E3E3"/>
              </w:rPr>
              <w:t>$</w:t>
            </w:r>
          </w:p>
        </w:tc>
        <w:tc>
          <w:tcPr>
            <w:tcW w:w="84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1,453,823</w:t>
            </w:r>
          </w:p>
        </w:tc>
        <w:tc>
          <w:tcPr>
            <w:tcW w:w="220" w:type="dxa"/>
            <w:vAlign w:val="bottom"/>
            <w:tcBorders>
              <w:top w:val="single" w:sz="8" w:color="E3E3E3"/>
            </w:tcBorders>
            <w:shd w:val="clear" w:color="auto" w:fill="E3E3E3"/>
          </w:tcPr>
          <w:p>
            <w:pPr>
              <w:spacing w:after="0"/>
              <w:rPr>
                <w:sz w:val="19"/>
                <w:szCs w:val="19"/>
                <w:color w:val="auto"/>
              </w:rPr>
            </w:pPr>
          </w:p>
        </w:tc>
        <w:tc>
          <w:tcPr>
            <w:tcW w:w="40" w:type="dxa"/>
            <w:vAlign w:val="bottom"/>
            <w:tcBorders>
              <w:top w:val="single" w:sz="8" w:color="E3E3E3"/>
            </w:tcBorders>
            <w:gridSpan w:val="2"/>
            <w:shd w:val="clear" w:color="auto" w:fill="E3E3E3"/>
          </w:tcPr>
          <w:p>
            <w:pPr>
              <w:spacing w:after="0"/>
              <w:rPr>
                <w:sz w:val="19"/>
                <w:szCs w:val="19"/>
                <w:color w:val="auto"/>
              </w:rPr>
            </w:pPr>
          </w:p>
        </w:tc>
        <w:tc>
          <w:tcPr>
            <w:tcW w:w="8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E3E3E3"/>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00" w:type="dxa"/>
            <w:vAlign w:val="bottom"/>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6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1,388,058</w:t>
            </w:r>
          </w:p>
        </w:tc>
        <w:tc>
          <w:tcPr>
            <w:tcW w:w="2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8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65,765</w:t>
            </w:r>
          </w:p>
        </w:tc>
        <w:tc>
          <w:tcPr>
            <w:tcW w:w="2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8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140" w:type="dxa"/>
            <w:vAlign w:val="bottom"/>
            <w:tcBorders>
              <w:top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12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6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65,765</w:t>
            </w:r>
          </w:p>
        </w:tc>
        <w:tc>
          <w:tcPr>
            <w:tcW w:w="2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1,453,823</w:t>
            </w:r>
          </w:p>
        </w:tc>
        <w:tc>
          <w:tcPr>
            <w:tcW w:w="2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6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INTEREST RESERVE</w:t>
      </w:r>
    </w:p>
    <w:p>
      <w:pPr>
        <w:sectPr>
          <w:pgSz w:w="12240" w:h="15840" w:orient="portrait"/>
          <w:cols w:equalWidth="0" w:num="1">
            <w:col w:w="10640"/>
          </w:cols>
          <w:pgMar w:left="800" w:top="1016" w:right="800" w:bottom="266"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0640"/>
          </w:cols>
          <w:pgMar w:left="800" w:top="1016" w:right="800" w:bottom="266" w:gutter="0" w:footer="0" w:header="0"/>
          <w:type w:val="continuous"/>
        </w:sectPr>
      </w:pPr>
    </w:p>
    <w:bookmarkStart w:id="123" w:name="page124"/>
    <w:bookmarkEnd w:id="123"/>
    <w:p>
      <w:pPr>
        <w:ind w:right="500" w:firstLine="709"/>
        <w:spacing w:after="0" w:line="272" w:lineRule="auto"/>
        <w:rPr>
          <w:sz w:val="20"/>
          <w:szCs w:val="20"/>
          <w:color w:val="auto"/>
        </w:rPr>
      </w:pPr>
      <w:r>
        <w:rPr>
          <w:rFonts w:ascii="Times New Roman" w:cs="Times New Roman" w:eastAsia="Times New Roman" w:hAnsi="Times New Roman"/>
          <w:sz w:val="20"/>
          <w:szCs w:val="20"/>
          <w:color w:val="auto"/>
        </w:rPr>
        <w:t>As of December 31, 2025 and 2024, the Company had two loans and four loans that included a prepaid interest reserve, respectively.</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following table presents changes in interest reserves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760" w:type="dxa"/>
            <w:vAlign w:val="bottom"/>
          </w:tcPr>
          <w:p>
            <w:pPr>
              <w:spacing w:after="0"/>
              <w:rPr>
                <w:sz w:val="21"/>
                <w:szCs w:val="21"/>
                <w:color w:val="auto"/>
              </w:rPr>
            </w:pPr>
          </w:p>
        </w:tc>
        <w:tc>
          <w:tcPr>
            <w:tcW w:w="2040" w:type="dxa"/>
            <w:vAlign w:val="bottom"/>
            <w:gridSpan w:val="4"/>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22"/>
        </w:trPr>
        <w:tc>
          <w:tcPr>
            <w:tcW w:w="6760" w:type="dxa"/>
            <w:vAlign w:val="bottom"/>
            <w:tcBorders>
              <w:top w:val="single" w:sz="8" w:color="E3E3E3"/>
            </w:tcBorders>
            <w:shd w:val="clear" w:color="auto" w:fill="E3E3E3"/>
          </w:tcPr>
          <w:p>
            <w:pPr>
              <w:spacing w:after="0" w:line="222" w:lineRule="exact"/>
              <w:rPr>
                <w:sz w:val="20"/>
                <w:szCs w:val="20"/>
                <w:color w:val="auto"/>
              </w:rPr>
            </w:pPr>
            <w:r>
              <w:rPr>
                <w:rFonts w:ascii="Times New Roman" w:cs="Times New Roman" w:eastAsia="Times New Roman" w:hAnsi="Times New Roman"/>
                <w:sz w:val="20"/>
                <w:szCs w:val="20"/>
                <w:color w:val="auto"/>
              </w:rPr>
              <w:t>Beginning reserves</w:t>
            </w:r>
          </w:p>
        </w:tc>
        <w:tc>
          <w:tcPr>
            <w:tcW w:w="500" w:type="dxa"/>
            <w:vAlign w:val="bottom"/>
            <w:tcBorders>
              <w:top w:val="single" w:sz="8" w:color="auto"/>
            </w:tcBorders>
            <w:shd w:val="clear" w:color="auto" w:fill="E3E3E3"/>
          </w:tcPr>
          <w:p>
            <w:pPr>
              <w:jc w:val="right"/>
              <w:ind w:right="301"/>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1,297,878</w:t>
            </w:r>
          </w:p>
        </w:tc>
        <w:tc>
          <w:tcPr>
            <w:tcW w:w="20" w:type="dxa"/>
            <w:vAlign w:val="bottom"/>
            <w:tcBorders>
              <w:top w:val="single" w:sz="8" w:color="E3E3E3"/>
            </w:tcBorders>
            <w:shd w:val="clear" w:color="auto" w:fill="E3E3E3"/>
          </w:tcPr>
          <w:p>
            <w:pPr>
              <w:spacing w:after="0"/>
              <w:rPr>
                <w:sz w:val="19"/>
                <w:szCs w:val="19"/>
                <w:color w:val="auto"/>
              </w:rPr>
            </w:pPr>
          </w:p>
        </w:tc>
        <w:tc>
          <w:tcPr>
            <w:tcW w:w="260" w:type="dxa"/>
            <w:vAlign w:val="bottom"/>
            <w:tcBorders>
              <w:top w:val="single" w:sz="8" w:color="E3E3E3"/>
            </w:tcBorders>
            <w:shd w:val="clear" w:color="auto" w:fill="E3E3E3"/>
          </w:tcPr>
          <w:p>
            <w:pPr>
              <w:spacing w:after="0"/>
              <w:rPr>
                <w:sz w:val="19"/>
                <w:szCs w:val="19"/>
                <w:color w:val="auto"/>
              </w:rPr>
            </w:pPr>
          </w:p>
        </w:tc>
        <w:tc>
          <w:tcPr>
            <w:tcW w:w="500" w:type="dxa"/>
            <w:vAlign w:val="bottom"/>
            <w:tcBorders>
              <w:top w:val="single" w:sz="8" w:color="auto"/>
            </w:tcBorders>
            <w:shd w:val="clear" w:color="auto" w:fill="E3E3E3"/>
          </w:tcPr>
          <w:p>
            <w:pPr>
              <w:jc w:val="right"/>
              <w:ind w:right="301"/>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rPr>
              <w:t>1,074,889</w:t>
            </w:r>
          </w:p>
        </w:tc>
        <w:tc>
          <w:tcPr>
            <w:tcW w:w="80" w:type="dxa"/>
            <w:vAlign w:val="bottom"/>
            <w:tcBorders>
              <w:top w:val="single" w:sz="8" w:color="E3E3E3"/>
            </w:tcBorders>
            <w:shd w:val="clear" w:color="auto" w:fill="E3E3E3"/>
          </w:tcPr>
          <w:p>
            <w:pPr>
              <w:spacing w:after="0"/>
              <w:rPr>
                <w:sz w:val="19"/>
                <w:szCs w:val="19"/>
                <w:color w:val="auto"/>
              </w:rPr>
            </w:pPr>
          </w:p>
        </w:tc>
      </w:tr>
      <w:tr>
        <w:trPr>
          <w:trHeight w:val="227"/>
        </w:trPr>
        <w:tc>
          <w:tcPr>
            <w:tcW w:w="67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New reserves</w:t>
            </w:r>
          </w:p>
        </w:tc>
        <w:tc>
          <w:tcPr>
            <w:tcW w:w="500" w:type="dxa"/>
            <w:vAlign w:val="bottom"/>
          </w:tcPr>
          <w:p>
            <w:pPr>
              <w:spacing w:after="0"/>
              <w:rPr>
                <w:sz w:val="19"/>
                <w:szCs w:val="19"/>
                <w:color w:val="auto"/>
              </w:rPr>
            </w:pPr>
          </w:p>
        </w:tc>
        <w:tc>
          <w:tcPr>
            <w:tcW w:w="12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176,760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4,194,597</w:t>
            </w:r>
          </w:p>
        </w:tc>
        <w:tc>
          <w:tcPr>
            <w:tcW w:w="80" w:type="dxa"/>
            <w:vAlign w:val="bottom"/>
          </w:tcPr>
          <w:p>
            <w:pPr>
              <w:spacing w:after="0"/>
              <w:rPr>
                <w:sz w:val="19"/>
                <w:szCs w:val="19"/>
                <w:color w:val="auto"/>
              </w:rPr>
            </w:pPr>
          </w:p>
        </w:tc>
      </w:tr>
      <w:tr>
        <w:trPr>
          <w:trHeight w:val="227"/>
        </w:trPr>
        <w:tc>
          <w:tcPr>
            <w:tcW w:w="6760" w:type="dxa"/>
            <w:vAlign w:val="bottom"/>
            <w:shd w:val="clear" w:color="auto" w:fill="E3E3E3"/>
          </w:tcPr>
          <w:p>
            <w:pPr>
              <w:spacing w:after="0" w:line="228" w:lineRule="exact"/>
              <w:rPr>
                <w:sz w:val="20"/>
                <w:szCs w:val="20"/>
                <w:color w:val="auto"/>
              </w:rPr>
            </w:pPr>
            <w:r>
              <w:rPr>
                <w:rFonts w:ascii="Times New Roman" w:cs="Times New Roman" w:eastAsia="Times New Roman" w:hAnsi="Times New Roman"/>
                <w:sz w:val="20"/>
                <w:szCs w:val="20"/>
                <w:color w:val="auto"/>
              </w:rPr>
              <w:t>Reserves disbursed</w:t>
            </w:r>
          </w:p>
        </w:tc>
        <w:tc>
          <w:tcPr>
            <w:tcW w:w="500" w:type="dxa"/>
            <w:vAlign w:val="bottom"/>
            <w:shd w:val="clear" w:color="auto" w:fill="E3E3E3"/>
          </w:tcPr>
          <w:p>
            <w:pPr>
              <w:spacing w:after="0"/>
              <w:rPr>
                <w:sz w:val="19"/>
                <w:szCs w:val="19"/>
                <w:color w:val="auto"/>
              </w:rPr>
            </w:pPr>
          </w:p>
        </w:tc>
        <w:tc>
          <w:tcPr>
            <w:tcW w:w="1540" w:type="dxa"/>
            <w:vAlign w:val="bottom"/>
            <w:gridSpan w:val="3"/>
            <w:shd w:val="clear" w:color="auto" w:fill="E3E3E3"/>
          </w:tcPr>
          <w:p>
            <w:pPr>
              <w:jc w:val="right"/>
              <w:ind w:right="220"/>
              <w:spacing w:after="0" w:line="228" w:lineRule="exact"/>
              <w:rPr>
                <w:sz w:val="20"/>
                <w:szCs w:val="20"/>
                <w:color w:val="auto"/>
              </w:rPr>
            </w:pPr>
            <w:r>
              <w:rPr>
                <w:rFonts w:ascii="Times New Roman" w:cs="Times New Roman" w:eastAsia="Times New Roman" w:hAnsi="Times New Roman"/>
                <w:sz w:val="20"/>
                <w:szCs w:val="20"/>
                <w:color w:val="auto"/>
              </w:rPr>
              <w:t>(1,461,952)</w:t>
            </w:r>
          </w:p>
        </w:tc>
        <w:tc>
          <w:tcPr>
            <w:tcW w:w="500" w:type="dxa"/>
            <w:vAlign w:val="bottom"/>
            <w:shd w:val="clear" w:color="auto" w:fill="E3E3E3"/>
          </w:tcPr>
          <w:p>
            <w:pPr>
              <w:spacing w:after="0"/>
              <w:rPr>
                <w:sz w:val="19"/>
                <w:szCs w:val="19"/>
                <w:color w:val="auto"/>
              </w:rPr>
            </w:pPr>
          </w:p>
        </w:tc>
        <w:tc>
          <w:tcPr>
            <w:tcW w:w="1340" w:type="dxa"/>
            <w:vAlign w:val="bottom"/>
            <w:gridSpan w:val="2"/>
            <w:shd w:val="clear" w:color="auto" w:fill="E3E3E3"/>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(3,971,608)</w:t>
            </w:r>
          </w:p>
        </w:tc>
      </w:tr>
      <w:tr>
        <w:trPr>
          <w:trHeight w:val="222"/>
        </w:trPr>
        <w:tc>
          <w:tcPr>
            <w:tcW w:w="6760" w:type="dxa"/>
            <w:vAlign w:val="bottom"/>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Ending reserve</w:t>
            </w:r>
          </w:p>
        </w:tc>
        <w:tc>
          <w:tcPr>
            <w:tcW w:w="500" w:type="dxa"/>
            <w:vAlign w:val="bottom"/>
            <w:tcBorders>
              <w:top w:val="single" w:sz="8" w:color="auto"/>
              <w:bottom w:val="single" w:sz="8" w:color="auto"/>
            </w:tcBorders>
          </w:tcPr>
          <w:p>
            <w:pPr>
              <w:jc w:val="right"/>
              <w:ind w:right="301"/>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26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12,686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01"/>
              <w:spacing w:after="0" w:line="222"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26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b w:val="1"/>
                <w:bCs w:val="1"/>
                <w:color w:val="auto"/>
              </w:rPr>
              <w:t>1,297,878</w:t>
            </w: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DEBT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Loan</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In May 2021, in connection with the Company’s acquisition of its wholly-owned financing subsidiary, CAL, the Company was assigned a secured revolving credit facility (the “Revolving Loan”). As of December 31, 2023, the Revolving Loan had an interest rate equal to the greater of (1) the Prime Rate plus the applicable margin and (2) 3.25%. The applicable margin is derived from a floating rate grid based upon the ratio of debt to equity of CAL and increases from 0% at a ratio of 0.25 to 1 to 1.25% at a ratio of 1.5 to 1. The Revolving Loan had an aggregate commitment of $ 100.0 million, and a maturity date of the earlier of (i) December 16, 2024 and (ii) the date on which the Revolving Loan is terminated pursuant to the terms of the Revolving Loan agreement.</w:t>
      </w:r>
    </w:p>
    <w:p>
      <w:pPr>
        <w:spacing w:after="0" w:line="159"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spacing w:after="0" w:line="159"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On June 26, 2024, CAL entered into the First Amendment to the Fifth Amendment and Restatement. The amendment increased the current loan commitment from $100.0 million to $105.0 million. No other material terms were modified as a result of the execution of this amendment.</w:t>
      </w:r>
    </w:p>
    <w:p>
      <w:pPr>
        <w:spacing w:after="0" w:line="147"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On September 30, 2024, CAL entered into the Sixth Amended and Restated Loan and Security Agreement (the "Sixth Amendment"). The Sixth Amendment increased the current loan commitment from $105.0 million to $110.0 million. No other material terms were modified as a result of the execution of this amendment.</w:t>
      </w:r>
    </w:p>
    <w:p>
      <w:pPr>
        <w:spacing w:after="0" w:line="147"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On August 5, 2025, CAL entered into the First Amendment to the Sixth Amended and Restated Loan and Security Agreement (the "August 2025 Amendment"). The August 2025 Amendment extended the contractual maturity date from June 30, 2026 to June 30, 2028. No other material terms were modified as a result of the execution of this amendment, and the Company incurred approximately $0.1 million in financing costs relating thereto.</w:t>
      </w:r>
    </w:p>
    <w:p>
      <w:pPr>
        <w:spacing w:after="0" w:line="15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As of December 31, 2025, the Revolving Loan has aggregate commitments of $110.0 million, which may be increased to $150.0 million pursuant to its accordion feature, and has a maturity date of June 30, 2028. The Revolving Loan bears interest, payable in cash in arrears, at a per annum rate equal to the greater of (1) the Prime Rate plus the applicable margin and (2) 3.25%. The applicable margin is derived from a floating rate grid based upon the ratio of debt to equity of CAL and increases from 0% at a ratio of 0.25 to 1 to 1.25% at a ratio of 1.5 to 1. The base interest rate in effect as of December 31, 2025 is 6.75%.</w:t>
      </w:r>
    </w:p>
    <w:p>
      <w:pPr>
        <w:spacing w:after="0" w:line="156"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December 31, 2025, the Company is in compliance with all financial covenants with respect to the Revolving Loan.</w:t>
      </w:r>
    </w:p>
    <w:p>
      <w:pPr>
        <w:spacing w:after="0" w:line="156"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As of December 31, 2025 and 2024, unamortized debt issuance costs related to the Revolving Loan, including all amendments and amendments and restatements thereto, as applicable, of $246,620 and $305,075 respectively, are recorded in other receivables and assets, net on the consolidated balance sheets.</w:t>
      </w:r>
    </w:p>
    <w:p>
      <w:pPr>
        <w:spacing w:after="0" w:line="147"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As of December 31, 2025, the Company had $60.9 million available under the Revolving Loan. Additionally, as of December 31, 2025, $122.6 million of loan principal is pledged as collateral in the borrowing base of the Revolving Loan.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F-24</w:t>
      </w:r>
    </w:p>
    <w:p>
      <w:pPr>
        <w:sectPr>
          <w:pgSz w:w="12240" w:h="15840" w:orient="portrait"/>
          <w:cols w:equalWidth="0" w:num="1">
            <w:col w:w="10640"/>
          </w:cols>
          <w:pgMar w:left="800" w:top="1009" w:right="800" w:bottom="254"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i w:val="1"/>
          <w:iCs w:val="1"/>
          <w:color w:val="auto"/>
        </w:rPr>
        <w:t>Notes Payable</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w:t>
      </w:r>
    </w:p>
    <w:p>
      <w:pPr>
        <w:spacing w:after="0" w:line="159"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the Unsecured Notes, which were capitalized and offset against the outstanding face value of the Unsecured Notes within the line item Notes Payable, net on the consolidated balance sheets. As of December 31, 2025 and 2024, the unamortized debt issuance costs associated with the Notes Payable were $665,541 and $903,750, respectively.</w:t>
      </w:r>
    </w:p>
    <w:p>
      <w:pPr>
        <w:spacing w:after="0" w:line="156"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an investment-grade credit rating. As of December 31, 2025, the Company is in compliance with all financial covenants with respect to the Unsecured Notes.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the mandatory scheduled principal payments on the Unsecured Notes:</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51"/>
        </w:trPr>
        <w:tc>
          <w:tcPr>
            <w:tcW w:w="5340" w:type="dxa"/>
            <w:vAlign w:val="bottom"/>
          </w:tcPr>
          <w:p>
            <w:pPr>
              <w:ind w:left="2460"/>
              <w:spacing w:after="0"/>
              <w:rPr>
                <w:sz w:val="20"/>
                <w:szCs w:val="20"/>
                <w:color w:val="auto"/>
              </w:rPr>
            </w:pPr>
            <w:r>
              <w:rPr>
                <w:rFonts w:ascii="Times New Roman" w:cs="Times New Roman" w:eastAsia="Times New Roman" w:hAnsi="Times New Roman"/>
                <w:sz w:val="20"/>
                <w:szCs w:val="20"/>
                <w:b w:val="1"/>
                <w:bCs w:val="1"/>
                <w:color w:val="auto"/>
              </w:rPr>
              <w:t>Year</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Notes Payable</w:t>
            </w:r>
          </w:p>
        </w:tc>
      </w:tr>
      <w:tr>
        <w:trPr>
          <w:trHeight w:val="236"/>
        </w:trPr>
        <w:tc>
          <w:tcPr>
            <w:tcW w:w="5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3E3E3"/>
          </w:tcPr>
          <w:p>
            <w:pPr>
              <w:spacing w:after="0"/>
              <w:rPr>
                <w:sz w:val="20"/>
                <w:szCs w:val="20"/>
                <w:color w:val="auto"/>
              </w:rPr>
            </w:pPr>
          </w:p>
        </w:tc>
        <w:tc>
          <w:tcPr>
            <w:tcW w:w="60" w:type="dxa"/>
            <w:vAlign w:val="bottom"/>
            <w:shd w:val="clear" w:color="auto" w:fill="E3E3E3"/>
          </w:tcPr>
          <w:p>
            <w:pPr>
              <w:spacing w:after="0"/>
              <w:rPr>
                <w:sz w:val="20"/>
                <w:szCs w:val="20"/>
                <w:color w:val="auto"/>
              </w:rPr>
            </w:pPr>
          </w:p>
        </w:tc>
      </w:tr>
      <w:tr>
        <w:trPr>
          <w:trHeight w:val="241"/>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shd w:val="clear" w:color="auto" w:fill="E3E3E3"/>
          </w:tcPr>
          <w:p>
            <w:pPr>
              <w:spacing w:after="0"/>
              <w:rPr>
                <w:sz w:val="20"/>
                <w:szCs w:val="20"/>
                <w:color w:val="auto"/>
              </w:rPr>
            </w:pPr>
          </w:p>
        </w:tc>
        <w:tc>
          <w:tcPr>
            <w:tcW w:w="220" w:type="dxa"/>
            <w:vAlign w:val="bottom"/>
            <w:tcBorders>
              <w:bottom w:val="single" w:sz="8" w:color="auto"/>
            </w:tcBorders>
            <w:shd w:val="clear" w:color="auto" w:fill="E3E3E3"/>
          </w:tcPr>
          <w:p>
            <w:pPr>
              <w:spacing w:after="0"/>
              <w:rPr>
                <w:sz w:val="20"/>
                <w:szCs w:val="20"/>
                <w:color w:val="auto"/>
              </w:rPr>
            </w:pPr>
          </w:p>
        </w:tc>
        <w:tc>
          <w:tcPr>
            <w:tcW w:w="17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50,000,000</w:t>
            </w:r>
          </w:p>
        </w:tc>
        <w:tc>
          <w:tcPr>
            <w:tcW w:w="20" w:type="dxa"/>
            <w:vAlign w:val="bottom"/>
            <w:shd w:val="clear" w:color="auto" w:fill="E3E3E3"/>
          </w:tcPr>
          <w:p>
            <w:pPr>
              <w:spacing w:after="0"/>
              <w:rPr>
                <w:sz w:val="20"/>
                <w:szCs w:val="20"/>
                <w:color w:val="auto"/>
              </w:rPr>
            </w:pPr>
          </w:p>
        </w:tc>
        <w:tc>
          <w:tcPr>
            <w:tcW w:w="60" w:type="dxa"/>
            <w:vAlign w:val="bottom"/>
            <w:shd w:val="clear" w:color="auto" w:fill="E3E3E3"/>
          </w:tcPr>
          <w:p>
            <w:pPr>
              <w:spacing w:after="0"/>
              <w:rPr>
                <w:sz w:val="20"/>
                <w:szCs w:val="20"/>
                <w:color w:val="auto"/>
              </w:rPr>
            </w:pPr>
          </w:p>
        </w:tc>
      </w:tr>
      <w:tr>
        <w:trPr>
          <w:trHeight w:val="236"/>
        </w:trPr>
        <w:tc>
          <w:tcPr>
            <w:tcW w:w="5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principal</w:t>
            </w:r>
          </w:p>
        </w:tc>
        <w:tc>
          <w:tcPr>
            <w:tcW w:w="2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5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Deferred debt issuance costs included in notes payable</w:t>
            </w:r>
          </w:p>
        </w:tc>
        <w:tc>
          <w:tcPr>
            <w:tcW w:w="20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800" w:type="dxa"/>
            <w:vAlign w:val="bottom"/>
            <w:gridSpan w:val="3"/>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(665,541)</w:t>
            </w:r>
          </w:p>
        </w:tc>
      </w:tr>
      <w:tr>
        <w:trPr>
          <w:trHeight w:val="236"/>
        </w:trPr>
        <w:tc>
          <w:tcPr>
            <w:tcW w:w="5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notes payable, net</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49,334,459</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reflects a summary of interest expense incurred during the years ended December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920" w:type="dxa"/>
            <w:vAlign w:val="bottom"/>
            <w:tcBorders>
              <w:bottom w:val="single" w:sz="8" w:color="auto"/>
            </w:tcBorders>
            <w:gridSpan w:val="15"/>
          </w:tcPr>
          <w:p>
            <w:pPr>
              <w:jc w:val="right"/>
              <w:ind w:right="1361"/>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tc>
        <w:tc>
          <w:tcPr>
            <w:tcW w:w="60" w:type="dxa"/>
            <w:vAlign w:val="bottom"/>
          </w:tcPr>
          <w:p>
            <w:pPr>
              <w:spacing w:after="0"/>
              <w:rPr>
                <w:sz w:val="21"/>
                <w:szCs w:val="21"/>
                <w:color w:val="auto"/>
              </w:rPr>
            </w:pPr>
          </w:p>
        </w:tc>
      </w:tr>
      <w:tr>
        <w:trPr>
          <w:trHeight w:val="236"/>
        </w:trPr>
        <w:tc>
          <w:tcPr>
            <w:tcW w:w="446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Notes Payable</w:t>
            </w:r>
          </w:p>
        </w:tc>
        <w:tc>
          <w:tcPr>
            <w:tcW w:w="2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32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Revolving Loan</w:t>
            </w:r>
          </w:p>
        </w:tc>
        <w:tc>
          <w:tcPr>
            <w:tcW w:w="2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30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8"/>
              </w:rPr>
              <w:t>Total Borrowings</w:t>
            </w:r>
          </w:p>
        </w:tc>
        <w:tc>
          <w:tcPr>
            <w:tcW w:w="60" w:type="dxa"/>
            <w:vAlign w:val="bottom"/>
            <w:tcBorders>
              <w:bottom w:val="single" w:sz="8" w:color="E3E3E3"/>
            </w:tcBorders>
          </w:tcPr>
          <w:p>
            <w:pPr>
              <w:spacing w:after="0"/>
              <w:rPr>
                <w:sz w:val="20"/>
                <w:szCs w:val="20"/>
                <w:color w:val="auto"/>
              </w:rPr>
            </w:pPr>
          </w:p>
        </w:tc>
      </w:tr>
      <w:tr>
        <w:trPr>
          <w:trHeight w:val="236"/>
        </w:trPr>
        <w:tc>
          <w:tcPr>
            <w:tcW w:w="44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shd w:val="clear" w:color="auto" w:fill="E3E3E3"/>
          </w:tcPr>
          <w:p>
            <w:pPr>
              <w:spacing w:after="0"/>
              <w:rPr>
                <w:sz w:val="20"/>
                <w:szCs w:val="20"/>
                <w:color w:val="auto"/>
              </w:rPr>
            </w:pPr>
          </w:p>
        </w:tc>
        <w:tc>
          <w:tcPr>
            <w:tcW w:w="180" w:type="dxa"/>
            <w:vAlign w:val="bottom"/>
            <w:gridSpan w:val="2"/>
            <w:shd w:val="clear" w:color="auto" w:fill="E3E3E3"/>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4,512,329</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3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60" w:type="dxa"/>
            <w:vAlign w:val="bottom"/>
            <w:gridSpan w:val="2"/>
            <w:shd w:val="clear" w:color="auto" w:fill="E3E3E3"/>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2,430,976</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6,943,305</w:t>
            </w:r>
          </w:p>
        </w:tc>
        <w:tc>
          <w:tcPr>
            <w:tcW w:w="60" w:type="dxa"/>
            <w:vAlign w:val="bottom"/>
            <w:shd w:val="clear" w:color="auto" w:fill="E3E3E3"/>
          </w:tcPr>
          <w:p>
            <w:pPr>
              <w:spacing w:after="0"/>
              <w:rPr>
                <w:sz w:val="20"/>
                <w:szCs w:val="20"/>
                <w:color w:val="auto"/>
              </w:rPr>
            </w:pPr>
          </w:p>
        </w:tc>
      </w:tr>
      <w:tr>
        <w:trPr>
          <w:trHeight w:val="241"/>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Unused fee expense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195,673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195,673</w:t>
            </w:r>
          </w:p>
        </w:tc>
        <w:tc>
          <w:tcPr>
            <w:tcW w:w="60" w:type="dxa"/>
            <w:vAlign w:val="bottom"/>
          </w:tcPr>
          <w:p>
            <w:pPr>
              <w:spacing w:after="0"/>
              <w:rPr>
                <w:sz w:val="20"/>
                <w:szCs w:val="20"/>
                <w:color w:val="auto"/>
              </w:rPr>
            </w:pPr>
          </w:p>
        </w:tc>
      </w:tr>
      <w:tr>
        <w:trPr>
          <w:trHeight w:val="241"/>
        </w:trPr>
        <w:tc>
          <w:tcPr>
            <w:tcW w:w="448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Amortization of debt issuance costs</w:t>
            </w:r>
          </w:p>
        </w:tc>
        <w:tc>
          <w:tcPr>
            <w:tcW w:w="20" w:type="dxa"/>
            <w:vAlign w:val="bottom"/>
            <w:tcBorders>
              <w:bottom w:val="single" w:sz="8" w:color="auto"/>
            </w:tcBorders>
            <w:shd w:val="clear" w:color="auto" w:fill="E3E3E3"/>
          </w:tcPr>
          <w:p>
            <w:pPr>
              <w:spacing w:after="0"/>
              <w:rPr>
                <w:sz w:val="20"/>
                <w:szCs w:val="20"/>
                <w:color w:val="auto"/>
              </w:rPr>
            </w:pPr>
          </w:p>
        </w:tc>
        <w:tc>
          <w:tcPr>
            <w:tcW w:w="160" w:type="dxa"/>
            <w:vAlign w:val="bottom"/>
            <w:tcBorders>
              <w:bottom w:val="single" w:sz="8" w:color="auto"/>
            </w:tcBorders>
            <w:shd w:val="clear" w:color="auto" w:fill="E3E3E3"/>
          </w:tcPr>
          <w:p>
            <w:pPr>
              <w:spacing w:after="0"/>
              <w:rPr>
                <w:sz w:val="20"/>
                <w:szCs w:val="20"/>
                <w:color w:val="auto"/>
              </w:rPr>
            </w:pPr>
          </w:p>
        </w:tc>
        <w:tc>
          <w:tcPr>
            <w:tcW w:w="1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238,209</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3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tcBorders>
              <w:bottom w:val="single" w:sz="8" w:color="auto"/>
            </w:tcBorders>
            <w:shd w:val="clear" w:color="auto" w:fill="E3E3E3"/>
          </w:tcPr>
          <w:p>
            <w:pPr>
              <w:spacing w:after="0"/>
              <w:rPr>
                <w:sz w:val="20"/>
                <w:szCs w:val="20"/>
                <w:color w:val="auto"/>
              </w:rPr>
            </w:pPr>
          </w:p>
        </w:tc>
        <w:tc>
          <w:tcPr>
            <w:tcW w:w="140" w:type="dxa"/>
            <w:vAlign w:val="bottom"/>
            <w:tcBorders>
              <w:bottom w:val="single" w:sz="8" w:color="auto"/>
            </w:tcBorders>
            <w:shd w:val="clear" w:color="auto" w:fill="E3E3E3"/>
          </w:tcPr>
          <w:p>
            <w:pPr>
              <w:spacing w:after="0"/>
              <w:rPr>
                <w:sz w:val="20"/>
                <w:szCs w:val="20"/>
                <w:color w:val="auto"/>
              </w:rPr>
            </w:pPr>
          </w:p>
        </w:tc>
        <w:tc>
          <w:tcPr>
            <w:tcW w:w="1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168,454</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 w:type="dxa"/>
            <w:vAlign w:val="bottom"/>
            <w:tcBorders>
              <w:bottom w:val="single" w:sz="8" w:color="auto"/>
            </w:tcBorders>
            <w:shd w:val="clear" w:color="auto" w:fill="E3E3E3"/>
          </w:tcPr>
          <w:p>
            <w:pPr>
              <w:spacing w:after="0"/>
              <w:rPr>
                <w:sz w:val="20"/>
                <w:szCs w:val="20"/>
                <w:color w:val="auto"/>
              </w:rPr>
            </w:pPr>
          </w:p>
        </w:tc>
        <w:tc>
          <w:tcPr>
            <w:tcW w:w="60" w:type="dxa"/>
            <w:vAlign w:val="bottom"/>
            <w:tcBorders>
              <w:bottom w:val="single" w:sz="8" w:color="auto"/>
            </w:tcBorders>
            <w:shd w:val="clear" w:color="auto" w:fill="E3E3E3"/>
          </w:tcPr>
          <w:p>
            <w:pPr>
              <w:spacing w:after="0"/>
              <w:rPr>
                <w:sz w:val="20"/>
                <w:szCs w:val="20"/>
                <w:color w:val="auto"/>
              </w:rPr>
            </w:pPr>
          </w:p>
        </w:tc>
        <w:tc>
          <w:tcPr>
            <w:tcW w:w="1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406,663</w:t>
            </w:r>
          </w:p>
        </w:tc>
        <w:tc>
          <w:tcPr>
            <w:tcW w:w="60" w:type="dxa"/>
            <w:vAlign w:val="bottom"/>
            <w:shd w:val="clear" w:color="auto" w:fill="E3E3E3"/>
          </w:tcPr>
          <w:p>
            <w:pPr>
              <w:spacing w:after="0"/>
              <w:rPr>
                <w:sz w:val="20"/>
                <w:szCs w:val="20"/>
                <w:color w:val="auto"/>
              </w:rPr>
            </w:pPr>
          </w:p>
        </w:tc>
      </w:tr>
      <w:tr>
        <w:trPr>
          <w:trHeight w:val="236"/>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 interest expense</w:t>
            </w: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4,750,538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2,795,103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7,545,641</w:t>
            </w:r>
          </w:p>
        </w:tc>
        <w:tc>
          <w:tcPr>
            <w:tcW w:w="6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7"/>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15"/>
          </w:tcPr>
          <w:p>
            <w:pPr>
              <w:jc w:val="right"/>
              <w:ind w:right="1361"/>
              <w:spacing w:after="0"/>
              <w:rPr>
                <w:sz w:val="20"/>
                <w:szCs w:val="20"/>
                <w:color w:val="auto"/>
              </w:rPr>
            </w:pPr>
            <w:r>
              <w:rPr>
                <w:rFonts w:ascii="Times New Roman" w:cs="Times New Roman" w:eastAsia="Times New Roman" w:hAnsi="Times New Roman"/>
                <w:sz w:val="20"/>
                <w:szCs w:val="20"/>
                <w:b w:val="1"/>
                <w:bCs w:val="1"/>
                <w:color w:val="auto"/>
              </w:rPr>
              <w:t>For the year ended December 31, 2024</w:t>
            </w:r>
          </w:p>
        </w:tc>
        <w:tc>
          <w:tcPr>
            <w:tcW w:w="60" w:type="dxa"/>
            <w:vAlign w:val="bottom"/>
          </w:tcPr>
          <w:p>
            <w:pPr>
              <w:spacing w:after="0"/>
              <w:rPr>
                <w:sz w:val="24"/>
                <w:szCs w:val="24"/>
                <w:color w:val="auto"/>
              </w:rPr>
            </w:pPr>
          </w:p>
        </w:tc>
      </w:tr>
      <w:tr>
        <w:trPr>
          <w:trHeight w:val="236"/>
        </w:trPr>
        <w:tc>
          <w:tcPr>
            <w:tcW w:w="446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Notes Payable</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32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Revolving Loan</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3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8"/>
              </w:rPr>
              <w:t>Total Borrowings</w:t>
            </w:r>
          </w:p>
        </w:tc>
        <w:tc>
          <w:tcPr>
            <w:tcW w:w="60" w:type="dxa"/>
            <w:vAlign w:val="bottom"/>
            <w:tcBorders>
              <w:bottom w:val="single" w:sz="8" w:color="E3E3E3"/>
            </w:tcBorders>
          </w:tcPr>
          <w:p>
            <w:pPr>
              <w:spacing w:after="0"/>
              <w:rPr>
                <w:sz w:val="20"/>
                <w:szCs w:val="20"/>
                <w:color w:val="auto"/>
              </w:rPr>
            </w:pPr>
          </w:p>
        </w:tc>
      </w:tr>
      <w:tr>
        <w:trPr>
          <w:trHeight w:val="236"/>
        </w:trPr>
        <w:tc>
          <w:tcPr>
            <w:tcW w:w="44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shd w:val="clear" w:color="auto" w:fill="E3E3E3"/>
          </w:tcPr>
          <w:p>
            <w:pPr>
              <w:spacing w:after="0"/>
              <w:rPr>
                <w:sz w:val="20"/>
                <w:szCs w:val="20"/>
                <w:color w:val="auto"/>
              </w:rPr>
            </w:pPr>
          </w:p>
        </w:tc>
        <w:tc>
          <w:tcPr>
            <w:tcW w:w="180" w:type="dxa"/>
            <w:vAlign w:val="bottom"/>
            <w:gridSpan w:val="2"/>
            <w:shd w:val="clear" w:color="auto" w:fill="E3E3E3"/>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909,836</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3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60" w:type="dxa"/>
            <w:vAlign w:val="bottom"/>
            <w:gridSpan w:val="2"/>
            <w:shd w:val="clear" w:color="auto" w:fill="E3E3E3"/>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5,892,908</w:t>
            </w:r>
          </w:p>
        </w:tc>
        <w:tc>
          <w:tcPr>
            <w:tcW w:w="2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6,802,744</w:t>
            </w:r>
          </w:p>
        </w:tc>
        <w:tc>
          <w:tcPr>
            <w:tcW w:w="60" w:type="dxa"/>
            <w:vAlign w:val="bottom"/>
            <w:shd w:val="clear" w:color="auto" w:fill="E3E3E3"/>
          </w:tcPr>
          <w:p>
            <w:pPr>
              <w:spacing w:after="0"/>
              <w:rPr>
                <w:sz w:val="20"/>
                <w:szCs w:val="20"/>
                <w:color w:val="auto"/>
              </w:rPr>
            </w:pPr>
          </w:p>
        </w:tc>
      </w:tr>
      <w:tr>
        <w:trPr>
          <w:trHeight w:val="241"/>
        </w:trPr>
        <w:tc>
          <w:tcPr>
            <w:tcW w:w="4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Unused fee expense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93,465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93,465</w:t>
            </w:r>
          </w:p>
        </w:tc>
        <w:tc>
          <w:tcPr>
            <w:tcW w:w="60" w:type="dxa"/>
            <w:vAlign w:val="bottom"/>
          </w:tcPr>
          <w:p>
            <w:pPr>
              <w:spacing w:after="0"/>
              <w:rPr>
                <w:sz w:val="20"/>
                <w:szCs w:val="20"/>
                <w:color w:val="auto"/>
              </w:rPr>
            </w:pPr>
          </w:p>
        </w:tc>
      </w:tr>
      <w:tr>
        <w:trPr>
          <w:trHeight w:val="261"/>
        </w:trPr>
        <w:tc>
          <w:tcPr>
            <w:tcW w:w="4480" w:type="dxa"/>
            <w:vAlign w:val="bottom"/>
            <w:tcBorders>
              <w:bottom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Amortization of debt issuance costs</w:t>
            </w:r>
          </w:p>
        </w:tc>
        <w:tc>
          <w:tcPr>
            <w:tcW w:w="2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auto"/>
            </w:tcBorders>
            <w:shd w:val="clear" w:color="auto" w:fill="E3E3E3"/>
          </w:tcPr>
          <w:p>
            <w:pPr>
              <w:spacing w:after="0"/>
              <w:rPr>
                <w:sz w:val="22"/>
                <w:szCs w:val="22"/>
                <w:color w:val="auto"/>
              </w:rPr>
            </w:pPr>
          </w:p>
        </w:tc>
        <w:tc>
          <w:tcPr>
            <w:tcW w:w="1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48,165</w:t>
            </w:r>
          </w:p>
        </w:tc>
        <w:tc>
          <w:tcPr>
            <w:tcW w:w="20" w:type="dxa"/>
            <w:vAlign w:val="bottom"/>
            <w:tcBorders>
              <w:bottom w:val="single" w:sz="8" w:color="auto"/>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32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auto"/>
            </w:tcBorders>
            <w:shd w:val="clear" w:color="auto" w:fill="E3E3E3"/>
          </w:tcPr>
          <w:p>
            <w:pPr>
              <w:spacing w:after="0"/>
              <w:rPr>
                <w:sz w:val="22"/>
                <w:szCs w:val="22"/>
                <w:color w:val="auto"/>
              </w:rPr>
            </w:pPr>
          </w:p>
        </w:tc>
        <w:tc>
          <w:tcPr>
            <w:tcW w:w="16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208,833</w:t>
            </w:r>
          </w:p>
        </w:tc>
        <w:tc>
          <w:tcPr>
            <w:tcW w:w="20" w:type="dxa"/>
            <w:vAlign w:val="bottom"/>
            <w:tcBorders>
              <w:bottom w:val="single" w:sz="8" w:color="auto"/>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30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60" w:type="dxa"/>
            <w:vAlign w:val="bottom"/>
            <w:tcBorders>
              <w:bottom w:val="single" w:sz="8" w:color="auto"/>
            </w:tcBorders>
            <w:shd w:val="clear" w:color="auto" w:fill="E3E3E3"/>
          </w:tcPr>
          <w:p>
            <w:pPr>
              <w:spacing w:after="0"/>
              <w:rPr>
                <w:sz w:val="22"/>
                <w:szCs w:val="22"/>
                <w:color w:val="auto"/>
              </w:rPr>
            </w:pPr>
          </w:p>
        </w:tc>
        <w:tc>
          <w:tcPr>
            <w:tcW w:w="16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256,998</w:t>
            </w:r>
          </w:p>
        </w:tc>
        <w:tc>
          <w:tcPr>
            <w:tcW w:w="60" w:type="dxa"/>
            <w:vAlign w:val="bottom"/>
            <w:tcBorders>
              <w:bottom w:val="single" w:sz="8" w:color="E3E3E3"/>
            </w:tcBorders>
            <w:shd w:val="clear" w:color="auto" w:fill="E3E3E3"/>
          </w:tcPr>
          <w:p>
            <w:pPr>
              <w:spacing w:after="0"/>
              <w:rPr>
                <w:sz w:val="22"/>
                <w:szCs w:val="22"/>
                <w:color w:val="auto"/>
              </w:rPr>
            </w:pPr>
          </w:p>
        </w:tc>
      </w:tr>
      <w:tr>
        <w:trPr>
          <w:trHeight w:val="216"/>
        </w:trPr>
        <w:tc>
          <w:tcPr>
            <w:tcW w:w="448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Total interest expense</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958,001</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gridSpan w:val="3"/>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6,195,206</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gridSpan w:val="3"/>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7,153,207</w:t>
            </w:r>
          </w:p>
        </w:tc>
        <w:tc>
          <w:tcPr>
            <w:tcW w:w="6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RELATED PARTY TRANSACTIONS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Agreement</w:t>
      </w:r>
    </w:p>
    <w:p>
      <w:pPr>
        <w:sectPr>
          <w:pgSz w:w="12240" w:h="15840" w:orient="portrait"/>
          <w:cols w:equalWidth="0" w:num="1">
            <w:col w:w="10640"/>
          </w:cols>
          <w:pgMar w:left="800" w:top="1011"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640"/>
          </w:cols>
          <w:pgMar w:left="800" w:top="1011" w:right="800" w:bottom="266" w:gutter="0" w:footer="0" w:header="0"/>
          <w:type w:val="continuous"/>
        </w:sectPr>
      </w:pPr>
    </w:p>
    <w:bookmarkStart w:id="125" w:name="page126"/>
    <w:bookmarkEnd w:id="125"/>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47"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The initial term of our Management Agreement was three years. After the initial term, our Management Agreement shall automatically renew every year for an additional one-year period, unless we or our Manager elect not to renew. Our Management Agreement may be terminated by us or our Manager under certain specified circumstances. Most recently on April 30, 2025, the Management Agreement was automatically renewed.</w:t>
      </w:r>
    </w:p>
    <w:p>
      <w:pPr>
        <w:spacing w:after="0" w:line="15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years ended December 31, 2025 and 2024, the Base Management Fee payable was reduced by Outside Fees in the amount of $284,887 and $299,046, respectively.</w:t>
      </w:r>
    </w:p>
    <w:p>
      <w:pPr>
        <w:spacing w:after="0" w:line="15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In addition to the Base Management Fee, the Manager is entitled to receive incentive compensation (the “Incentive Compensation” or “Incentive Fees”) under the Management Agreement. The Company will pay Incentive Fees to the Manager based upon the Company’s achievement of targeted levels of Core Earnings, as defined in the Management Agreement. Incentive compensation for the years ended December 31, 2025 and 2024 was $3.7 million and $3.9 million, respectively.</w:t>
      </w:r>
    </w:p>
    <w:p>
      <w:pPr>
        <w:spacing w:after="0" w:line="153"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62" w:lineRule="exact"/>
        <w:rPr>
          <w:sz w:val="20"/>
          <w:szCs w:val="20"/>
          <w:color w:val="auto"/>
        </w:rPr>
      </w:pPr>
    </w:p>
    <w:p>
      <w:pPr>
        <w:ind w:right="40" w:firstLine="355"/>
        <w:spacing w:after="0" w:line="300" w:lineRule="auto"/>
        <w:rPr>
          <w:sz w:val="20"/>
          <w:szCs w:val="20"/>
          <w:color w:val="auto"/>
        </w:rPr>
      </w:pPr>
      <w:r>
        <w:rPr>
          <w:rFonts w:ascii="Times New Roman" w:cs="Times New Roman" w:eastAsia="Times New Roman" w:hAnsi="Times New Roman"/>
          <w:sz w:val="19"/>
          <w:szCs w:val="19"/>
          <w:color w:val="auto"/>
        </w:rPr>
        <w:t>The following table summarizes the related party fees and expenses incurred by the Company to the Manager, which are included in general administrative expense on the consolidated statements of operations for the years ended December 31, 2025 and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60" w:type="dxa"/>
            <w:vAlign w:val="bottom"/>
            <w:gridSpan w:val="5"/>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r>
      <w:tr>
        <w:trPr>
          <w:trHeight w:val="236"/>
        </w:trPr>
        <w:tc>
          <w:tcPr>
            <w:tcW w:w="6660" w:type="dxa"/>
            <w:vAlign w:val="bottom"/>
            <w:tcBorders>
              <w:bottom w:val="single" w:sz="8" w:color="E3E3E3"/>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00" w:type="dxa"/>
            <w:vAlign w:val="bottom"/>
            <w:tcBorders>
              <w:top w:val="single" w:sz="8" w:color="auto"/>
              <w:bottom w:val="single" w:sz="8" w:color="E3E3E3"/>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E3E3E3"/>
            </w:tcBorders>
          </w:tcPr>
          <w:p>
            <w:pPr>
              <w:spacing w:after="0"/>
              <w:rPr>
                <w:sz w:val="20"/>
                <w:szCs w:val="20"/>
                <w:color w:val="auto"/>
              </w:rPr>
            </w:pPr>
          </w:p>
        </w:tc>
      </w:tr>
      <w:tr>
        <w:trPr>
          <w:trHeight w:val="236"/>
        </w:trPr>
        <w:tc>
          <w:tcPr>
            <w:tcW w:w="66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Affiliate Payments</w:t>
            </w:r>
          </w:p>
        </w:tc>
        <w:tc>
          <w:tcPr>
            <w:tcW w:w="320" w:type="dxa"/>
            <w:vAlign w:val="bottom"/>
            <w:shd w:val="clear" w:color="auto" w:fill="E3E3E3"/>
          </w:tcPr>
          <w:p>
            <w:pPr>
              <w:spacing w:after="0"/>
              <w:rPr>
                <w:sz w:val="20"/>
                <w:szCs w:val="20"/>
                <w:color w:val="auto"/>
              </w:rPr>
            </w:pPr>
          </w:p>
        </w:tc>
        <w:tc>
          <w:tcPr>
            <w:tcW w:w="148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400" w:type="dxa"/>
            <w:vAlign w:val="bottom"/>
            <w:shd w:val="clear" w:color="auto" w:fill="E3E3E3"/>
          </w:tcPr>
          <w:p>
            <w:pPr>
              <w:spacing w:after="0"/>
              <w:rPr>
                <w:sz w:val="20"/>
                <w:szCs w:val="20"/>
                <w:color w:val="auto"/>
              </w:rPr>
            </w:pPr>
          </w:p>
        </w:tc>
        <w:tc>
          <w:tcPr>
            <w:tcW w:w="140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r>
      <w:tr>
        <w:trPr>
          <w:trHeight w:val="241"/>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Management fees earned</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4,770,200</w:t>
            </w:r>
          </w:p>
        </w:tc>
        <w:tc>
          <w:tcPr>
            <w:tcW w:w="300" w:type="dxa"/>
            <w:vAlign w:val="bottom"/>
          </w:tcPr>
          <w:p>
            <w:pPr>
              <w:spacing w:after="0"/>
              <w:rPr>
                <w:sz w:val="20"/>
                <w:szCs w:val="20"/>
                <w:color w:val="auto"/>
              </w:rPr>
            </w:pPr>
          </w:p>
        </w:tc>
        <w:tc>
          <w:tcPr>
            <w:tcW w:w="4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4,437,447</w:t>
            </w:r>
          </w:p>
        </w:tc>
        <w:tc>
          <w:tcPr>
            <w:tcW w:w="80" w:type="dxa"/>
            <w:vAlign w:val="bottom"/>
          </w:tcPr>
          <w:p>
            <w:pPr>
              <w:spacing w:after="0"/>
              <w:rPr>
                <w:sz w:val="20"/>
                <w:szCs w:val="20"/>
                <w:color w:val="auto"/>
              </w:rPr>
            </w:pPr>
          </w:p>
        </w:tc>
      </w:tr>
      <w:tr>
        <w:trPr>
          <w:trHeight w:val="241"/>
        </w:trPr>
        <w:tc>
          <w:tcPr>
            <w:tcW w:w="66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Less: Outside Fees earned</w:t>
            </w:r>
          </w:p>
        </w:tc>
        <w:tc>
          <w:tcPr>
            <w:tcW w:w="320" w:type="dxa"/>
            <w:vAlign w:val="bottom"/>
            <w:shd w:val="clear" w:color="auto" w:fill="E3E3E3"/>
          </w:tcPr>
          <w:p>
            <w:pPr>
              <w:spacing w:after="0"/>
              <w:rPr>
                <w:sz w:val="20"/>
                <w:szCs w:val="20"/>
                <w:color w:val="auto"/>
              </w:rPr>
            </w:pPr>
          </w:p>
        </w:tc>
        <w:tc>
          <w:tcPr>
            <w:tcW w:w="178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20"/>
                <w:szCs w:val="20"/>
                <w:color w:val="auto"/>
              </w:rPr>
              <w:t>(284,887)</w:t>
            </w:r>
          </w:p>
        </w:tc>
        <w:tc>
          <w:tcPr>
            <w:tcW w:w="400" w:type="dxa"/>
            <w:vAlign w:val="bottom"/>
            <w:shd w:val="clear" w:color="auto" w:fill="E3E3E3"/>
          </w:tcPr>
          <w:p>
            <w:pPr>
              <w:spacing w:after="0"/>
              <w:rPr>
                <w:sz w:val="20"/>
                <w:szCs w:val="20"/>
                <w:color w:val="auto"/>
              </w:rPr>
            </w:pPr>
          </w:p>
        </w:tc>
        <w:tc>
          <w:tcPr>
            <w:tcW w:w="148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(299,046)</w:t>
            </w:r>
          </w:p>
        </w:tc>
      </w:tr>
      <w:tr>
        <w:trPr>
          <w:trHeight w:val="236"/>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auto"/>
              </w:rPr>
              <w:t>Base management fees, net</w:t>
            </w: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4,485,313</w:t>
            </w:r>
          </w:p>
        </w:tc>
        <w:tc>
          <w:tcPr>
            <w:tcW w:w="3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4,138,401</w:t>
            </w:r>
          </w:p>
        </w:tc>
        <w:tc>
          <w:tcPr>
            <w:tcW w:w="80" w:type="dxa"/>
            <w:vAlign w:val="bottom"/>
          </w:tcPr>
          <w:p>
            <w:pPr>
              <w:spacing w:after="0"/>
              <w:rPr>
                <w:sz w:val="20"/>
                <w:szCs w:val="20"/>
                <w:color w:val="auto"/>
              </w:rPr>
            </w:pPr>
          </w:p>
        </w:tc>
      </w:tr>
      <w:tr>
        <w:trPr>
          <w:trHeight w:val="261"/>
        </w:trPr>
        <w:tc>
          <w:tcPr>
            <w:tcW w:w="666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Incentive fees</w:t>
            </w:r>
          </w:p>
        </w:tc>
        <w:tc>
          <w:tcPr>
            <w:tcW w:w="320" w:type="dxa"/>
            <w:vAlign w:val="bottom"/>
            <w:tcBorders>
              <w:bottom w:val="single" w:sz="8" w:color="auto"/>
            </w:tcBorders>
            <w:shd w:val="clear" w:color="auto" w:fill="E3E3E3"/>
          </w:tcPr>
          <w:p>
            <w:pPr>
              <w:spacing w:after="0"/>
              <w:rPr>
                <w:sz w:val="22"/>
                <w:szCs w:val="22"/>
                <w:color w:val="auto"/>
              </w:rPr>
            </w:pPr>
          </w:p>
        </w:tc>
        <w:tc>
          <w:tcPr>
            <w:tcW w:w="14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3,716,823</w:t>
            </w:r>
          </w:p>
        </w:tc>
        <w:tc>
          <w:tcPr>
            <w:tcW w:w="300" w:type="dxa"/>
            <w:vAlign w:val="bottom"/>
            <w:tcBorders>
              <w:bottom w:val="single" w:sz="8" w:color="E3E3E3"/>
            </w:tcBorders>
            <w:shd w:val="clear" w:color="auto" w:fill="E3E3E3"/>
          </w:tcPr>
          <w:p>
            <w:pPr>
              <w:spacing w:after="0"/>
              <w:rPr>
                <w:sz w:val="22"/>
                <w:szCs w:val="22"/>
                <w:color w:val="auto"/>
              </w:rPr>
            </w:pPr>
          </w:p>
        </w:tc>
        <w:tc>
          <w:tcPr>
            <w:tcW w:w="400" w:type="dxa"/>
            <w:vAlign w:val="bottom"/>
            <w:tcBorders>
              <w:bottom w:val="single" w:sz="8" w:color="auto"/>
            </w:tcBorders>
            <w:shd w:val="clear" w:color="auto" w:fill="E3E3E3"/>
          </w:tcPr>
          <w:p>
            <w:pPr>
              <w:spacing w:after="0"/>
              <w:rPr>
                <w:sz w:val="22"/>
                <w:szCs w:val="22"/>
                <w:color w:val="auto"/>
              </w:rPr>
            </w:pPr>
          </w:p>
        </w:tc>
        <w:tc>
          <w:tcPr>
            <w:tcW w:w="14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3,923,495</w:t>
            </w:r>
          </w:p>
        </w:tc>
        <w:tc>
          <w:tcPr>
            <w:tcW w:w="80" w:type="dxa"/>
            <w:vAlign w:val="bottom"/>
            <w:tcBorders>
              <w:bottom w:val="single" w:sz="8" w:color="E3E3E3"/>
            </w:tcBorders>
            <w:shd w:val="clear" w:color="auto" w:fill="E3E3E3"/>
          </w:tcPr>
          <w:p>
            <w:pPr>
              <w:spacing w:after="0"/>
              <w:rPr>
                <w:sz w:val="22"/>
                <w:szCs w:val="22"/>
                <w:color w:val="auto"/>
              </w:rPr>
            </w:pP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Total management and incentive fees earned</w:t>
            </w:r>
          </w:p>
        </w:tc>
        <w:tc>
          <w:tcPr>
            <w:tcW w:w="32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8,202,136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8,061,896</w:t>
            </w:r>
          </w:p>
        </w:tc>
        <w:tc>
          <w:tcPr>
            <w:tcW w:w="80" w:type="dxa"/>
            <w:vAlign w:val="bottom"/>
          </w:tcPr>
          <w:p>
            <w:pPr>
              <w:spacing w:after="0"/>
              <w:rPr>
                <w:sz w:val="18"/>
                <w:szCs w:val="18"/>
                <w:color w:val="auto"/>
              </w:rPr>
            </w:pPr>
          </w:p>
        </w:tc>
      </w:tr>
      <w:tr>
        <w:trPr>
          <w:trHeight w:val="241"/>
        </w:trPr>
        <w:tc>
          <w:tcPr>
            <w:tcW w:w="66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General and administrative expenses reimbursable to Manager</w:t>
            </w:r>
          </w:p>
        </w:tc>
        <w:tc>
          <w:tcPr>
            <w:tcW w:w="320" w:type="dxa"/>
            <w:vAlign w:val="bottom"/>
            <w:tcBorders>
              <w:bottom w:val="single" w:sz="8" w:color="auto"/>
            </w:tcBorders>
            <w:shd w:val="clear" w:color="auto" w:fill="E3E3E3"/>
          </w:tcPr>
          <w:p>
            <w:pPr>
              <w:spacing w:after="0"/>
              <w:rPr>
                <w:sz w:val="20"/>
                <w:szCs w:val="20"/>
                <w:color w:val="auto"/>
              </w:rPr>
            </w:pPr>
          </w:p>
        </w:tc>
        <w:tc>
          <w:tcPr>
            <w:tcW w:w="14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4,930,489</w:t>
            </w:r>
          </w:p>
        </w:tc>
        <w:tc>
          <w:tcPr>
            <w:tcW w:w="300" w:type="dxa"/>
            <w:vAlign w:val="bottom"/>
            <w:shd w:val="clear" w:color="auto" w:fill="E3E3E3"/>
          </w:tcPr>
          <w:p>
            <w:pPr>
              <w:spacing w:after="0"/>
              <w:rPr>
                <w:sz w:val="20"/>
                <w:szCs w:val="20"/>
                <w:color w:val="auto"/>
              </w:rPr>
            </w:pPr>
          </w:p>
        </w:tc>
        <w:tc>
          <w:tcPr>
            <w:tcW w:w="400" w:type="dxa"/>
            <w:vAlign w:val="bottom"/>
            <w:tcBorders>
              <w:bottom w:val="single" w:sz="8" w:color="auto"/>
            </w:tcBorders>
            <w:shd w:val="clear" w:color="auto" w:fill="E3E3E3"/>
          </w:tcPr>
          <w:p>
            <w:pPr>
              <w:spacing w:after="0"/>
              <w:rPr>
                <w:sz w:val="20"/>
                <w:szCs w:val="20"/>
                <w:color w:val="auto"/>
              </w:rPr>
            </w:pPr>
          </w:p>
        </w:tc>
        <w:tc>
          <w:tcPr>
            <w:tcW w:w="14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4,821,373</w:t>
            </w:r>
          </w:p>
        </w:tc>
        <w:tc>
          <w:tcPr>
            <w:tcW w:w="80" w:type="dxa"/>
            <w:vAlign w:val="bottom"/>
            <w:shd w:val="clear" w:color="auto" w:fill="E3E3E3"/>
          </w:tcPr>
          <w:p>
            <w:pPr>
              <w:spacing w:after="0"/>
              <w:rPr>
                <w:sz w:val="20"/>
                <w:szCs w:val="20"/>
                <w:color w:val="auto"/>
              </w:rPr>
            </w:pPr>
          </w:p>
        </w:tc>
      </w:tr>
      <w:tr>
        <w:trPr>
          <w:trHeight w:val="236"/>
        </w:trPr>
        <w:tc>
          <w:tcPr>
            <w:tcW w:w="66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13,132,625</w:t>
            </w:r>
          </w:p>
        </w:tc>
        <w:tc>
          <w:tcPr>
            <w:tcW w:w="300" w:type="dxa"/>
            <w:vAlign w:val="bottom"/>
          </w:tcPr>
          <w:p>
            <w:pPr>
              <w:spacing w:after="0"/>
              <w:rPr>
                <w:sz w:val="20"/>
                <w:szCs w:val="20"/>
                <w:color w:val="auto"/>
              </w:rPr>
            </w:pPr>
          </w:p>
        </w:tc>
        <w:tc>
          <w:tcPr>
            <w:tcW w:w="4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12,883,269</w:t>
            </w:r>
          </w:p>
        </w:tc>
        <w:tc>
          <w:tcPr>
            <w:tcW w:w="8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General administrative expenses reimbursable to the Manager are included in the related party payable line item of the consolidated balance sheets as of December 31, 2025 and 2024. The following table presents amounts payable to the Manager as of December 31, 2025 and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60" w:type="dxa"/>
            <w:vAlign w:val="bottom"/>
          </w:tcPr>
          <w:p>
            <w:pPr>
              <w:spacing w:after="0"/>
              <w:rPr>
                <w:sz w:val="19"/>
                <w:szCs w:val="19"/>
                <w:color w:val="auto"/>
              </w:rPr>
            </w:pPr>
          </w:p>
        </w:tc>
      </w:tr>
      <w:tr>
        <w:trPr>
          <w:trHeight w:val="251"/>
        </w:trPr>
        <w:tc>
          <w:tcPr>
            <w:tcW w:w="7480" w:type="dxa"/>
            <w:vAlign w:val="bottom"/>
            <w:tcBorders>
              <w:bottom w:val="single" w:sz="8" w:color="DEDED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00" w:type="dxa"/>
            <w:vAlign w:val="bottom"/>
            <w:tcBorders>
              <w:bottom w:val="single" w:sz="8" w:color="DEDEDE"/>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DEDEDE"/>
            </w:tcBorders>
          </w:tcPr>
          <w:p>
            <w:pPr>
              <w:spacing w:after="0"/>
              <w:rPr>
                <w:sz w:val="21"/>
                <w:szCs w:val="21"/>
                <w:color w:val="auto"/>
              </w:rPr>
            </w:pPr>
          </w:p>
        </w:tc>
      </w:tr>
      <w:tr>
        <w:trPr>
          <w:trHeight w:val="236"/>
        </w:trPr>
        <w:tc>
          <w:tcPr>
            <w:tcW w:w="74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Management fees payable</w:t>
            </w:r>
          </w:p>
        </w:tc>
        <w:tc>
          <w:tcPr>
            <w:tcW w:w="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1,034,149</w:t>
            </w:r>
          </w:p>
        </w:tc>
        <w:tc>
          <w:tcPr>
            <w:tcW w:w="300" w:type="dxa"/>
            <w:vAlign w:val="bottom"/>
            <w:shd w:val="clear" w:color="auto" w:fill="DEDEDE"/>
          </w:tcPr>
          <w:p>
            <w:pPr>
              <w:spacing w:after="0"/>
              <w:rPr>
                <w:sz w:val="20"/>
                <w:szCs w:val="20"/>
                <w:color w:val="auto"/>
              </w:rPr>
            </w:pPr>
          </w:p>
        </w:tc>
        <w:tc>
          <w:tcPr>
            <w:tcW w:w="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925,671</w:t>
            </w:r>
          </w:p>
        </w:tc>
        <w:tc>
          <w:tcPr>
            <w:tcW w:w="60" w:type="dxa"/>
            <w:vAlign w:val="bottom"/>
            <w:shd w:val="clear" w:color="auto" w:fill="DEDEDE"/>
          </w:tcPr>
          <w:p>
            <w:pPr>
              <w:spacing w:after="0"/>
              <w:rPr>
                <w:sz w:val="20"/>
                <w:szCs w:val="20"/>
                <w:color w:val="auto"/>
              </w:rPr>
            </w:pPr>
          </w:p>
        </w:tc>
      </w:tr>
      <w:tr>
        <w:trPr>
          <w:trHeight w:val="241"/>
        </w:trPr>
        <w:tc>
          <w:tcPr>
            <w:tcW w:w="748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20"/>
                <w:szCs w:val="20"/>
                <w:color w:val="auto"/>
              </w:rPr>
              <w:t>Incentive fees payable</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2,064,427</w:t>
            </w:r>
          </w:p>
        </w:tc>
        <w:tc>
          <w:tcPr>
            <w:tcW w:w="300" w:type="dxa"/>
            <w:vAlign w:val="bottom"/>
            <w:tcBorders>
              <w:bottom w:val="single" w:sz="8" w:color="DEDED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1,937,487</w:t>
            </w:r>
          </w:p>
        </w:tc>
        <w:tc>
          <w:tcPr>
            <w:tcW w:w="60" w:type="dxa"/>
            <w:vAlign w:val="bottom"/>
            <w:tcBorders>
              <w:bottom w:val="single" w:sz="8" w:color="DEDEDE"/>
            </w:tcBorders>
          </w:tcPr>
          <w:p>
            <w:pPr>
              <w:spacing w:after="0"/>
              <w:rPr>
                <w:sz w:val="20"/>
                <w:szCs w:val="20"/>
                <w:color w:val="auto"/>
              </w:rPr>
            </w:pPr>
          </w:p>
        </w:tc>
      </w:tr>
      <w:tr>
        <w:trPr>
          <w:trHeight w:val="236"/>
        </w:trPr>
        <w:tc>
          <w:tcPr>
            <w:tcW w:w="74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color w:val="auto"/>
              </w:rPr>
              <w:t>Management and incentive fees payable</w:t>
            </w:r>
          </w:p>
        </w:tc>
        <w:tc>
          <w:tcPr>
            <w:tcW w:w="100" w:type="dxa"/>
            <w:vAlign w:val="bottom"/>
            <w:shd w:val="clear" w:color="auto" w:fill="DEDEDE"/>
          </w:tcPr>
          <w:p>
            <w:pPr>
              <w:spacing w:after="0"/>
              <w:rPr>
                <w:sz w:val="20"/>
                <w:szCs w:val="20"/>
                <w:color w:val="auto"/>
              </w:rPr>
            </w:pPr>
          </w:p>
        </w:tc>
        <w:tc>
          <w:tcPr>
            <w:tcW w:w="13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3,098,576</w:t>
            </w:r>
          </w:p>
        </w:tc>
        <w:tc>
          <w:tcPr>
            <w:tcW w:w="30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12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2,863,158</w:t>
            </w:r>
          </w:p>
        </w:tc>
        <w:tc>
          <w:tcPr>
            <w:tcW w:w="60" w:type="dxa"/>
            <w:vAlign w:val="bottom"/>
            <w:shd w:val="clear" w:color="auto" w:fill="DEDEDE"/>
          </w:tcPr>
          <w:p>
            <w:pPr>
              <w:spacing w:after="0"/>
              <w:rPr>
                <w:sz w:val="20"/>
                <w:szCs w:val="20"/>
                <w:color w:val="auto"/>
              </w:rPr>
            </w:pPr>
          </w:p>
        </w:tc>
      </w:tr>
      <w:tr>
        <w:trPr>
          <w:trHeight w:val="241"/>
        </w:trPr>
        <w:tc>
          <w:tcPr>
            <w:tcW w:w="748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20"/>
                <w:szCs w:val="20"/>
                <w:color w:val="auto"/>
              </w:rPr>
              <w:t>General and administrative expenses reimbursable to Manager</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2,214,920</w:t>
            </w:r>
          </w:p>
        </w:tc>
        <w:tc>
          <w:tcPr>
            <w:tcW w:w="300" w:type="dxa"/>
            <w:vAlign w:val="bottom"/>
            <w:tcBorders>
              <w:bottom w:val="single" w:sz="8" w:color="DEDED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2,043,403</w:t>
            </w:r>
          </w:p>
        </w:tc>
        <w:tc>
          <w:tcPr>
            <w:tcW w:w="60" w:type="dxa"/>
            <w:vAlign w:val="bottom"/>
            <w:tcBorders>
              <w:bottom w:val="single" w:sz="8" w:color="DEDEDE"/>
            </w:tcBorders>
          </w:tcPr>
          <w:p>
            <w:pPr>
              <w:spacing w:after="0"/>
              <w:rPr>
                <w:sz w:val="20"/>
                <w:szCs w:val="20"/>
                <w:color w:val="auto"/>
              </w:rPr>
            </w:pPr>
          </w:p>
        </w:tc>
      </w:tr>
      <w:tr>
        <w:trPr>
          <w:trHeight w:val="236"/>
        </w:trPr>
        <w:tc>
          <w:tcPr>
            <w:tcW w:w="7480" w:type="dxa"/>
            <w:vAlign w:val="bottom"/>
            <w:shd w:val="clear" w:color="auto" w:fill="DEDEDE"/>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5,313,496</w:t>
            </w:r>
          </w:p>
        </w:tc>
        <w:tc>
          <w:tcPr>
            <w:tcW w:w="300" w:type="dxa"/>
            <w:vAlign w:val="bottom"/>
            <w:shd w:val="clear" w:color="auto" w:fill="DEDEDE"/>
          </w:tcPr>
          <w:p>
            <w:pPr>
              <w:spacing w:after="0"/>
              <w:rPr>
                <w:sz w:val="20"/>
                <w:szCs w:val="20"/>
                <w:color w:val="auto"/>
              </w:rPr>
            </w:pPr>
          </w:p>
        </w:tc>
        <w:tc>
          <w:tcPr>
            <w:tcW w:w="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20"/>
                <w:szCs w:val="20"/>
                <w:color w:val="auto"/>
              </w:rPr>
              <w:t>4,906,561</w:t>
            </w:r>
          </w:p>
        </w:tc>
        <w:tc>
          <w:tcPr>
            <w:tcW w:w="60" w:type="dxa"/>
            <w:vAlign w:val="bottom"/>
            <w:shd w:val="clear" w:color="auto" w:fill="DEDEDE"/>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40"/>
          </w:cols>
          <w:pgMar w:left="800" w:top="1009" w:right="800" w:bottom="266"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640"/>
          </w:cols>
          <w:pgMar w:left="800" w:top="1009" w:right="800" w:bottom="266"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i w:val="1"/>
          <w:iCs w:val="1"/>
          <w:color w:val="auto"/>
        </w:rPr>
        <w:t>Co-Investment in Loans</w:t>
      </w:r>
    </w:p>
    <w:p>
      <w:pPr>
        <w:spacing w:after="0" w:line="19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and for the years ended December 31, 2025 and 2024, 17 and 19 of the Company’s loans were co-invested by affiliates of the Company, respectively.</w:t>
      </w:r>
    </w:p>
    <w:p>
      <w:pPr>
        <w:spacing w:after="0" w:line="156"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Certain syndicated co-investments originated by affiliates of the Manager may include other consideration, generally in the form of warrants or other equity interests. Prior to, or concurrent with, the origination of the investment, the Company may elect to assign the right (the “Assigned Right”) to the equity consideration to an affiliate, in exchange for an additional upfront fee in an amount equal to the fair value of the equity consideration on a pro-rata basis. During the years ended December 31, 2025 and 2024, the Company sold Assigned Rights amounting to $0 and $0.6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transactions with related parties</w:t>
      </w:r>
    </w:p>
    <w:p>
      <w:pPr>
        <w:spacing w:after="0" w:line="193"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In September 2024, the Company entered into a conditional assignment agreement with an affiliate under common control to sell $6.0 million of principal of Loan #11. Upon the change in management's intent to hold this portion of Loan #11 to maturity or payoff, the loan was transferred from loans held for investment to loans held for sale on the consolidated balance sheets, and was recorded at fair value of $6.0 million (Note 4). Because the amortized cost of the loan equaled the fair value as of September 30, 2024, no valuation allowance has been recorded against the loan held for sale. On October 1, 2024, upon satisfaction of the conditions precedent to the assignment, the Company completed the sale at a price of approximately $6.0 million or 100% of par. The selling price was approved by the audit committee of the Board, and equaled the carrying value as of the sale date. The remaining balance of Loan #11 was repaid in full on the contractual maturity date on October 4, 2024.</w:t>
      </w:r>
    </w:p>
    <w:p>
      <w:pPr>
        <w:spacing w:after="0" w:line="162"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On October 30, 2024, the Company entered into an Omnibus Assignment and Assumption Agreement with an affiliate under common control whereby the Company sold $6.0 million of the principal balance of Loan #1, in exchange for aggregate consideration of $ 6.0 million comprised of approximately $4.5 million and $1.5 million of principal of existing Loans #7 and #20, respectively. The fair value approximated the carrying value of the loan plus accrued unpaid interest through the sale date, and was approved by the audit committee of the Board.</w:t>
      </w:r>
    </w:p>
    <w:p>
      <w:pPr>
        <w:spacing w:after="0" w:line="156"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On December 31, 2024, the Company's approximately $6.5 million of outstanding principal in Loan #26 was refinanced by an affiliate under common control. The Company received net proceeds of approximately $6.5 million, which included the full repayment of principal, accrued unpaid interest and prepayment fees net of interest reserves transferred on the sale date. The Company recognized approximately $0.1 million of prepayment fee income in connection with this transaction. The fair value price amounting to the proceeds received was approved by the audit committee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held for investment - related party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 #9</w:t>
      </w:r>
    </w:p>
    <w:p>
      <w:pPr>
        <w:spacing w:after="0" w:line="193"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 The Agent subsequently pursued a UCC Article 9 sale of the membership interests of the borrower’s subsidiaries which were pledged as collateral. On August 10, 2023, the Agent was the highest bidder in a public auction of the membership interests and took ownership of the membership interests. The Agent intends to sell the assets in satisfaction of the loan for the benefit of the lenders.</w:t>
      </w:r>
    </w:p>
    <w:p>
      <w:pPr>
        <w:spacing w:after="0" w:line="162"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In December 2024, the Agent was granted a summary judgment against the borrower credit parties and related individuals. The judgment received in favor of the Agent was incremental to the equity acquired in the UCC Article 9 sale. The enforcement of such judgment and UCC sale was conditional upon the recognition and affiliation of members of the Agent by the Pennsylvania Department of Health (“PA DOH”).</w:t>
      </w:r>
    </w:p>
    <w:p>
      <w:pPr>
        <w:spacing w:after="0" w:line="153" w:lineRule="exact"/>
        <w:rPr>
          <w:sz w:val="20"/>
          <w:szCs w:val="20"/>
          <w:color w:val="auto"/>
        </w:rPr>
      </w:pPr>
    </w:p>
    <w:p>
      <w:pPr>
        <w:jc w:val="both"/>
        <w:ind w:firstLine="404"/>
        <w:spacing w:after="0" w:line="246" w:lineRule="auto"/>
        <w:rPr>
          <w:sz w:val="20"/>
          <w:szCs w:val="20"/>
          <w:color w:val="auto"/>
        </w:rPr>
      </w:pPr>
      <w:r>
        <w:rPr>
          <w:rFonts w:ascii="Times New Roman" w:cs="Times New Roman" w:eastAsia="Times New Roman" w:hAnsi="Times New Roman"/>
          <w:sz w:val="20"/>
          <w:szCs w:val="20"/>
          <w:color w:val="auto"/>
        </w:rPr>
        <w:t>In January 2025, the Court of Common Pleas in Snyder County, Pennsylvania granted an order in favor of the Agent, whereby members of the Agent would be duly recognized as owner-operators of the subject assets. The order was conditional upon the satisfactory completion of change of ownership and other cannabis owner-operator affiliation forms, as required by the PA DOH. In February 2025, upon approval by the PA DOH, members of the Agent were affiliated and assumed full control of the facilities and operations of the business.</w:t>
      </w:r>
    </w:p>
    <w:p>
      <w:pPr>
        <w:sectPr>
          <w:pgSz w:w="12240" w:h="15840" w:orient="portrait"/>
          <w:cols w:equalWidth="0" w:num="1">
            <w:col w:w="10640"/>
          </w:cols>
          <w:pgMar w:left="800" w:top="1011" w:right="800" w:bottom="266"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640"/>
          </w:cols>
          <w:pgMar w:left="800" w:top="1011" w:right="800" w:bottom="266" w:gutter="0" w:footer="0" w:header="0"/>
          <w:type w:val="continuous"/>
        </w:sectPr>
      </w:pPr>
    </w:p>
    <w:bookmarkStart w:id="127" w:name="page128"/>
    <w:bookmarkEnd w:id="127"/>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On March 31, 2025, following completion of the foreclosure proceedings, the Company extinguished the original term loan, and the Agent distributed the assets acquired from the foreclosure to the Lenders pursuant to an Agreement Among Lenders by and between the Agent and Lenders (the "AAL"). Pursuant to the AAL, the affiliated co-lender received rights to the membership interests acquired in the UCC sale and intends to engage third-parties, as necessary, and is currently in the process of restoring the business to a fully operational status. Further pursuant to the AAL, in satisfaction of the original loan, the Company now holds two loans with an aggregate principal balance of approximately $16.5 million, comprised of a $14.5 million first lien judgment loan (the "Judgment Loan") and a $2.0 million second lien term loan (the "Term Loan"), which had an aggregate fair value of approximately $16.5 million, resulting in a gain on extinguishment of approximately $0.1 million. The fair value of each of the Judgment Loan and Term Loan was determined by the Manager's investment committee using Level 3 inputs under the discounted cash flow method.</w:t>
      </w:r>
    </w:p>
    <w:p>
      <w:pPr>
        <w:spacing w:after="0" w:line="166"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The Judgment Loan bears interest at a statutory rate of 9.0% pursuant to Illinois law, and will remain outstanding until paid by the borrower. The Term Loan bears interest at a contractual rate of 9.0% and has a maturity of March 31, 2028. The assets securing the original loan, which included mortgaged cultivation real estate in Pennsylvania and operations related thereto, continue to secure the Judgment Loan and the Term Loan. Accordingly, by virtue of the relationship between the Company, as holder of the Judgment Loan and the Term Loan, and the affiliated co-lender, as new owner of the membership interests of the original borrower credit parties, Loan #9 remains a related party loan. For comparability to previously issued financial statements, management will continue to reference the Judgment Loan and the Term Loan, collectively, as Loan #9, as shown in Note 3.</w:t>
      </w:r>
    </w:p>
    <w:p>
      <w:pPr>
        <w:spacing w:after="0" w:line="159"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During the year ended December 31, 2025, the Company advanced approximately $12.6 million of gross principal to the borrower of Loan #9. The use of proceeds of the advance included: (a) the acquisition of three operational dispensaries and (b) the payment of all past due accrued and unpaid interest and fees totaling approximately $1.7 million owed on existing senior indebtedness through December 31, 2025. In connection therewith, the borrower was brought to current on all interest and payments through December 31, 2025. Management elected to maintain Loan #9 on non-accrual status as of December 31, 2025 until such time that the borrower demonstrates sustained ability to meet debt service obligations under both the Judgment Loan and the Term Loan. (Note 3). As of December 31, 2025, Loan #9 is held on the consolidated balance sheets as a loan held for investment - related party with a carrying value of approximately $29.0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 #18</w:t>
      </w:r>
    </w:p>
    <w:p>
      <w:pPr>
        <w:spacing w:after="0" w:line="193"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The borrower of Loan #18, FarmaceuticalRX, LLC and its subsidiaries and affiliates (“FRX”), is a related party. Certain common control affiliates of the Company can exercise significant influence over certain credit parties to the Loan Agreement with FRX by virtue of voting representation on its board of managers. During the years ended December 31, 2025 and 2024, the Company made principal advances $0 and $26.8 million, respectively, and the loan has a carrying value of $47.1 million and $44.6 million as of the years then ended. As of December 31, 2025, the carrying value of $47.1 million is included in the line item, “Loans held for investment – related party”. As of December 31, 2025 and 2024, the Company had $0.7 million and $0 of accrued interest on its loan to FRX. All accrued interest as of December 31, 2025 is current (Note 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 #3 and Loan #33</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The borrowers of Loan #3 and Loan #33, which were held as of December 31, 2024, are affiliates of Vireo Growth, Inc. ("Vireo"). In December 2024, John Mazarakis, who serves as our Executive Chairman of the Board, was appointed to serve as Chief Executive Officer and Co-Executive Chairman of the Board of Vireo. Certain affiliated investment funds that are managed by entities under common control with our Manager, and for which Mr. Mazarakis can exercise significant influence, also hold material equity interests in Vireo, causing the Company to classify transactions with Vireo to be related party transactions. The aggregate principal balance of these loans is included on the consolidated balance sheets as loans held for investment - related party (Note 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Loans, at fair value - related party</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During the year ended December 31, 2024, the Company originated a loan to a subsidiary of Vireo, collateralized by real estate assets in Minnesota. The loan had a principal balance of $5.5 million and a carrying value of approximately $5.3 million as of December 31, 2024. The Company elected to record the investment at fair value under the fair value option. The Company recognized $1.5 million in underwriting and structuring fees from Vireo upon the origination of this loan, which was recognized on the Statement of Operations for the year ended December 31, 2024. This loan held under the fair value option was repaid during the year ended December 31, 2025 (Note 5).</w:t>
      </w:r>
    </w:p>
    <w:p>
      <w:pPr>
        <w:sectPr>
          <w:pgSz w:w="12240" w:h="15840" w:orient="portrait"/>
          <w:cols w:equalWidth="0" w:num="1">
            <w:col w:w="10640"/>
          </w:cols>
          <w:pgMar w:left="800" w:top="1009"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0640"/>
          </w:cols>
          <w:pgMar w:left="800" w:top="1009" w:right="800" w:bottom="266"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10. COMMITMENTS AND CONTINGENCIES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19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Off-balance sheet commitments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December 31, 2025 and 2024, the Company had the following unfunded commitments on existing loans.</w:t>
      </w:r>
    </w:p>
    <w:p>
      <w:pPr>
        <w:spacing w:after="0" w:line="18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Refer to “Note 3 – Loans Held for Investment, Net” for further information regarding the CECL Reserve attributed to unfunded commitments. Total original loan commitments include the impact of principal payments received since origination of the loan and future amounts to be advanced at sole discretion of the lender. Loan commitments include loans held for investment and loans held at fair value as of December 31, 2024.</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our material commitments by year as of December 31,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3"/>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2027</w:t>
            </w:r>
          </w:p>
        </w:tc>
        <w:tc>
          <w:tcPr>
            <w:tcW w:w="1180" w:type="dxa"/>
            <w:vAlign w:val="bottom"/>
            <w:gridSpan w:val="3"/>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4"/>
              </w:rPr>
              <w:t>2028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2030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60" w:type="dxa"/>
            <w:vAlign w:val="bottom"/>
          </w:tcPr>
          <w:p>
            <w:pPr>
              <w:spacing w:after="0"/>
              <w:rPr>
                <w:sz w:val="19"/>
                <w:szCs w:val="19"/>
                <w:color w:val="auto"/>
              </w:rPr>
            </w:pPr>
          </w:p>
        </w:tc>
      </w:tr>
      <w:tr>
        <w:trPr>
          <w:trHeight w:val="233"/>
        </w:trPr>
        <w:tc>
          <w:tcPr>
            <w:tcW w:w="2420" w:type="dxa"/>
            <w:vAlign w:val="bottom"/>
            <w:tcBorders>
              <w:top w:val="single" w:sz="8" w:color="E3E3E3"/>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8"/>
                <w:szCs w:val="18"/>
                <w:color w:val="auto"/>
              </w:rPr>
              <w:t>Undrawn commitments</w:t>
            </w:r>
          </w:p>
        </w:tc>
        <w:tc>
          <w:tcPr>
            <w:tcW w:w="20" w:type="dxa"/>
            <w:vAlign w:val="bottom"/>
            <w:tcBorders>
              <w:top w:val="single" w:sz="8" w:color="E3E3E3"/>
              <w:bottom w:val="single" w:sz="8" w:color="E3E3E3"/>
            </w:tcBorders>
            <w:shd w:val="clear" w:color="auto" w:fill="E3E3E3"/>
          </w:tcPr>
          <w:p>
            <w:pPr>
              <w:spacing w:after="0"/>
              <w:rPr>
                <w:sz w:val="20"/>
                <w:szCs w:val="20"/>
                <w:color w:val="auto"/>
              </w:rPr>
            </w:pPr>
          </w:p>
        </w:tc>
        <w:tc>
          <w:tcPr>
            <w:tcW w:w="160" w:type="dxa"/>
            <w:vAlign w:val="bottom"/>
            <w:tcBorders>
              <w:top w:val="single" w:sz="8" w:color="auto"/>
              <w:bottom w:val="single" w:sz="8" w:color="auto"/>
            </w:tcBorders>
            <w:shd w:val="clear" w:color="auto" w:fill="E3E3E3"/>
          </w:tcPr>
          <w:p>
            <w:pPr>
              <w:jc w:val="right"/>
              <w:ind w:right="44"/>
              <w:spacing w:after="0"/>
              <w:rPr>
                <w:sz w:val="20"/>
                <w:szCs w:val="20"/>
                <w:color w:val="auto"/>
              </w:rPr>
            </w:pPr>
            <w:r>
              <w:rPr>
                <w:rFonts w:ascii="Times New Roman" w:cs="Times New Roman" w:eastAsia="Times New Roman" w:hAnsi="Times New Roman"/>
                <w:sz w:val="11"/>
                <w:szCs w:val="11"/>
                <w:color w:val="auto"/>
                <w:w w:val="71"/>
                <w:shd w:val="clear" w:color="auto" w:fill="E3E3E3"/>
              </w:rPr>
              <w:t>$</w:t>
            </w:r>
          </w:p>
        </w:tc>
        <w:tc>
          <w:tcPr>
            <w:tcW w:w="9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shd w:val="clear" w:color="auto" w:fill="E3E3E3"/>
              </w:rPr>
              <w:t>31,116,960</w:t>
            </w:r>
          </w:p>
        </w:tc>
        <w:tc>
          <w:tcPr>
            <w:tcW w:w="200" w:type="dxa"/>
            <w:vAlign w:val="bottom"/>
            <w:tcBorders>
              <w:top w:val="single" w:sz="8" w:color="E3E3E3"/>
              <w:bottom w:val="single" w:sz="8" w:color="E3E3E3"/>
            </w:tcBorders>
            <w:shd w:val="clear" w:color="auto" w:fill="E3E3E3"/>
          </w:tcPr>
          <w:p>
            <w:pPr>
              <w:spacing w:after="0"/>
              <w:rPr>
                <w:sz w:val="20"/>
                <w:szCs w:val="20"/>
                <w:color w:val="auto"/>
              </w:rPr>
            </w:pPr>
          </w:p>
        </w:tc>
        <w:tc>
          <w:tcPr>
            <w:tcW w:w="20" w:type="dxa"/>
            <w:vAlign w:val="bottom"/>
            <w:tcBorders>
              <w:top w:val="single" w:sz="8" w:color="E3E3E3"/>
              <w:bottom w:val="single" w:sz="8" w:color="E3E3E3"/>
            </w:tcBorders>
            <w:shd w:val="clear" w:color="auto" w:fill="E3E3E3"/>
          </w:tcPr>
          <w:p>
            <w:pPr>
              <w:spacing w:after="0"/>
              <w:rPr>
                <w:sz w:val="20"/>
                <w:szCs w:val="20"/>
                <w:color w:val="auto"/>
              </w:rPr>
            </w:pPr>
          </w:p>
        </w:tc>
        <w:tc>
          <w:tcPr>
            <w:tcW w:w="960" w:type="dxa"/>
            <w:vAlign w:val="bottom"/>
            <w:tcBorders>
              <w:top w:val="single" w:sz="8" w:color="auto"/>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E3E3E3"/>
              </w:rPr>
              <w:t>$ 18,761,667</w:t>
            </w:r>
          </w:p>
        </w:tc>
        <w:tc>
          <w:tcPr>
            <w:tcW w:w="20" w:type="dxa"/>
            <w:vAlign w:val="bottom"/>
            <w:tcBorders>
              <w:top w:val="single" w:sz="8" w:color="auto"/>
              <w:bottom w:val="single" w:sz="8" w:color="E3E3E3"/>
            </w:tcBorders>
            <w:shd w:val="clear" w:color="auto" w:fill="E3E3E3"/>
          </w:tcPr>
          <w:p>
            <w:pPr>
              <w:spacing w:after="0"/>
              <w:rPr>
                <w:sz w:val="20"/>
                <w:szCs w:val="20"/>
                <w:color w:val="auto"/>
              </w:rPr>
            </w:pPr>
          </w:p>
        </w:tc>
        <w:tc>
          <w:tcPr>
            <w:tcW w:w="220" w:type="dxa"/>
            <w:vAlign w:val="bottom"/>
            <w:tcBorders>
              <w:top w:val="single" w:sz="8" w:color="E3E3E3"/>
              <w:bottom w:val="single" w:sz="8" w:color="E3E3E3"/>
            </w:tcBorders>
            <w:shd w:val="clear" w:color="auto" w:fill="E3E3E3"/>
          </w:tcPr>
          <w:p>
            <w:pPr>
              <w:spacing w:after="0"/>
              <w:rPr>
                <w:sz w:val="20"/>
                <w:szCs w:val="20"/>
                <w:color w:val="auto"/>
              </w:rPr>
            </w:pPr>
          </w:p>
        </w:tc>
        <w:tc>
          <w:tcPr>
            <w:tcW w:w="20" w:type="dxa"/>
            <w:vAlign w:val="bottom"/>
            <w:tcBorders>
              <w:top w:val="single" w:sz="8" w:color="E3E3E3"/>
              <w:bottom w:val="single" w:sz="8" w:color="E3E3E3"/>
            </w:tcBorders>
            <w:shd w:val="clear" w:color="auto" w:fill="E3E3E3"/>
          </w:tcPr>
          <w:p>
            <w:pPr>
              <w:spacing w:after="0"/>
              <w:rPr>
                <w:sz w:val="20"/>
                <w:szCs w:val="20"/>
                <w:color w:val="auto"/>
              </w:rPr>
            </w:pPr>
          </w:p>
        </w:tc>
        <w:tc>
          <w:tcPr>
            <w:tcW w:w="120" w:type="dxa"/>
            <w:vAlign w:val="bottom"/>
            <w:tcBorders>
              <w:top w:val="single" w:sz="8" w:color="auto"/>
              <w:bottom w:val="single" w:sz="8" w:color="auto"/>
            </w:tcBorders>
            <w:shd w:val="clear" w:color="auto" w:fill="E3E3E3"/>
          </w:tcPr>
          <w:p>
            <w:pPr>
              <w:jc w:val="right"/>
              <w:ind w:right="4"/>
              <w:spacing w:after="0"/>
              <w:rPr>
                <w:sz w:val="20"/>
                <w:szCs w:val="20"/>
                <w:color w:val="auto"/>
              </w:rPr>
            </w:pPr>
            <w:r>
              <w:rPr>
                <w:rFonts w:ascii="Times New Roman" w:cs="Times New Roman" w:eastAsia="Times New Roman" w:hAnsi="Times New Roman"/>
                <w:sz w:val="11"/>
                <w:szCs w:val="11"/>
                <w:color w:val="auto"/>
                <w:w w:val="71"/>
                <w:shd w:val="clear" w:color="auto" w:fill="E3E3E3"/>
              </w:rPr>
              <w:t>$</w:t>
            </w:r>
          </w:p>
        </w:tc>
        <w:tc>
          <w:tcPr>
            <w:tcW w:w="7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shd w:val="clear" w:color="auto" w:fill="E3E3E3"/>
              </w:rPr>
              <w:t>2,355,293</w:t>
            </w:r>
          </w:p>
        </w:tc>
        <w:tc>
          <w:tcPr>
            <w:tcW w:w="260" w:type="dxa"/>
            <w:vAlign w:val="bottom"/>
            <w:tcBorders>
              <w:top w:val="single" w:sz="8" w:color="E3E3E3"/>
              <w:bottom w:val="single" w:sz="8" w:color="E3E3E3"/>
            </w:tcBorders>
            <w:shd w:val="clear" w:color="auto" w:fill="E3E3E3"/>
          </w:tcPr>
          <w:p>
            <w:pPr>
              <w:spacing w:after="0"/>
              <w:rPr>
                <w:sz w:val="20"/>
                <w:szCs w:val="20"/>
                <w:color w:val="auto"/>
              </w:rPr>
            </w:pPr>
          </w:p>
        </w:tc>
        <w:tc>
          <w:tcPr>
            <w:tcW w:w="20" w:type="dxa"/>
            <w:vAlign w:val="bottom"/>
            <w:tcBorders>
              <w:top w:val="single" w:sz="8" w:color="E3E3E3"/>
              <w:bottom w:val="single" w:sz="8" w:color="E3E3E3"/>
            </w:tcBorders>
            <w:shd w:val="clear" w:color="auto" w:fill="E3E3E3"/>
          </w:tcPr>
          <w:p>
            <w:pPr>
              <w:spacing w:after="0"/>
              <w:rPr>
                <w:sz w:val="20"/>
                <w:szCs w:val="20"/>
                <w:color w:val="auto"/>
              </w:rPr>
            </w:pPr>
          </w:p>
        </w:tc>
        <w:tc>
          <w:tcPr>
            <w:tcW w:w="900" w:type="dxa"/>
            <w:vAlign w:val="bottom"/>
            <w:tcBorders>
              <w:top w:val="single" w:sz="8" w:color="auto"/>
              <w:bottom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8"/>
                <w:szCs w:val="18"/>
                <w:color w:val="auto"/>
                <w:w w:val="95"/>
                <w:shd w:val="clear" w:color="auto" w:fill="E3E3E3"/>
              </w:rPr>
              <w:t>$ 10,000,000</w:t>
            </w:r>
          </w:p>
        </w:tc>
        <w:tc>
          <w:tcPr>
            <w:tcW w:w="240" w:type="dxa"/>
            <w:vAlign w:val="bottom"/>
            <w:tcBorders>
              <w:top w:val="single" w:sz="8" w:color="E3E3E3"/>
              <w:bottom w:val="single" w:sz="8" w:color="E3E3E3"/>
            </w:tcBorders>
            <w:shd w:val="clear" w:color="auto" w:fill="E3E3E3"/>
          </w:tcPr>
          <w:p>
            <w:pPr>
              <w:spacing w:after="0"/>
              <w:rPr>
                <w:sz w:val="20"/>
                <w:szCs w:val="20"/>
                <w:color w:val="auto"/>
              </w:rPr>
            </w:pPr>
          </w:p>
        </w:tc>
        <w:tc>
          <w:tcPr>
            <w:tcW w:w="20" w:type="dxa"/>
            <w:vAlign w:val="bottom"/>
            <w:tcBorders>
              <w:top w:val="single" w:sz="8" w:color="E3E3E3"/>
              <w:bottom w:val="single" w:sz="8" w:color="E3E3E3"/>
            </w:tcBorders>
            <w:shd w:val="clear" w:color="auto" w:fill="E3E3E3"/>
          </w:tcPr>
          <w:p>
            <w:pPr>
              <w:spacing w:after="0"/>
              <w:rPr>
                <w:sz w:val="20"/>
                <w:szCs w:val="20"/>
                <w:color w:val="auto"/>
              </w:rPr>
            </w:pPr>
          </w:p>
        </w:tc>
        <w:tc>
          <w:tcPr>
            <w:tcW w:w="180" w:type="dxa"/>
            <w:vAlign w:val="bottom"/>
            <w:tcBorders>
              <w:top w:val="single" w:sz="8" w:color="auto"/>
              <w:bottom w:val="single" w:sz="8" w:color="auto"/>
            </w:tcBorders>
            <w:shd w:val="clear" w:color="auto" w:fill="E3E3E3"/>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E3E3E3"/>
              <w:bottom w:val="single" w:sz="8" w:color="E3E3E3"/>
            </w:tcBorders>
            <w:shd w:val="clear" w:color="auto" w:fill="E3E3E3"/>
          </w:tcPr>
          <w:p>
            <w:pPr>
              <w:spacing w:after="0"/>
              <w:rPr>
                <w:sz w:val="20"/>
                <w:szCs w:val="20"/>
                <w:color w:val="auto"/>
              </w:rPr>
            </w:pPr>
          </w:p>
        </w:tc>
        <w:tc>
          <w:tcPr>
            <w:tcW w:w="20" w:type="dxa"/>
            <w:vAlign w:val="bottom"/>
            <w:tcBorders>
              <w:top w:val="single" w:sz="8" w:color="E3E3E3"/>
              <w:bottom w:val="single" w:sz="8" w:color="E3E3E3"/>
            </w:tcBorders>
            <w:shd w:val="clear" w:color="auto" w:fill="E3E3E3"/>
          </w:tcPr>
          <w:p>
            <w:pPr>
              <w:spacing w:after="0"/>
              <w:rPr>
                <w:sz w:val="20"/>
                <w:szCs w:val="20"/>
                <w:color w:val="auto"/>
              </w:rPr>
            </w:pPr>
          </w:p>
        </w:tc>
        <w:tc>
          <w:tcPr>
            <w:tcW w:w="180" w:type="dxa"/>
            <w:vAlign w:val="bottom"/>
            <w:tcBorders>
              <w:top w:val="single" w:sz="8" w:color="auto"/>
              <w:bottom w:val="single" w:sz="8" w:color="auto"/>
            </w:tcBorders>
            <w:shd w:val="clear" w:color="auto" w:fill="E3E3E3"/>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E3E3E3"/>
              <w:bottom w:val="single" w:sz="8" w:color="E3E3E3"/>
            </w:tcBorders>
            <w:shd w:val="clear" w:color="auto" w:fill="E3E3E3"/>
          </w:tcPr>
          <w:p>
            <w:pPr>
              <w:spacing w:after="0"/>
              <w:rPr>
                <w:sz w:val="20"/>
                <w:szCs w:val="20"/>
                <w:color w:val="auto"/>
              </w:rPr>
            </w:pPr>
          </w:p>
        </w:tc>
        <w:tc>
          <w:tcPr>
            <w:tcW w:w="20" w:type="dxa"/>
            <w:vAlign w:val="bottom"/>
            <w:tcBorders>
              <w:top w:val="single" w:sz="8" w:color="E3E3E3"/>
              <w:bottom w:val="single" w:sz="8" w:color="E3E3E3"/>
            </w:tcBorders>
            <w:shd w:val="clear" w:color="auto" w:fill="E3E3E3"/>
          </w:tcPr>
          <w:p>
            <w:pPr>
              <w:spacing w:after="0"/>
              <w:rPr>
                <w:sz w:val="20"/>
                <w:szCs w:val="20"/>
                <w:color w:val="auto"/>
              </w:rPr>
            </w:pPr>
          </w:p>
        </w:tc>
        <w:tc>
          <w:tcPr>
            <w:tcW w:w="460" w:type="dxa"/>
            <w:vAlign w:val="bottom"/>
            <w:tcBorders>
              <w:top w:val="single" w:sz="8" w:color="auto"/>
              <w:bottom w:val="single" w:sz="8" w:color="auto"/>
            </w:tcBorders>
            <w:shd w:val="clear" w:color="auto" w:fill="E3E3E3"/>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E3E3E3"/>
              <w:bottom w:val="single" w:sz="8" w:color="E3E3E3"/>
            </w:tcBorders>
            <w:shd w:val="clear" w:color="auto" w:fill="E3E3E3"/>
          </w:tcPr>
          <w:p>
            <w:pPr>
              <w:spacing w:after="0"/>
              <w:rPr>
                <w:sz w:val="20"/>
                <w:szCs w:val="20"/>
                <w:color w:val="auto"/>
              </w:rPr>
            </w:pPr>
          </w:p>
        </w:tc>
      </w:tr>
      <w:tr>
        <w:trPr>
          <w:trHeight w:val="193"/>
        </w:trPr>
        <w:tc>
          <w:tcPr>
            <w:tcW w:w="24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31,116,960</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$ 18,761,667</w:t>
            </w:r>
          </w:p>
        </w:tc>
        <w:tc>
          <w:tcPr>
            <w:tcW w:w="24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2,355,293</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$ 10,000,000</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17"/>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17"/>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95"/>
              <w:spacing w:after="0" w:line="19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6"/>
                <w:szCs w:val="16"/>
                <w:color w:val="auto"/>
              </w:rPr>
            </w:pPr>
          </w:p>
        </w:tc>
      </w:tr>
      <w:tr>
        <w:trPr>
          <w:trHeight w:val="20"/>
        </w:trPr>
        <w:tc>
          <w:tcPr>
            <w:tcW w:w="2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Contingencies</w:t>
      </w:r>
    </w:p>
    <w:p>
      <w:pPr>
        <w:spacing w:after="0" w:line="193" w:lineRule="exact"/>
        <w:rPr>
          <w:sz w:val="20"/>
          <w:szCs w:val="20"/>
          <w:color w:val="auto"/>
        </w:rPr>
      </w:pPr>
    </w:p>
    <w:p>
      <w:pPr>
        <w:jc w:val="both"/>
        <w:ind w:firstLine="355"/>
        <w:spacing w:after="0" w:line="273" w:lineRule="auto"/>
        <w:rPr>
          <w:sz w:val="20"/>
          <w:szCs w:val="20"/>
          <w:color w:val="auto"/>
        </w:rPr>
      </w:pPr>
      <w:r>
        <w:rPr>
          <w:rFonts w:ascii="Times New Roman" w:cs="Times New Roman" w:eastAsia="Times New Roman" w:hAnsi="Times New Roman"/>
          <w:sz w:val="20"/>
          <w:szCs w:val="20"/>
          <w:color w:val="auto"/>
        </w:rPr>
        <w:t>The Company from time to time may be a party to litigation in the normal course of business. As of December 31, 2025, the Company is not aware of any legal claims that could materially impact its business, financial condition or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STOCKHOLDERS’ EQUITY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 Program (“ATM” Program”)</w:t>
      </w:r>
    </w:p>
    <w:p>
      <w:pPr>
        <w:spacing w:after="0" w:line="193" w:lineRule="exact"/>
        <w:rPr>
          <w:sz w:val="20"/>
          <w:szCs w:val="20"/>
          <w:color w:val="auto"/>
        </w:rPr>
      </w:pPr>
    </w:p>
    <w:p>
      <w:pPr>
        <w:jc w:val="both"/>
        <w:ind w:firstLine="355"/>
        <w:spacing w:after="0"/>
        <w:rPr>
          <w:sz w:val="20"/>
          <w:szCs w:val="20"/>
          <w:color w:val="auto"/>
        </w:rPr>
      </w:pPr>
      <w:r>
        <w:rPr>
          <w:rFonts w:ascii="Times New Roman" w:cs="Times New Roman" w:eastAsia="Times New Roman" w:hAnsi="Times New Roman"/>
          <w:sz w:val="20"/>
          <w:szCs w:val="20"/>
          <w:color w:val="auto"/>
        </w:rPr>
        <w:t>On June 20, 2023, the Company entered into separate At-the-Market Sales Agreement (each, a "Sales Agreement" and together, the “Previous Sales Agreements”) with BTIG, LLC, Compass Point Research &amp; Trading, LLC and Oppenheimer &amp; Co. Inc. (each a “Sales Agent” and together the “ Previous Sales Agents”) under which the Company may, from time to time, offer and sell shares of common stock, having an aggregate offering price of up to $75.0 million. Under the terms of the Previous Sales Agreement, the Company has agreed to pay the Previous Sales Agents a commission of up to 3.0% of the gross proceeds from each sale of common stock sold through the Sales Agents. On March 17, 2025, the Company entered into new separate at-the-market sales agreements (each a “New Sales Agreement” and together with the Previous Sales Agreements, the “Sales Agreements”) with BTIG, LLC, A.G.P./Alliance Global Partners LLC, ATB Capital Markets USA Inc. and Oppenheimer &amp; Co. Inc., (each a “New Sales Agent” and together with the Previous Sales Agents, the “Sales Agents”), which increased the aggregate offering size of the at-the-market offering from $75 million to $100 million and reduced the maximum commission paid to the Sales Agents from 3.0% to 2.0%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64"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sold an aggregate of 64,557 and 2,489,290 shares of the Company’s common stock under the Sales Agreement, respectively, which generated proceeds, net of commissions and offering expenses, of approximately $0.9 million and $38.4 million, during the comparable periods. The weighted average price for sales of our common stock in connection with the ATM program was $16.01 and $15.90 for the year ended December 31, 2025 and 2024, respectively.</w:t>
      </w:r>
    </w:p>
    <w:p>
      <w:pPr>
        <w:spacing w:after="0" w:line="156"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As of December 31, 2025, the shares of common stock sold pursuant to the registered direct offering in February 2023 and under the ATM Program are the only offerings that have been initiated under the Shelf Registration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Incentive Plan</w:t>
      </w:r>
    </w:p>
    <w:p>
      <w:pPr>
        <w:spacing w:after="0" w:line="193" w:lineRule="exact"/>
        <w:rPr>
          <w:sz w:val="20"/>
          <w:szCs w:val="20"/>
          <w:color w:val="auto"/>
        </w:rPr>
      </w:pPr>
    </w:p>
    <w:p>
      <w:pPr>
        <w:jc w:val="both"/>
        <w:ind w:firstLine="355"/>
        <w:spacing w:after="0" w:line="266" w:lineRule="auto"/>
        <w:rPr>
          <w:sz w:val="20"/>
          <w:szCs w:val="20"/>
          <w:color w:val="auto"/>
        </w:rPr>
      </w:pPr>
      <w:r>
        <w:rPr>
          <w:rFonts w:ascii="Times New Roman" w:cs="Times New Roman" w:eastAsia="Times New Roman" w:hAnsi="Times New Roman"/>
          <w:sz w:val="19"/>
          <w:szCs w:val="19"/>
          <w:color w:val="auto"/>
        </w:rPr>
        <w:t>Concurrent with our IPO, the Company established the 2021 Plan, which is administered by the Compensation Committee of the Board.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w:t>
      </w:r>
    </w:p>
    <w:p>
      <w:pPr>
        <w:sectPr>
          <w:pgSz w:w="12240" w:h="15840" w:orient="portrait"/>
          <w:cols w:equalWidth="0" w:num="1">
            <w:col w:w="10640"/>
          </w:cols>
          <w:pgMar w:left="800" w:top="1005" w:right="800" w:bottom="266"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0640"/>
          </w:cols>
          <w:pgMar w:left="800" w:top="1005" w:right="800" w:bottom="266" w:gutter="0" w:footer="0" w:header="0"/>
          <w:type w:val="continuous"/>
        </w:sectPr>
      </w:pPr>
    </w:p>
    <w:bookmarkStart w:id="129" w:name="page130"/>
    <w:bookmarkEnd w:id="129"/>
    <w:p>
      <w:pPr>
        <w:jc w:val="both"/>
        <w:spacing w:after="0" w:line="249" w:lineRule="auto"/>
        <w:rPr>
          <w:sz w:val="20"/>
          <w:szCs w:val="20"/>
          <w:color w:val="auto"/>
        </w:rPr>
      </w:pPr>
      <w:r>
        <w:rPr>
          <w:rFonts w:ascii="Times New Roman" w:cs="Times New Roman" w:eastAsia="Times New Roman" w:hAnsi="Times New Roman"/>
          <w:sz w:val="20"/>
          <w:szCs w:val="20"/>
          <w:color w:val="auto"/>
        </w:rPr>
        <w:t>has, and currently intends to continue to grant restricted stock awards ("RSA's")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53"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As of December 31, 2025 and 2024,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spacing w:after="0" w:line="156"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2024, RSA grants of 187,335 shares of common stock were granted to employees of our Manager and independent members of the Board. Pursuant to the respective award agreements, 163,280 RSA's granted to employees of the Manager vest annually in equal installments over a three-year period beginning on the first anniversary of the date of the grant. The remaining 24,055 RSA's granted to independent members of the Board vest annually over a one year period. Upon vesting, the vested restricted stock awards are exchanged for an equal number of shares of the Company’s common stock.</w:t>
      </w:r>
    </w:p>
    <w:p>
      <w:pPr>
        <w:spacing w:after="0" w:line="156"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2025, RSA grants of 187,157 shares of common stock were granted to employees of our Manager and independent members of the Board. Pursuant to the respective award agreements, 171,944 RSA's granted to employees of the Manager vest annually in equal installments over a three-year period beginning on the first anniversary of the date of the grant. The remaining 15,213 RSA's granted to independent members of the Board vest annually over a one year period. Upon vesting, the vested restricted stock awards are exchanged for an equal number of shares of the Company’s common stock.</w:t>
      </w:r>
    </w:p>
    <w:p>
      <w:pPr>
        <w:spacing w:after="0" w:line="156" w:lineRule="exact"/>
        <w:rPr>
          <w:sz w:val="20"/>
          <w:szCs w:val="20"/>
          <w:color w:val="auto"/>
        </w:rPr>
      </w:pPr>
    </w:p>
    <w:p>
      <w:pPr>
        <w:jc w:val="both"/>
        <w:ind w:firstLine="355"/>
        <w:spacing w:after="0" w:line="274" w:lineRule="auto"/>
        <w:rPr>
          <w:sz w:val="20"/>
          <w:szCs w:val="20"/>
          <w:color w:val="auto"/>
        </w:rPr>
      </w:pPr>
      <w:r>
        <w:rPr>
          <w:rFonts w:ascii="Times New Roman" w:cs="Times New Roman" w:eastAsia="Times New Roman" w:hAnsi="Times New Roman"/>
          <w:sz w:val="19"/>
          <w:szCs w:val="19"/>
          <w:color w:val="auto"/>
        </w:rPr>
        <w:t>Forfeitures are recognized as they occur. There were 8,127 and 0 shares forfeited during the years ended December 31, 2025 and 2024, respectively. As individual awards and options become fully vested, stock-based compensation expense is adjusted to recognize actual forfeitures.</w:t>
      </w:r>
    </w:p>
    <w:p>
      <w:pPr>
        <w:spacing w:after="0" w:line="132"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59"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Based on the closing market price of our common stock on December 31, 2025 and 2024 of $12.26 and $15.42, respectively, the aggregate intrinsic value of our restricted stock awards was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720" w:type="dxa"/>
            <w:vAlign w:val="bottom"/>
            <w:gridSpan w:val="6"/>
          </w:tcPr>
          <w:p>
            <w:pPr>
              <w:ind w:left="20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250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40" w:type="dxa"/>
            <w:vAlign w:val="bottom"/>
          </w:tcPr>
          <w:p>
            <w:pPr>
              <w:spacing w:after="0"/>
              <w:rPr>
                <w:sz w:val="21"/>
                <w:szCs w:val="21"/>
                <w:color w:val="auto"/>
              </w:rPr>
            </w:pPr>
          </w:p>
        </w:tc>
      </w:tr>
      <w:tr>
        <w:trPr>
          <w:trHeight w:val="222"/>
        </w:trPr>
        <w:tc>
          <w:tcPr>
            <w:tcW w:w="3680" w:type="dxa"/>
            <w:vAlign w:val="bottom"/>
            <w:tcBorders>
              <w:bottom w:val="single" w:sz="8" w:color="E3E3E3"/>
            </w:tcBorders>
          </w:tcPr>
          <w:p>
            <w:pPr>
              <w:spacing w:after="0"/>
              <w:rPr>
                <w:sz w:val="19"/>
                <w:szCs w:val="19"/>
                <w:color w:val="auto"/>
              </w:rPr>
            </w:pPr>
          </w:p>
        </w:tc>
        <w:tc>
          <w:tcPr>
            <w:tcW w:w="1700" w:type="dxa"/>
            <w:vAlign w:val="bottom"/>
            <w:tcBorders>
              <w:bottom w:val="single" w:sz="8" w:color="E3E3E3"/>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7"/>
              </w:rPr>
              <w:t>Outstanding</w:t>
            </w:r>
          </w:p>
        </w:tc>
        <w:tc>
          <w:tcPr>
            <w:tcW w:w="240" w:type="dxa"/>
            <w:vAlign w:val="bottom"/>
            <w:tcBorders>
              <w:top w:val="single" w:sz="8" w:color="auto"/>
              <w:bottom w:val="single" w:sz="8" w:color="E3E3E3"/>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81"/>
              <w:spacing w:after="0" w:line="222" w:lineRule="exact"/>
              <w:rPr>
                <w:sz w:val="20"/>
                <w:szCs w:val="20"/>
                <w:color w:val="auto"/>
              </w:rPr>
            </w:pPr>
            <w:r>
              <w:rPr>
                <w:rFonts w:ascii="Times New Roman" w:cs="Times New Roman" w:eastAsia="Times New Roman" w:hAnsi="Times New Roman"/>
                <w:sz w:val="20"/>
                <w:szCs w:val="20"/>
                <w:b w:val="1"/>
                <w:bCs w:val="1"/>
                <w:color w:val="auto"/>
              </w:rPr>
              <w:t>Vested</w:t>
            </w:r>
          </w:p>
        </w:tc>
        <w:tc>
          <w:tcPr>
            <w:tcW w:w="20" w:type="dxa"/>
            <w:vAlign w:val="bottom"/>
          </w:tcPr>
          <w:p>
            <w:pPr>
              <w:spacing w:after="0"/>
              <w:rPr>
                <w:sz w:val="19"/>
                <w:szCs w:val="19"/>
                <w:color w:val="auto"/>
              </w:rPr>
            </w:pPr>
          </w:p>
        </w:tc>
        <w:tc>
          <w:tcPr>
            <w:tcW w:w="220" w:type="dxa"/>
            <w:vAlign w:val="bottom"/>
            <w:tcBorders>
              <w:bottom w:val="single" w:sz="8" w:color="E3E3E3"/>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7"/>
              </w:rPr>
              <w:t>Outstanding</w:t>
            </w:r>
          </w:p>
        </w:tc>
        <w:tc>
          <w:tcPr>
            <w:tcW w:w="240" w:type="dxa"/>
            <w:vAlign w:val="bottom"/>
            <w:tcBorders>
              <w:top w:val="single" w:sz="8" w:color="auto"/>
              <w:bottom w:val="single" w:sz="8" w:color="E3E3E3"/>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81"/>
              <w:spacing w:after="0" w:line="222" w:lineRule="exact"/>
              <w:rPr>
                <w:sz w:val="20"/>
                <w:szCs w:val="20"/>
                <w:color w:val="auto"/>
              </w:rPr>
            </w:pPr>
            <w:r>
              <w:rPr>
                <w:rFonts w:ascii="Times New Roman" w:cs="Times New Roman" w:eastAsia="Times New Roman" w:hAnsi="Times New Roman"/>
                <w:sz w:val="20"/>
                <w:szCs w:val="20"/>
                <w:b w:val="1"/>
                <w:bCs w:val="1"/>
                <w:color w:val="auto"/>
              </w:rPr>
              <w:t>Vested</w:t>
            </w:r>
          </w:p>
        </w:tc>
        <w:tc>
          <w:tcPr>
            <w:tcW w:w="20" w:type="dxa"/>
            <w:vAlign w:val="bottom"/>
          </w:tcPr>
          <w:p>
            <w:pPr>
              <w:spacing w:after="0"/>
              <w:rPr>
                <w:sz w:val="19"/>
                <w:szCs w:val="19"/>
                <w:color w:val="auto"/>
              </w:rPr>
            </w:pPr>
          </w:p>
        </w:tc>
        <w:tc>
          <w:tcPr>
            <w:tcW w:w="40" w:type="dxa"/>
            <w:vAlign w:val="bottom"/>
            <w:tcBorders>
              <w:bottom w:val="single" w:sz="8" w:color="E3E3E3"/>
            </w:tcBorders>
          </w:tcPr>
          <w:p>
            <w:pPr>
              <w:spacing w:after="0"/>
              <w:rPr>
                <w:sz w:val="19"/>
                <w:szCs w:val="19"/>
                <w:color w:val="auto"/>
              </w:rPr>
            </w:pPr>
          </w:p>
        </w:tc>
      </w:tr>
      <w:tr>
        <w:trPr>
          <w:trHeight w:val="222"/>
        </w:trPr>
        <w:tc>
          <w:tcPr>
            <w:tcW w:w="3680" w:type="dxa"/>
            <w:vAlign w:val="bottom"/>
            <w:shd w:val="clear" w:color="auto" w:fill="E3E3E3"/>
          </w:tcPr>
          <w:p>
            <w:pPr>
              <w:spacing w:after="0" w:line="222" w:lineRule="exact"/>
              <w:rPr>
                <w:sz w:val="20"/>
                <w:szCs w:val="20"/>
                <w:color w:val="auto"/>
              </w:rPr>
            </w:pPr>
            <w:r>
              <w:rPr>
                <w:rFonts w:ascii="Times New Roman" w:cs="Times New Roman" w:eastAsia="Times New Roman" w:hAnsi="Times New Roman"/>
                <w:sz w:val="20"/>
                <w:szCs w:val="20"/>
                <w:color w:val="auto"/>
              </w:rPr>
              <w:t>Aggregate intrinsic value</w:t>
            </w:r>
          </w:p>
        </w:tc>
        <w:tc>
          <w:tcPr>
            <w:tcW w:w="1700" w:type="dxa"/>
            <w:vAlign w:val="bottom"/>
            <w:shd w:val="clear" w:color="auto" w:fill="E3E3E3"/>
          </w:tcPr>
          <w:p>
            <w:pPr>
              <w:spacing w:after="0"/>
              <w:rPr>
                <w:sz w:val="19"/>
                <w:szCs w:val="19"/>
                <w:color w:val="auto"/>
              </w:rPr>
            </w:pPr>
          </w:p>
        </w:tc>
        <w:tc>
          <w:tcPr>
            <w:tcW w:w="112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   4,951,152</w:t>
            </w:r>
          </w:p>
        </w:tc>
        <w:tc>
          <w:tcPr>
            <w:tcW w:w="240" w:type="dxa"/>
            <w:vAlign w:val="bottom"/>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60" w:type="dxa"/>
            <w:vAlign w:val="bottom"/>
            <w:tcBorders>
              <w:bottom w:val="single" w:sz="8" w:color="auto"/>
            </w:tcBorders>
            <w:gridSpan w:val="2"/>
            <w:shd w:val="clear" w:color="auto" w:fill="E3E3E3"/>
          </w:tcPr>
          <w:p>
            <w:pPr>
              <w:jc w:val="right"/>
              <w:ind w:right="20"/>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4,916,235</w:t>
            </w:r>
          </w:p>
        </w:tc>
        <w:tc>
          <w:tcPr>
            <w:tcW w:w="220" w:type="dxa"/>
            <w:vAlign w:val="bottom"/>
            <w:shd w:val="clear" w:color="auto" w:fill="E3E3E3"/>
          </w:tcPr>
          <w:p>
            <w:pPr>
              <w:spacing w:after="0"/>
              <w:rPr>
                <w:sz w:val="19"/>
                <w:szCs w:val="19"/>
                <w:color w:val="auto"/>
              </w:rPr>
            </w:pPr>
          </w:p>
        </w:tc>
        <w:tc>
          <w:tcPr>
            <w:tcW w:w="1120" w:type="dxa"/>
            <w:vAlign w:val="bottom"/>
            <w:tcBorders>
              <w:bottom w:val="single" w:sz="8" w:color="auto"/>
            </w:tcBorders>
            <w:shd w:val="clear" w:color="auto" w:fill="E3E3E3"/>
          </w:tcPr>
          <w:p>
            <w:pPr>
              <w:jc w:val="right"/>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   6,342,292</w:t>
            </w:r>
          </w:p>
        </w:tc>
        <w:tc>
          <w:tcPr>
            <w:tcW w:w="240" w:type="dxa"/>
            <w:vAlign w:val="bottom"/>
            <w:shd w:val="clear" w:color="auto" w:fill="E3E3E3"/>
          </w:tcPr>
          <w:p>
            <w:pPr>
              <w:spacing w:after="0"/>
              <w:rPr>
                <w:sz w:val="19"/>
                <w:szCs w:val="19"/>
                <w:color w:val="auto"/>
              </w:rPr>
            </w:pPr>
          </w:p>
        </w:tc>
        <w:tc>
          <w:tcPr>
            <w:tcW w:w="180" w:type="dxa"/>
            <w:vAlign w:val="bottom"/>
            <w:tcBorders>
              <w:bottom w:val="single" w:sz="8" w:color="auto"/>
            </w:tcBorders>
            <w:shd w:val="clear" w:color="auto" w:fill="E3E3E3"/>
          </w:tcPr>
          <w:p>
            <w:pPr>
              <w:jc w:val="right"/>
              <w:ind w:right="18"/>
              <w:spacing w:after="0"/>
              <w:rPr>
                <w:sz w:val="20"/>
                <w:szCs w:val="20"/>
                <w:color w:val="auto"/>
              </w:rPr>
            </w:pPr>
            <w:r>
              <w:rPr>
                <w:rFonts w:ascii="Times New Roman" w:cs="Times New Roman" w:eastAsia="Times New Roman" w:hAnsi="Times New Roman"/>
                <w:sz w:val="16"/>
                <w:szCs w:val="16"/>
                <w:color w:val="auto"/>
                <w:w w:val="74"/>
                <w:shd w:val="clear" w:color="auto" w:fill="E3E3E3"/>
              </w:rPr>
              <w:t>$</w:t>
            </w:r>
          </w:p>
        </w:tc>
        <w:tc>
          <w:tcPr>
            <w:tcW w:w="960" w:type="dxa"/>
            <w:vAlign w:val="bottom"/>
            <w:tcBorders>
              <w:bottom w:val="single" w:sz="8" w:color="auto"/>
            </w:tcBorders>
            <w:gridSpan w:val="2"/>
            <w:shd w:val="clear" w:color="auto" w:fill="E3E3E3"/>
          </w:tcPr>
          <w:p>
            <w:pPr>
              <w:jc w:val="right"/>
              <w:ind w:right="20"/>
              <w:spacing w:after="0" w:line="222" w:lineRule="exact"/>
              <w:rPr>
                <w:sz w:val="20"/>
                <w:szCs w:val="20"/>
                <w:color w:val="auto"/>
              </w:rPr>
            </w:pPr>
            <w:r>
              <w:rPr>
                <w:rFonts w:ascii="Times New Roman" w:cs="Times New Roman" w:eastAsia="Times New Roman" w:hAnsi="Times New Roman"/>
                <w:sz w:val="20"/>
                <w:szCs w:val="20"/>
                <w:color w:val="auto"/>
                <w:shd w:val="clear" w:color="auto" w:fill="E3E3E3"/>
              </w:rPr>
              <w:t>3,182,441</w:t>
            </w:r>
          </w:p>
        </w:tc>
        <w:tc>
          <w:tcPr>
            <w:tcW w:w="40" w:type="dxa"/>
            <w:vAlign w:val="bottom"/>
            <w:shd w:val="clear" w:color="auto" w:fill="E3E3E3"/>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5"/>
        <w:spacing w:after="0" w:line="272" w:lineRule="auto"/>
        <w:rPr>
          <w:sz w:val="20"/>
          <w:szCs w:val="20"/>
          <w:color w:val="auto"/>
        </w:rPr>
      </w:pPr>
      <w:r>
        <w:rPr>
          <w:rFonts w:ascii="Times New Roman" w:cs="Times New Roman" w:eastAsia="Times New Roman" w:hAnsi="Times New Roman"/>
          <w:sz w:val="20"/>
          <w:szCs w:val="20"/>
          <w:color w:val="auto"/>
        </w:rPr>
        <w:t>The following table summarizes the restricted stock activity for the Company’s directors and officers and employees of the Manager during the years ended December 31, 2025 and 2024, and the balance of unvested restricted stock as of such dates.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9"/>
              </w:rPr>
              <w:t>Weighted Average Grant</w:t>
            </w:r>
          </w:p>
        </w:tc>
        <w:tc>
          <w:tcPr>
            <w:tcW w:w="60" w:type="dxa"/>
            <w:vAlign w:val="bottom"/>
          </w:tcPr>
          <w:p>
            <w:pPr>
              <w:spacing w:after="0"/>
              <w:rPr>
                <w:sz w:val="19"/>
                <w:szCs w:val="19"/>
                <w:color w:val="auto"/>
              </w:rPr>
            </w:pPr>
          </w:p>
        </w:tc>
      </w:tr>
      <w:tr>
        <w:trPr>
          <w:trHeight w:val="227"/>
        </w:trPr>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jc w:val="center"/>
              <w:ind w:right="41"/>
              <w:spacing w:after="0" w:line="228" w:lineRule="exact"/>
              <w:rPr>
                <w:sz w:val="20"/>
                <w:szCs w:val="20"/>
                <w:color w:val="auto"/>
              </w:rPr>
            </w:pPr>
            <w:r>
              <w:rPr>
                <w:rFonts w:ascii="Times New Roman" w:cs="Times New Roman" w:eastAsia="Times New Roman" w:hAnsi="Times New Roman"/>
                <w:sz w:val="20"/>
                <w:szCs w:val="20"/>
                <w:b w:val="1"/>
                <w:bCs w:val="1"/>
                <w:color w:val="auto"/>
                <w:w w:val="94"/>
              </w:rPr>
              <w:t>Date</w:t>
            </w:r>
          </w:p>
        </w:tc>
        <w:tc>
          <w:tcPr>
            <w:tcW w:w="60" w:type="dxa"/>
            <w:vAlign w:val="bottom"/>
          </w:tcPr>
          <w:p>
            <w:pPr>
              <w:spacing w:after="0"/>
              <w:rPr>
                <w:sz w:val="19"/>
                <w:szCs w:val="19"/>
                <w:color w:val="auto"/>
              </w:rPr>
            </w:pPr>
          </w:p>
        </w:tc>
      </w:tr>
      <w:tr>
        <w:trPr>
          <w:trHeight w:val="227"/>
        </w:trPr>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jc w:val="center"/>
              <w:ind w:right="41"/>
              <w:spacing w:after="0" w:line="228" w:lineRule="exact"/>
              <w:rPr>
                <w:sz w:val="20"/>
                <w:szCs w:val="20"/>
                <w:color w:val="auto"/>
              </w:rPr>
            </w:pPr>
            <w:r>
              <w:rPr>
                <w:rFonts w:ascii="Times New Roman" w:cs="Times New Roman" w:eastAsia="Times New Roman" w:hAnsi="Times New Roman"/>
                <w:sz w:val="20"/>
                <w:szCs w:val="20"/>
                <w:b w:val="1"/>
                <w:bCs w:val="1"/>
                <w:color w:val="auto"/>
                <w:w w:val="98"/>
              </w:rPr>
              <w:t>Fair Value</w:t>
            </w:r>
          </w:p>
        </w:tc>
        <w:tc>
          <w:tcPr>
            <w:tcW w:w="60" w:type="dxa"/>
            <w:vAlign w:val="bottom"/>
          </w:tcPr>
          <w:p>
            <w:pPr>
              <w:spacing w:after="0"/>
              <w:rPr>
                <w:sz w:val="19"/>
                <w:szCs w:val="19"/>
                <w:color w:val="auto"/>
              </w:rPr>
            </w:pPr>
          </w:p>
        </w:tc>
      </w:tr>
      <w:tr>
        <w:trPr>
          <w:trHeight w:val="251"/>
        </w:trPr>
        <w:tc>
          <w:tcPr>
            <w:tcW w:w="5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7"/>
              </w:rPr>
              <w:t>Unvested Restricted Stock</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7"/>
              </w:rPr>
              <w:t>per Share</w:t>
            </w:r>
          </w:p>
        </w:tc>
        <w:tc>
          <w:tcPr>
            <w:tcW w:w="60" w:type="dxa"/>
            <w:vAlign w:val="bottom"/>
          </w:tcPr>
          <w:p>
            <w:pPr>
              <w:spacing w:after="0"/>
              <w:rPr>
                <w:sz w:val="21"/>
                <w:szCs w:val="21"/>
                <w:color w:val="auto"/>
              </w:rPr>
            </w:pPr>
          </w:p>
        </w:tc>
      </w:tr>
      <w:tr>
        <w:trPr>
          <w:trHeight w:val="236"/>
        </w:trPr>
        <w:tc>
          <w:tcPr>
            <w:tcW w:w="560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Balance at January 1, 2024</w:t>
            </w:r>
          </w:p>
        </w:tc>
        <w:tc>
          <w:tcPr>
            <w:tcW w:w="20" w:type="dxa"/>
            <w:vAlign w:val="bottom"/>
            <w:tcBorders>
              <w:top w:val="single" w:sz="8" w:color="auto"/>
            </w:tcBorders>
            <w:shd w:val="clear" w:color="auto" w:fill="E3E3E3"/>
          </w:tcPr>
          <w:p>
            <w:pPr>
              <w:spacing w:after="0"/>
              <w:rPr>
                <w:sz w:val="20"/>
                <w:szCs w:val="20"/>
                <w:color w:val="auto"/>
              </w:rPr>
            </w:pPr>
          </w:p>
        </w:tc>
        <w:tc>
          <w:tcPr>
            <w:tcW w:w="22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366,647</w:t>
            </w:r>
          </w:p>
        </w:tc>
        <w:tc>
          <w:tcPr>
            <w:tcW w:w="120" w:type="dxa"/>
            <w:vAlign w:val="bottom"/>
            <w:tcBorders>
              <w:top w:val="single" w:sz="8" w:color="E3E3E3"/>
            </w:tcBorders>
            <w:shd w:val="clear" w:color="auto" w:fill="E3E3E3"/>
          </w:tcPr>
          <w:p>
            <w:pPr>
              <w:spacing w:after="0"/>
              <w:rPr>
                <w:sz w:val="20"/>
                <w:szCs w:val="20"/>
                <w:color w:val="auto"/>
              </w:rPr>
            </w:pPr>
          </w:p>
        </w:tc>
        <w:tc>
          <w:tcPr>
            <w:tcW w:w="360" w:type="dxa"/>
            <w:vAlign w:val="bottom"/>
            <w:tcBorders>
              <w:top w:val="single" w:sz="8" w:color="auto"/>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14.86</w:t>
            </w:r>
          </w:p>
        </w:tc>
        <w:tc>
          <w:tcPr>
            <w:tcW w:w="60" w:type="dxa"/>
            <w:vAlign w:val="bottom"/>
            <w:tcBorders>
              <w:top w:val="single" w:sz="8" w:color="E3E3E3"/>
            </w:tcBorders>
            <w:shd w:val="clear" w:color="auto" w:fill="E3E3E3"/>
          </w:tcPr>
          <w:p>
            <w:pPr>
              <w:spacing w:after="0"/>
              <w:rPr>
                <w:sz w:val="20"/>
                <w:szCs w:val="20"/>
                <w:color w:val="auto"/>
              </w:rPr>
            </w:pPr>
          </w:p>
        </w:tc>
      </w:tr>
      <w:tr>
        <w:trPr>
          <w:trHeight w:val="241"/>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60" w:type="dxa"/>
            <w:vAlign w:val="bottom"/>
          </w:tcPr>
          <w:p>
            <w:pPr>
              <w:spacing w:after="0"/>
              <w:rPr>
                <w:sz w:val="20"/>
                <w:szCs w:val="20"/>
                <w:color w:val="auto"/>
              </w:rPr>
            </w:pPr>
          </w:p>
        </w:tc>
      </w:tr>
      <w:tr>
        <w:trPr>
          <w:trHeight w:val="241"/>
        </w:trPr>
        <w:tc>
          <w:tcPr>
            <w:tcW w:w="56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Vested</w:t>
            </w:r>
          </w:p>
        </w:tc>
        <w:tc>
          <w:tcPr>
            <w:tcW w:w="23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(142,679)</w:t>
            </w:r>
          </w:p>
        </w:tc>
        <w:tc>
          <w:tcPr>
            <w:tcW w:w="24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60" w:type="dxa"/>
            <w:vAlign w:val="bottom"/>
            <w:shd w:val="clear" w:color="auto" w:fill="E3E3E3"/>
          </w:tcPr>
          <w:p>
            <w:pPr>
              <w:spacing w:after="0"/>
              <w:rPr>
                <w:sz w:val="20"/>
                <w:szCs w:val="20"/>
                <w:color w:val="auto"/>
              </w:rPr>
            </w:pPr>
          </w:p>
        </w:tc>
      </w:tr>
      <w:tr>
        <w:trPr>
          <w:trHeight w:val="241"/>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36"/>
        </w:trPr>
        <w:tc>
          <w:tcPr>
            <w:tcW w:w="560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20" w:type="dxa"/>
            <w:vAlign w:val="bottom"/>
            <w:tcBorders>
              <w:top w:val="single" w:sz="8" w:color="auto"/>
            </w:tcBorders>
            <w:shd w:val="clear" w:color="auto" w:fill="E3E3E3"/>
          </w:tcPr>
          <w:p>
            <w:pPr>
              <w:spacing w:after="0"/>
              <w:rPr>
                <w:sz w:val="20"/>
                <w:szCs w:val="20"/>
                <w:color w:val="auto"/>
              </w:rPr>
            </w:pPr>
          </w:p>
        </w:tc>
        <w:tc>
          <w:tcPr>
            <w:tcW w:w="22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411,303</w:t>
            </w:r>
          </w:p>
        </w:tc>
        <w:tc>
          <w:tcPr>
            <w:tcW w:w="120" w:type="dxa"/>
            <w:vAlign w:val="bottom"/>
            <w:tcBorders>
              <w:top w:val="single" w:sz="8" w:color="E3E3E3"/>
            </w:tcBorders>
            <w:shd w:val="clear" w:color="auto" w:fill="E3E3E3"/>
          </w:tcPr>
          <w:p>
            <w:pPr>
              <w:spacing w:after="0"/>
              <w:rPr>
                <w:sz w:val="20"/>
                <w:szCs w:val="20"/>
                <w:color w:val="auto"/>
              </w:rPr>
            </w:pPr>
          </w:p>
        </w:tc>
        <w:tc>
          <w:tcPr>
            <w:tcW w:w="240" w:type="dxa"/>
            <w:vAlign w:val="bottom"/>
            <w:tcBorders>
              <w:top w:val="single" w:sz="8" w:color="E3E3E3"/>
            </w:tcBorders>
            <w:shd w:val="clear" w:color="auto" w:fill="E3E3E3"/>
          </w:tcPr>
          <w:p>
            <w:pPr>
              <w:spacing w:after="0"/>
              <w:rPr>
                <w:sz w:val="20"/>
                <w:szCs w:val="20"/>
                <w:color w:val="auto"/>
              </w:rPr>
            </w:pPr>
          </w:p>
        </w:tc>
        <w:tc>
          <w:tcPr>
            <w:tcW w:w="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2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15.14</w:t>
            </w:r>
          </w:p>
        </w:tc>
        <w:tc>
          <w:tcPr>
            <w:tcW w:w="60" w:type="dxa"/>
            <w:vAlign w:val="bottom"/>
            <w:tcBorders>
              <w:top w:val="single" w:sz="8" w:color="E3E3E3"/>
            </w:tcBorders>
            <w:shd w:val="clear" w:color="auto" w:fill="E3E3E3"/>
          </w:tcPr>
          <w:p>
            <w:pPr>
              <w:spacing w:after="0"/>
              <w:rPr>
                <w:sz w:val="20"/>
                <w:szCs w:val="20"/>
                <w:color w:val="auto"/>
              </w:rPr>
            </w:pPr>
          </w:p>
        </w:tc>
      </w:tr>
      <w:tr>
        <w:trPr>
          <w:trHeight w:val="20"/>
        </w:trPr>
        <w:tc>
          <w:tcPr>
            <w:tcW w:w="5620" w:type="dxa"/>
            <w:vAlign w:val="bottom"/>
            <w:gridSpan w:val="2"/>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6"/>
        </w:trPr>
        <w:tc>
          <w:tcPr>
            <w:tcW w:w="562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Granted</w:t>
            </w:r>
          </w:p>
        </w:tc>
        <w:tc>
          <w:tcPr>
            <w:tcW w:w="22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187,157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14.79</w:t>
            </w:r>
          </w:p>
        </w:tc>
        <w:tc>
          <w:tcPr>
            <w:tcW w:w="60" w:type="dxa"/>
            <w:vAlign w:val="bottom"/>
          </w:tcPr>
          <w:p>
            <w:pPr>
              <w:spacing w:after="0"/>
              <w:rPr>
                <w:sz w:val="19"/>
                <w:szCs w:val="19"/>
                <w:color w:val="auto"/>
              </w:rPr>
            </w:pPr>
          </w:p>
        </w:tc>
      </w:tr>
      <w:tr>
        <w:trPr>
          <w:trHeight w:val="241"/>
        </w:trPr>
        <w:tc>
          <w:tcPr>
            <w:tcW w:w="56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Vested</w:t>
            </w:r>
          </w:p>
        </w:tc>
        <w:tc>
          <w:tcPr>
            <w:tcW w:w="23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auto"/>
              </w:rPr>
              <w:t>(186,487)</w:t>
            </w:r>
          </w:p>
        </w:tc>
        <w:tc>
          <w:tcPr>
            <w:tcW w:w="24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2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15.09</w:t>
            </w:r>
          </w:p>
        </w:tc>
        <w:tc>
          <w:tcPr>
            <w:tcW w:w="60" w:type="dxa"/>
            <w:vAlign w:val="bottom"/>
            <w:shd w:val="clear" w:color="auto" w:fill="E3E3E3"/>
          </w:tcPr>
          <w:p>
            <w:pPr>
              <w:spacing w:after="0"/>
              <w:rPr>
                <w:sz w:val="20"/>
                <w:szCs w:val="20"/>
                <w:color w:val="auto"/>
              </w:rPr>
            </w:pPr>
          </w:p>
        </w:tc>
      </w:tr>
      <w:tr>
        <w:trPr>
          <w:trHeight w:val="241"/>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Forfeited</w:t>
            </w: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(8,127)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15.38</w:t>
            </w:r>
          </w:p>
        </w:tc>
        <w:tc>
          <w:tcPr>
            <w:tcW w:w="60" w:type="dxa"/>
            <w:vAlign w:val="bottom"/>
          </w:tcPr>
          <w:p>
            <w:pPr>
              <w:spacing w:after="0"/>
              <w:rPr>
                <w:sz w:val="20"/>
                <w:szCs w:val="20"/>
                <w:color w:val="auto"/>
              </w:rPr>
            </w:pPr>
          </w:p>
        </w:tc>
      </w:tr>
      <w:tr>
        <w:trPr>
          <w:trHeight w:val="236"/>
        </w:trPr>
        <w:tc>
          <w:tcPr>
            <w:tcW w:w="560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20" w:type="dxa"/>
            <w:vAlign w:val="bottom"/>
            <w:tcBorders>
              <w:top w:val="single" w:sz="8" w:color="auto"/>
            </w:tcBorders>
            <w:shd w:val="clear" w:color="auto" w:fill="E3E3E3"/>
          </w:tcPr>
          <w:p>
            <w:pPr>
              <w:spacing w:after="0"/>
              <w:rPr>
                <w:sz w:val="20"/>
                <w:szCs w:val="20"/>
                <w:color w:val="auto"/>
              </w:rPr>
            </w:pPr>
          </w:p>
        </w:tc>
        <w:tc>
          <w:tcPr>
            <w:tcW w:w="22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403,846</w:t>
            </w:r>
          </w:p>
        </w:tc>
        <w:tc>
          <w:tcPr>
            <w:tcW w:w="120" w:type="dxa"/>
            <w:vAlign w:val="bottom"/>
            <w:tcBorders>
              <w:top w:val="single" w:sz="8" w:color="E3E3E3"/>
            </w:tcBorders>
            <w:shd w:val="clear" w:color="auto" w:fill="E3E3E3"/>
          </w:tcPr>
          <w:p>
            <w:pPr>
              <w:spacing w:after="0"/>
              <w:rPr>
                <w:sz w:val="20"/>
                <w:szCs w:val="20"/>
                <w:color w:val="auto"/>
              </w:rPr>
            </w:pPr>
          </w:p>
        </w:tc>
        <w:tc>
          <w:tcPr>
            <w:tcW w:w="240" w:type="dxa"/>
            <w:vAlign w:val="bottom"/>
            <w:tcBorders>
              <w:top w:val="single" w:sz="8" w:color="E3E3E3"/>
            </w:tcBorders>
            <w:shd w:val="clear" w:color="auto" w:fill="E3E3E3"/>
          </w:tcPr>
          <w:p>
            <w:pPr>
              <w:spacing w:after="0"/>
              <w:rPr>
                <w:sz w:val="20"/>
                <w:szCs w:val="20"/>
                <w:color w:val="auto"/>
              </w:rPr>
            </w:pPr>
          </w:p>
        </w:tc>
        <w:tc>
          <w:tcPr>
            <w:tcW w:w="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2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60" w:type="dxa"/>
            <w:vAlign w:val="bottom"/>
            <w:tcBorders>
              <w:top w:val="single" w:sz="8" w:color="E3E3E3"/>
            </w:tcBorders>
            <w:shd w:val="clear" w:color="auto" w:fill="E3E3E3"/>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40"/>
          </w:cols>
          <w:pgMar w:left="800" w:top="1009" w:right="800" w:bottom="266"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0640"/>
          </w:cols>
          <w:pgMar w:left="800" w:top="1009" w:right="800" w:bottom="266" w:gutter="0" w:footer="0" w:header="0"/>
          <w:type w:val="continuous"/>
        </w:sectPr>
      </w:pPr>
    </w:p>
    <w:bookmarkStart w:id="130" w:name="page131"/>
    <w:bookmarkEnd w:id="130"/>
    <w:p>
      <w:pPr>
        <w:jc w:val="both"/>
        <w:ind w:firstLine="355"/>
        <w:spacing w:after="0" w:line="246" w:lineRule="auto"/>
        <w:rPr>
          <w:sz w:val="20"/>
          <w:szCs w:val="20"/>
          <w:color w:val="auto"/>
        </w:rPr>
      </w:pPr>
      <w:r>
        <w:rPr>
          <w:rFonts w:ascii="Times New Roman" w:cs="Times New Roman" w:eastAsia="Times New Roman" w:hAnsi="Times New Roman"/>
          <w:sz w:val="20"/>
          <w:szCs w:val="20"/>
          <w:color w:val="auto"/>
        </w:rPr>
        <w:t>Restricted stock compensation expense is based on the Company’s stock price at the date of the grant and is amortized over the vesting period. The share-based compensation expense for the Company was $3.4 million and $3.1 million for the years ended December 31, 2025 and 2024, respectively. The unamortized share-based compensation expense for the Company was approximately $3.7 million as of December 31, 2025, which the Company expects to recognize over the remaining weighted-average term of 1.4 years.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EARNINGS PER SHARE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information sets forth the computations of basic earnings per common share for the years ended December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4"/>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w w:val="99"/>
              </w:rPr>
              <w:t>For the twelve months ended</w:t>
            </w:r>
          </w:p>
        </w:tc>
        <w:tc>
          <w:tcPr>
            <w:tcW w:w="60" w:type="dxa"/>
            <w:vAlign w:val="bottom"/>
          </w:tcPr>
          <w:p>
            <w:pPr>
              <w:spacing w:after="0"/>
              <w:rPr>
                <w:sz w:val="19"/>
                <w:szCs w:val="19"/>
                <w:color w:val="auto"/>
              </w:rPr>
            </w:pPr>
          </w:p>
        </w:tc>
      </w:tr>
      <w:tr>
        <w:trPr>
          <w:trHeight w:val="251"/>
        </w:trPr>
        <w:tc>
          <w:tcPr>
            <w:tcW w:w="77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1"/>
                <w:szCs w:val="21"/>
                <w:color w:val="auto"/>
              </w:rPr>
            </w:pPr>
          </w:p>
        </w:tc>
      </w:tr>
      <w:tr>
        <w:trPr>
          <w:trHeight w:val="236"/>
        </w:trPr>
        <w:tc>
          <w:tcPr>
            <w:tcW w:w="7700" w:type="dxa"/>
            <w:vAlign w:val="bottom"/>
            <w:tcBorders>
              <w:bottom w:val="single" w:sz="8" w:color="E3E3E3"/>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Borders>
              <w:bottom w:val="single" w:sz="8" w:color="E3E3E3"/>
            </w:tcBorders>
          </w:tcPr>
          <w:p>
            <w:pPr>
              <w:spacing w:after="0"/>
              <w:rPr>
                <w:sz w:val="20"/>
                <w:szCs w:val="20"/>
                <w:color w:val="auto"/>
              </w:rPr>
            </w:pPr>
          </w:p>
        </w:tc>
      </w:tr>
      <w:tr>
        <w:trPr>
          <w:trHeight w:val="236"/>
        </w:trPr>
        <w:tc>
          <w:tcPr>
            <w:tcW w:w="7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Net income attributable to common stockholders</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36,010,478</w:t>
            </w:r>
          </w:p>
        </w:tc>
        <w:tc>
          <w:tcPr>
            <w:tcW w:w="300" w:type="dxa"/>
            <w:vAlign w:val="bottom"/>
            <w:shd w:val="clear" w:color="auto" w:fill="E3E3E3"/>
          </w:tcPr>
          <w:p>
            <w:pPr>
              <w:spacing w:after="0"/>
              <w:rPr>
                <w:sz w:val="20"/>
                <w:szCs w:val="20"/>
                <w:color w:val="auto"/>
              </w:rPr>
            </w:pPr>
          </w:p>
        </w:tc>
        <w:tc>
          <w:tcPr>
            <w:tcW w:w="220" w:type="dxa"/>
            <w:vAlign w:val="bottom"/>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shd w:val="clear" w:color="auto" w:fill="E3E3E3"/>
              </w:rPr>
              <w:t>37,045,403</w:t>
            </w:r>
          </w:p>
        </w:tc>
        <w:tc>
          <w:tcPr>
            <w:tcW w:w="60" w:type="dxa"/>
            <w:vAlign w:val="bottom"/>
            <w:shd w:val="clear" w:color="auto" w:fill="E3E3E3"/>
          </w:tcPr>
          <w:p>
            <w:pPr>
              <w:spacing w:after="0"/>
              <w:rPr>
                <w:sz w:val="20"/>
                <w:szCs w:val="20"/>
                <w:color w:val="auto"/>
              </w:rPr>
            </w:pPr>
          </w:p>
        </w:tc>
      </w:tr>
      <w:tr>
        <w:trPr>
          <w:trHeight w:val="241"/>
        </w:trPr>
        <w:tc>
          <w:tcPr>
            <w:tcW w:w="7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Divided by:</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77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auto"/>
              </w:rPr>
              <w:t>Basic weighted average shares of common stock outstanding</w:t>
            </w:r>
          </w:p>
        </w:tc>
        <w:tc>
          <w:tcPr>
            <w:tcW w:w="160" w:type="dxa"/>
            <w:vAlign w:val="bottom"/>
            <w:shd w:val="clear" w:color="auto" w:fill="E3E3E3"/>
          </w:tcPr>
          <w:p>
            <w:pPr>
              <w:spacing w:after="0"/>
              <w:rPr>
                <w:sz w:val="20"/>
                <w:szCs w:val="20"/>
                <w:color w:val="auto"/>
              </w:rPr>
            </w:pP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21,003,635</w:t>
            </w:r>
          </w:p>
        </w:tc>
        <w:tc>
          <w:tcPr>
            <w:tcW w:w="30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19,279,501</w:t>
            </w:r>
          </w:p>
        </w:tc>
        <w:tc>
          <w:tcPr>
            <w:tcW w:w="60" w:type="dxa"/>
            <w:vAlign w:val="bottom"/>
            <w:shd w:val="clear" w:color="auto" w:fill="E3E3E3"/>
          </w:tcPr>
          <w:p>
            <w:pPr>
              <w:spacing w:after="0"/>
              <w:rPr>
                <w:sz w:val="20"/>
                <w:szCs w:val="20"/>
                <w:color w:val="auto"/>
              </w:rPr>
            </w:pPr>
          </w:p>
        </w:tc>
      </w:tr>
      <w:tr>
        <w:trPr>
          <w:trHeight w:val="241"/>
        </w:trPr>
        <w:tc>
          <w:tcPr>
            <w:tcW w:w="77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Diluted weighted average shares of common stock outstanding</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21,431,650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19,713,916</w:t>
            </w:r>
          </w:p>
        </w:tc>
        <w:tc>
          <w:tcPr>
            <w:tcW w:w="60" w:type="dxa"/>
            <w:vAlign w:val="bottom"/>
          </w:tcPr>
          <w:p>
            <w:pPr>
              <w:spacing w:after="0"/>
              <w:rPr>
                <w:sz w:val="20"/>
                <w:szCs w:val="20"/>
                <w:color w:val="auto"/>
              </w:rPr>
            </w:pPr>
          </w:p>
        </w:tc>
      </w:tr>
      <w:tr>
        <w:trPr>
          <w:trHeight w:val="241"/>
        </w:trPr>
        <w:tc>
          <w:tcPr>
            <w:tcW w:w="77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auto"/>
              </w:rPr>
              <w:t>Weighted average earnings per common share</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1.71</w:t>
            </w:r>
          </w:p>
        </w:tc>
        <w:tc>
          <w:tcPr>
            <w:tcW w:w="520" w:type="dxa"/>
            <w:vAlign w:val="bottom"/>
            <w:gridSpan w:val="2"/>
            <w:shd w:val="clear" w:color="auto" w:fill="E3E3E3"/>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1.92</w:t>
            </w:r>
          </w:p>
        </w:tc>
        <w:tc>
          <w:tcPr>
            <w:tcW w:w="60" w:type="dxa"/>
            <w:vAlign w:val="bottom"/>
            <w:shd w:val="clear" w:color="auto" w:fill="E3E3E3"/>
          </w:tcPr>
          <w:p>
            <w:pPr>
              <w:spacing w:after="0"/>
              <w:rPr>
                <w:sz w:val="20"/>
                <w:szCs w:val="20"/>
                <w:color w:val="auto"/>
              </w:rPr>
            </w:pPr>
          </w:p>
        </w:tc>
      </w:tr>
      <w:tr>
        <w:trPr>
          <w:trHeight w:val="272"/>
        </w:trPr>
        <w:tc>
          <w:tcPr>
            <w:tcW w:w="7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 average earnings per common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1.68</w:t>
            </w: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60" w:type="dxa"/>
            <w:vAlign w:val="bottom"/>
          </w:tcPr>
          <w:p>
            <w:pPr>
              <w:spacing w:after="0"/>
              <w:rPr>
                <w:sz w:val="23"/>
                <w:szCs w:val="23"/>
                <w:color w:val="auto"/>
              </w:rPr>
            </w:pPr>
          </w:p>
        </w:tc>
      </w:tr>
    </w:tbl>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There were no anti-dilutive shares excluded from the computations of earnings per common share.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w:t>
      </w:r>
    </w:p>
    <w:p>
      <w:pPr>
        <w:spacing w:after="0" w:line="199" w:lineRule="exact"/>
        <w:rPr>
          <w:sz w:val="20"/>
          <w:szCs w:val="20"/>
          <w:color w:val="auto"/>
        </w:rPr>
      </w:pPr>
    </w:p>
    <w:p>
      <w:pPr>
        <w:jc w:val="both"/>
        <w:ind w:firstLine="355"/>
        <w:spacing w:after="0" w:line="239" w:lineRule="auto"/>
        <w:rPr>
          <w:sz w:val="20"/>
          <w:szCs w:val="20"/>
          <w:color w:val="auto"/>
        </w:rPr>
      </w:pPr>
      <w:r>
        <w:rPr>
          <w:rFonts w:ascii="Times New Roman" w:cs="Times New Roman" w:eastAsia="Times New Roman" w:hAnsi="Times New Roman"/>
          <w:sz w:val="20"/>
          <w:szCs w:val="20"/>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years ended December 31, 2025 and 2024, we did not incur excise tax expense. The income tax provision for the Company was $0 for the years ended December 31, 2025 and 2024.</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and 2024, the Company does not have any unrecognized tax benefits.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ectPr>
          <w:pgSz w:w="12240" w:h="15840" w:orient="portrait"/>
          <w:cols w:equalWidth="0" w:num="1">
            <w:col w:w="10640"/>
          </w:cols>
          <w:pgMar w:left="800" w:top="1009"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0640"/>
          </w:cols>
          <w:pgMar w:left="800" w:top="1009" w:right="800" w:bottom="266"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p>
      <w:pPr>
        <w:spacing w:after="0" w:line="199" w:lineRule="exact"/>
        <w:rPr>
          <w:sz w:val="20"/>
          <w:szCs w:val="20"/>
          <w:color w:val="auto"/>
        </w:rPr>
      </w:pPr>
    </w:p>
    <w:p>
      <w:pPr>
        <w:ind w:right="240" w:firstLine="355"/>
        <w:spacing w:after="0" w:line="272" w:lineRule="auto"/>
        <w:rPr>
          <w:sz w:val="20"/>
          <w:szCs w:val="20"/>
          <w:color w:val="auto"/>
        </w:rPr>
      </w:pPr>
      <w:r>
        <w:rPr>
          <w:rFonts w:ascii="Times New Roman" w:cs="Times New Roman" w:eastAsia="Times New Roman" w:hAnsi="Times New Roman"/>
          <w:sz w:val="20"/>
          <w:szCs w:val="20"/>
          <w:color w:val="auto"/>
        </w:rPr>
        <w:t>The table presented below summarizes the Company’s financial assets and liabilities measured at fair value as of December 31, 2025 and 2024. There were no financial assets and liabilities measured at fair value as of December 31,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020" w:type="dxa"/>
            <w:vAlign w:val="bottom"/>
            <w:tcBorders>
              <w:bottom w:val="single" w:sz="8" w:color="E3E3E3"/>
            </w:tcBorders>
          </w:tcPr>
          <w:p>
            <w:pPr>
              <w:spacing w:after="0"/>
              <w:rPr>
                <w:sz w:val="20"/>
                <w:szCs w:val="20"/>
                <w:color w:val="auto"/>
              </w:rPr>
            </w:pPr>
          </w:p>
        </w:tc>
        <w:tc>
          <w:tcPr>
            <w:tcW w:w="1360" w:type="dxa"/>
            <w:vAlign w:val="bottom"/>
            <w:tcBorders>
              <w:bottom w:val="single" w:sz="8" w:color="E3E3E3"/>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E3E3E3"/>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E3E3E3"/>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40" w:type="dxa"/>
            <w:vAlign w:val="bottom"/>
            <w:tcBorders>
              <w:bottom w:val="single" w:sz="8" w:color="E3E3E3"/>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Borders>
              <w:bottom w:val="single" w:sz="8" w:color="E3E3E3"/>
            </w:tcBorders>
          </w:tcPr>
          <w:p>
            <w:pPr>
              <w:spacing w:after="0"/>
              <w:rPr>
                <w:sz w:val="20"/>
                <w:szCs w:val="20"/>
                <w:color w:val="auto"/>
              </w:rPr>
            </w:pPr>
          </w:p>
        </w:tc>
      </w:tr>
      <w:tr>
        <w:trPr>
          <w:trHeight w:val="236"/>
        </w:trPr>
        <w:tc>
          <w:tcPr>
            <w:tcW w:w="40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360" w:type="dxa"/>
            <w:vAlign w:val="bottom"/>
            <w:shd w:val="clear" w:color="auto" w:fill="E3E3E3"/>
          </w:tcPr>
          <w:p>
            <w:pPr>
              <w:spacing w:after="0"/>
              <w:rPr>
                <w:sz w:val="20"/>
                <w:szCs w:val="20"/>
                <w:color w:val="auto"/>
              </w:rPr>
            </w:pPr>
          </w:p>
        </w:tc>
        <w:tc>
          <w:tcPr>
            <w:tcW w:w="96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94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1120" w:type="dxa"/>
            <w:vAlign w:val="bottom"/>
            <w:shd w:val="clear" w:color="auto" w:fill="E3E3E3"/>
          </w:tcPr>
          <w:p>
            <w:pPr>
              <w:spacing w:after="0"/>
              <w:rPr>
                <w:sz w:val="20"/>
                <w:szCs w:val="20"/>
                <w:color w:val="auto"/>
              </w:rPr>
            </w:pPr>
          </w:p>
        </w:tc>
        <w:tc>
          <w:tcPr>
            <w:tcW w:w="240" w:type="dxa"/>
            <w:vAlign w:val="bottom"/>
            <w:shd w:val="clear" w:color="auto" w:fill="E3E3E3"/>
          </w:tcPr>
          <w:p>
            <w:pPr>
              <w:spacing w:after="0"/>
              <w:rPr>
                <w:sz w:val="20"/>
                <w:szCs w:val="20"/>
                <w:color w:val="auto"/>
              </w:rPr>
            </w:pPr>
          </w:p>
        </w:tc>
        <w:tc>
          <w:tcPr>
            <w:tcW w:w="1120" w:type="dxa"/>
            <w:vAlign w:val="bottom"/>
            <w:shd w:val="clear" w:color="auto" w:fill="E3E3E3"/>
          </w:tcPr>
          <w:p>
            <w:pPr>
              <w:spacing w:after="0"/>
              <w:rPr>
                <w:sz w:val="20"/>
                <w:szCs w:val="20"/>
                <w:color w:val="auto"/>
              </w:rPr>
            </w:pPr>
          </w:p>
        </w:tc>
        <w:tc>
          <w:tcPr>
            <w:tcW w:w="60" w:type="dxa"/>
            <w:vAlign w:val="bottom"/>
            <w:shd w:val="clear" w:color="auto" w:fill="E3E3E3"/>
          </w:tcPr>
          <w:p>
            <w:pPr>
              <w:spacing w:after="0"/>
              <w:rPr>
                <w:sz w:val="20"/>
                <w:szCs w:val="20"/>
                <w:color w:val="auto"/>
              </w:rPr>
            </w:pPr>
          </w:p>
        </w:tc>
      </w:tr>
      <w:tr>
        <w:trPr>
          <w:trHeight w:val="264"/>
        </w:trPr>
        <w:tc>
          <w:tcPr>
            <w:tcW w:w="4020" w:type="dxa"/>
            <w:vAlign w:val="bottom"/>
          </w:tcPr>
          <w:p>
            <w:pPr>
              <w:spacing w:after="0"/>
              <w:rPr>
                <w:sz w:val="20"/>
                <w:szCs w:val="20"/>
                <w:color w:val="auto"/>
              </w:rPr>
            </w:pPr>
            <w:r>
              <w:rPr>
                <w:rFonts w:ascii="Times New Roman" w:cs="Times New Roman" w:eastAsia="Times New Roman" w:hAnsi="Times New Roman"/>
                <w:sz w:val="20"/>
                <w:szCs w:val="20"/>
                <w:color w:val="auto"/>
              </w:rPr>
              <w:t>Loans, at fair value - related party</w:t>
            </w:r>
          </w:p>
        </w:tc>
        <w:tc>
          <w:tcPr>
            <w:tcW w:w="1360" w:type="dxa"/>
            <w:vAlign w:val="bottom"/>
          </w:tcPr>
          <w:p>
            <w:pPr>
              <w:spacing w:after="0"/>
              <w:rPr>
                <w:sz w:val="22"/>
                <w:szCs w:val="22"/>
                <w:color w:val="auto"/>
              </w:rPr>
            </w:pPr>
          </w:p>
        </w:tc>
        <w:tc>
          <w:tcPr>
            <w:tcW w:w="96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w w:val="7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94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w w:val="7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5,335,000</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5,335,000</w:t>
            </w:r>
          </w:p>
        </w:tc>
        <w:tc>
          <w:tcPr>
            <w:tcW w:w="60" w:type="dxa"/>
            <w:vAlign w:val="bottom"/>
          </w:tcPr>
          <w:p>
            <w:pPr>
              <w:spacing w:after="0"/>
              <w:rPr>
                <w:sz w:val="22"/>
                <w:szCs w:val="22"/>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changes in loans at fair value that use Level 3 inputs for the year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For the year</w:t>
            </w:r>
          </w:p>
        </w:tc>
        <w:tc>
          <w:tcPr>
            <w:tcW w:w="0" w:type="dxa"/>
            <w:vAlign w:val="bottom"/>
          </w:tcPr>
          <w:p>
            <w:pPr>
              <w:spacing w:after="0"/>
              <w:rPr>
                <w:sz w:val="1"/>
                <w:szCs w:val="1"/>
                <w:color w:val="auto"/>
              </w:rPr>
            </w:pPr>
          </w:p>
        </w:tc>
      </w:tr>
      <w:tr>
        <w:trPr>
          <w:trHeight w:val="251"/>
        </w:trPr>
        <w:tc>
          <w:tcPr>
            <w:tcW w:w="7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ended December 31, 2025</w:t>
            </w:r>
          </w:p>
        </w:tc>
        <w:tc>
          <w:tcPr>
            <w:tcW w:w="0" w:type="dxa"/>
            <w:vAlign w:val="bottom"/>
          </w:tcPr>
          <w:p>
            <w:pPr>
              <w:spacing w:after="0"/>
              <w:rPr>
                <w:sz w:val="1"/>
                <w:szCs w:val="1"/>
                <w:color w:val="auto"/>
              </w:rPr>
            </w:pPr>
          </w:p>
        </w:tc>
      </w:tr>
      <w:tr>
        <w:trPr>
          <w:trHeight w:val="212"/>
        </w:trPr>
        <w:tc>
          <w:tcPr>
            <w:tcW w:w="78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center"/>
              <w:ind w:right="41"/>
              <w:spacing w:after="0" w:line="212" w:lineRule="exact"/>
              <w:rPr>
                <w:sz w:val="20"/>
                <w:szCs w:val="20"/>
                <w:color w:val="auto"/>
              </w:rPr>
            </w:pPr>
            <w:r>
              <w:rPr>
                <w:rFonts w:ascii="Times New Roman" w:cs="Times New Roman" w:eastAsia="Times New Roman" w:hAnsi="Times New Roman"/>
                <w:sz w:val="20"/>
                <w:szCs w:val="20"/>
                <w:b w:val="1"/>
                <w:bCs w:val="1"/>
                <w:color w:val="auto"/>
                <w:w w:val="98"/>
              </w:rPr>
              <w:t>Loans, at fair value - related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20" w:type="dxa"/>
            <w:vAlign w:val="bottom"/>
          </w:tcPr>
          <w:p>
            <w:pPr>
              <w:spacing w:after="0"/>
              <w:rPr>
                <w:sz w:val="21"/>
                <w:szCs w:val="21"/>
                <w:color w:val="auto"/>
              </w:rPr>
            </w:pPr>
          </w:p>
        </w:tc>
        <w:tc>
          <w:tcPr>
            <w:tcW w:w="26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party</w:t>
            </w:r>
          </w:p>
        </w:tc>
        <w:tc>
          <w:tcPr>
            <w:tcW w:w="0" w:type="dxa"/>
            <w:vAlign w:val="bottom"/>
          </w:tcPr>
          <w:p>
            <w:pPr>
              <w:spacing w:after="0"/>
              <w:rPr>
                <w:sz w:val="1"/>
                <w:szCs w:val="1"/>
                <w:color w:val="auto"/>
              </w:rPr>
            </w:pPr>
          </w:p>
        </w:tc>
      </w:tr>
      <w:tr>
        <w:trPr>
          <w:trHeight w:val="236"/>
        </w:trPr>
        <w:tc>
          <w:tcPr>
            <w:tcW w:w="7880" w:type="dxa"/>
            <w:vAlign w:val="bottom"/>
            <w:vMerge w:val="continue"/>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8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Transfers out of Level 3</w:t>
            </w:r>
          </w:p>
        </w:tc>
        <w:tc>
          <w:tcPr>
            <w:tcW w:w="120" w:type="dxa"/>
            <w:vAlign w:val="bottom"/>
            <w:shd w:val="clear" w:color="auto" w:fill="E3E3E3"/>
          </w:tcPr>
          <w:p>
            <w:pPr>
              <w:spacing w:after="0"/>
              <w:rPr>
                <w:sz w:val="22"/>
                <w:szCs w:val="22"/>
                <w:color w:val="auto"/>
              </w:rPr>
            </w:pPr>
          </w:p>
        </w:tc>
        <w:tc>
          <w:tcPr>
            <w:tcW w:w="26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auto"/>
              </w:rPr>
              <w:t>(5,500,000)</w:t>
            </w:r>
          </w:p>
        </w:tc>
        <w:tc>
          <w:tcPr>
            <w:tcW w:w="0" w:type="dxa"/>
            <w:vAlign w:val="bottom"/>
          </w:tcPr>
          <w:p>
            <w:pPr>
              <w:spacing w:after="0"/>
              <w:rPr>
                <w:sz w:val="1"/>
                <w:szCs w:val="1"/>
                <w:color w:val="auto"/>
              </w:rPr>
            </w:pPr>
          </w:p>
        </w:tc>
      </w:tr>
      <w:tr>
        <w:trPr>
          <w:trHeight w:val="216"/>
        </w:trPr>
        <w:tc>
          <w:tcPr>
            <w:tcW w:w="7880" w:type="dxa"/>
            <w:vAlign w:val="bottom"/>
            <w:tcBorders>
              <w:top w:val="single" w:sz="8" w:color="E3E3E3"/>
            </w:tcBorders>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12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25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following tables summarize the significant unobservable inputs the Company used to value the loans categorized within Level 3 as of December 31, 2024. The tables are not intended to be all-inclusive, but instead capture the significant unobservable inputs relevant to the Company’s determination of fair values.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1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20" w:type="dxa"/>
            <w:vAlign w:val="bottom"/>
          </w:tcPr>
          <w:p>
            <w:pPr>
              <w:spacing w:after="0"/>
              <w:rPr>
                <w:sz w:val="20"/>
                <w:szCs w:val="20"/>
                <w:color w:val="auto"/>
              </w:rPr>
            </w:pP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Primary Valuation Technique</w:t>
            </w:r>
          </w:p>
        </w:tc>
        <w:tc>
          <w:tcPr>
            <w:tcW w:w="264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rPr>
              <w:t>Unobservable Input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bottom w:val="single" w:sz="8" w:color="E3E3E3"/>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278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Input</w:t>
            </w: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Loans, at fair value - related party</w:t>
            </w:r>
          </w:p>
        </w:tc>
        <w:tc>
          <w:tcPr>
            <w:tcW w:w="1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5,335,000</w:t>
            </w:r>
          </w:p>
        </w:tc>
        <w:tc>
          <w:tcPr>
            <w:tcW w:w="120" w:type="dxa"/>
            <w:vAlign w:val="bottom"/>
            <w:tcBorders>
              <w:bottom w:val="single" w:sz="8" w:color="E3E3E3"/>
              <w:right w:val="single" w:sz="8" w:color="E3E3E3"/>
            </w:tcBorders>
            <w:shd w:val="clear" w:color="auto" w:fill="E3E3E3"/>
          </w:tcPr>
          <w:p>
            <w:pPr>
              <w:spacing w:after="0"/>
              <w:rPr>
                <w:sz w:val="22"/>
                <w:szCs w:val="22"/>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20"/>
                <w:szCs w:val="20"/>
                <w:color w:val="auto"/>
              </w:rPr>
              <w:t>Yield Analysis</w:t>
            </w:r>
          </w:p>
        </w:tc>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13.65%</w:t>
            </w:r>
          </w:p>
        </w:tc>
        <w:tc>
          <w:tcPr>
            <w:tcW w:w="0" w:type="dxa"/>
            <w:vAlign w:val="bottom"/>
          </w:tcPr>
          <w:p>
            <w:pPr>
              <w:spacing w:after="0"/>
              <w:rPr>
                <w:sz w:val="1"/>
                <w:szCs w:val="1"/>
                <w:color w:val="auto"/>
              </w:rPr>
            </w:pPr>
          </w:p>
        </w:tc>
      </w:tr>
      <w:tr>
        <w:trPr>
          <w:trHeight w:val="216"/>
        </w:trPr>
        <w:tc>
          <w:tcPr>
            <w:tcW w:w="344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Total loans, at fair value</w:t>
            </w:r>
          </w:p>
        </w:tc>
        <w:tc>
          <w:tcPr>
            <w:tcW w:w="1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2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5,335,000</w:t>
            </w: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3168015</wp:posOffset>
                </wp:positionH>
                <wp:positionV relativeFrom="paragraph">
                  <wp:posOffset>-343535</wp:posOffset>
                </wp:positionV>
                <wp:extent cx="3454400" cy="15367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54400" cy="153670"/>
                        </a:xfrm>
                        <a:prstGeom prst="rect">
                          <a:avLst/>
                        </a:prstGeom>
                        <a:solidFill>
                          <a:srgbClr val="E3E3E3"/>
                        </a:solidFill>
                      </wps:spPr>
                      <wps:bodyPr/>
                    </wps:wsp>
                  </a:graphicData>
                </a:graphic>
              </wp:anchor>
            </w:drawing>
          </mc:Choice>
          <mc:Fallback>
            <w:pict>
              <v:rect id="Shape 60" o:spid="_x0000_s1085" style="position:absolute;margin-left:249.45pt;margin-top:-27.0499pt;width:272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188" w:lineRule="exact"/>
        <w:rPr>
          <w:sz w:val="20"/>
          <w:szCs w:val="20"/>
          <w:color w:val="auto"/>
        </w:rPr>
      </w:pPr>
    </w:p>
    <w:p>
      <w:pPr>
        <w:jc w:val="both"/>
        <w:ind w:firstLine="709"/>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2024, our loan held at fair value using the fair value option included an insignificant amount of unrealized losses in net income before income taxes, that are attributable to changes in instrument-specific credit risk. The portion of the fair value adjustments related to credit risk was determined based on a discounted cash flow analysis and discount rate applied to the subject loan. Interest income on the loan measured at fair value is calculated based on the interest rate of the loan and is recorded in the interest income on the consolidated statement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Assets and Liabilities Not Measured at Fair Value</w:t>
      </w:r>
    </w:p>
    <w:p>
      <w:pPr>
        <w:spacing w:after="0" w:line="199" w:lineRule="exact"/>
        <w:rPr>
          <w:sz w:val="20"/>
          <w:szCs w:val="20"/>
          <w:color w:val="auto"/>
        </w:rPr>
      </w:pPr>
    </w:p>
    <w:p>
      <w:pPr>
        <w:ind w:right="100" w:firstLine="355"/>
        <w:spacing w:after="0" w:line="272" w:lineRule="auto"/>
        <w:rPr>
          <w:sz w:val="20"/>
          <w:szCs w:val="20"/>
          <w:color w:val="auto"/>
        </w:rPr>
      </w:pPr>
      <w:r>
        <w:rPr>
          <w:rFonts w:ascii="Times New Roman" w:cs="Times New Roman" w:eastAsia="Times New Roman" w:hAnsi="Times New Roman"/>
          <w:sz w:val="20"/>
          <w:szCs w:val="20"/>
          <w:color w:val="auto"/>
        </w:rPr>
        <w:t>As of December 31, 2025 and 2024, the carrying values and fair values of the Company’s financial assets and liabilities recorded at amortized cost are as follows:</w:t>
      </w:r>
    </w:p>
    <w:p>
      <w:pPr>
        <w:sectPr>
          <w:pgSz w:w="12240" w:h="15840" w:orient="portrait"/>
          <w:cols w:equalWidth="0" w:num="1">
            <w:col w:w="10640"/>
          </w:cols>
          <w:pgMar w:left="800" w:top="1005"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10640"/>
          </w:cols>
          <w:pgMar w:left="800" w:top="1005" w:right="800" w:bottom="266"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3"/>
          </w:tcPr>
          <w:p>
            <w:pPr>
              <w:jc w:val="center"/>
              <w:ind w:left="11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top w:val="single" w:sz="8" w:color="auto"/>
            </w:tcBorders>
            <w:gridSpan w:val="2"/>
          </w:tcPr>
          <w:p>
            <w:pPr>
              <w:ind w:left="220"/>
              <w:spacing w:after="0" w:line="193"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540"/>
              <w:spacing w:after="0" w:line="193"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6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0" w:type="dxa"/>
            <w:vAlign w:val="bottom"/>
            <w:tcBorders>
              <w:top w:val="single" w:sz="8" w:color="auto"/>
            </w:tcBorders>
            <w:shd w:val="clear" w:color="auto" w:fill="E3E3E3"/>
          </w:tcPr>
          <w:p>
            <w:pPr>
              <w:spacing w:after="0"/>
              <w:rPr>
                <w:sz w:val="18"/>
                <w:szCs w:val="18"/>
                <w:color w:val="auto"/>
              </w:rPr>
            </w:pPr>
          </w:p>
        </w:tc>
        <w:tc>
          <w:tcPr>
            <w:tcW w:w="260" w:type="dxa"/>
            <w:vAlign w:val="bottom"/>
            <w:tcBorders>
              <w:top w:val="single" w:sz="8" w:color="auto"/>
            </w:tcBorders>
            <w:shd w:val="clear" w:color="auto" w:fill="E3E3E3"/>
          </w:tcPr>
          <w:p>
            <w:pPr>
              <w:spacing w:after="0"/>
              <w:rPr>
                <w:sz w:val="18"/>
                <w:szCs w:val="18"/>
                <w:color w:val="auto"/>
              </w:rPr>
            </w:pPr>
          </w:p>
        </w:tc>
        <w:tc>
          <w:tcPr>
            <w:tcW w:w="220" w:type="dxa"/>
            <w:vAlign w:val="bottom"/>
            <w:tcBorders>
              <w:top w:val="single" w:sz="8" w:color="E3E3E3"/>
            </w:tcBorders>
            <w:shd w:val="clear" w:color="auto" w:fill="E3E3E3"/>
          </w:tcPr>
          <w:p>
            <w:pPr>
              <w:spacing w:after="0"/>
              <w:rPr>
                <w:sz w:val="18"/>
                <w:szCs w:val="18"/>
                <w:color w:val="auto"/>
              </w:rPr>
            </w:pPr>
          </w:p>
        </w:tc>
        <w:tc>
          <w:tcPr>
            <w:tcW w:w="1140" w:type="dxa"/>
            <w:vAlign w:val="bottom"/>
            <w:tcBorders>
              <w:top w:val="single" w:sz="8" w:color="auto"/>
            </w:tcBorders>
            <w:shd w:val="clear" w:color="auto" w:fill="E3E3E3"/>
          </w:tcPr>
          <w:p>
            <w:pPr>
              <w:spacing w:after="0"/>
              <w:rPr>
                <w:sz w:val="18"/>
                <w:szCs w:val="18"/>
                <w:color w:val="auto"/>
              </w:rPr>
            </w:pPr>
          </w:p>
        </w:tc>
        <w:tc>
          <w:tcPr>
            <w:tcW w:w="240" w:type="dxa"/>
            <w:vAlign w:val="bottom"/>
            <w:tcBorders>
              <w:top w:val="single" w:sz="8" w:color="E3E3E3"/>
            </w:tcBorders>
            <w:shd w:val="clear" w:color="auto" w:fill="E3E3E3"/>
          </w:tcPr>
          <w:p>
            <w:pPr>
              <w:spacing w:after="0"/>
              <w:rPr>
                <w:sz w:val="18"/>
                <w:szCs w:val="18"/>
                <w:color w:val="auto"/>
              </w:rPr>
            </w:pPr>
          </w:p>
        </w:tc>
        <w:tc>
          <w:tcPr>
            <w:tcW w:w="1020" w:type="dxa"/>
            <w:vAlign w:val="bottom"/>
            <w:tcBorders>
              <w:top w:val="single" w:sz="8" w:color="auto"/>
            </w:tcBorders>
            <w:shd w:val="clear" w:color="auto" w:fill="E3E3E3"/>
          </w:tcPr>
          <w:p>
            <w:pPr>
              <w:spacing w:after="0"/>
              <w:rPr>
                <w:sz w:val="18"/>
                <w:szCs w:val="18"/>
                <w:color w:val="auto"/>
              </w:rPr>
            </w:pPr>
          </w:p>
        </w:tc>
        <w:tc>
          <w:tcPr>
            <w:tcW w:w="220" w:type="dxa"/>
            <w:vAlign w:val="bottom"/>
            <w:tcBorders>
              <w:top w:val="single" w:sz="8" w:color="E3E3E3"/>
            </w:tcBorders>
            <w:shd w:val="clear" w:color="auto" w:fill="E3E3E3"/>
          </w:tcPr>
          <w:p>
            <w:pPr>
              <w:spacing w:after="0"/>
              <w:rPr>
                <w:sz w:val="18"/>
                <w:szCs w:val="18"/>
                <w:color w:val="auto"/>
              </w:rPr>
            </w:pPr>
          </w:p>
        </w:tc>
        <w:tc>
          <w:tcPr>
            <w:tcW w:w="180" w:type="dxa"/>
            <w:vAlign w:val="bottom"/>
            <w:tcBorders>
              <w:top w:val="single" w:sz="8" w:color="auto"/>
            </w:tcBorders>
            <w:shd w:val="clear" w:color="auto" w:fill="E3E3E3"/>
          </w:tcPr>
          <w:p>
            <w:pPr>
              <w:spacing w:after="0"/>
              <w:rPr>
                <w:sz w:val="18"/>
                <w:szCs w:val="18"/>
                <w:color w:val="auto"/>
              </w:rPr>
            </w:pPr>
          </w:p>
        </w:tc>
        <w:tc>
          <w:tcPr>
            <w:tcW w:w="1100" w:type="dxa"/>
            <w:vAlign w:val="bottom"/>
            <w:tcBorders>
              <w:top w:val="single" w:sz="8" w:color="auto"/>
            </w:tcBorders>
            <w:shd w:val="clear" w:color="auto" w:fill="E3E3E3"/>
          </w:tcPr>
          <w:p>
            <w:pPr>
              <w:spacing w:after="0"/>
              <w:rPr>
                <w:sz w:val="18"/>
                <w:szCs w:val="18"/>
                <w:color w:val="auto"/>
              </w:rPr>
            </w:pPr>
          </w:p>
        </w:tc>
        <w:tc>
          <w:tcPr>
            <w:tcW w:w="340" w:type="dxa"/>
            <w:vAlign w:val="bottom"/>
            <w:tcBorders>
              <w:top w:val="single" w:sz="8" w:color="E3E3E3"/>
            </w:tcBorders>
            <w:shd w:val="clear" w:color="auto" w:fill="E3E3E3"/>
          </w:tcPr>
          <w:p>
            <w:pPr>
              <w:spacing w:after="0"/>
              <w:rPr>
                <w:sz w:val="18"/>
                <w:szCs w:val="18"/>
                <w:color w:val="auto"/>
              </w:rPr>
            </w:pPr>
          </w:p>
        </w:tc>
        <w:tc>
          <w:tcPr>
            <w:tcW w:w="120" w:type="dxa"/>
            <w:vAlign w:val="bottom"/>
            <w:tcBorders>
              <w:top w:val="single" w:sz="8" w:color="auto"/>
            </w:tcBorders>
            <w:shd w:val="clear" w:color="auto" w:fill="E3E3E3"/>
          </w:tcPr>
          <w:p>
            <w:pPr>
              <w:spacing w:after="0"/>
              <w:rPr>
                <w:sz w:val="18"/>
                <w:szCs w:val="18"/>
                <w:color w:val="auto"/>
              </w:rPr>
            </w:pPr>
          </w:p>
        </w:tc>
        <w:tc>
          <w:tcPr>
            <w:tcW w:w="1060" w:type="dxa"/>
            <w:vAlign w:val="bottom"/>
            <w:tcBorders>
              <w:top w:val="single" w:sz="8" w:color="auto"/>
            </w:tcBorders>
            <w:shd w:val="clear" w:color="auto" w:fill="E3E3E3"/>
          </w:tcPr>
          <w:p>
            <w:pPr>
              <w:spacing w:after="0"/>
              <w:rPr>
                <w:sz w:val="18"/>
                <w:szCs w:val="18"/>
                <w:color w:val="auto"/>
              </w:rPr>
            </w:pPr>
          </w:p>
        </w:tc>
        <w:tc>
          <w:tcPr>
            <w:tcW w:w="60" w:type="dxa"/>
            <w:vAlign w:val="bottom"/>
            <w:tcBorders>
              <w:top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408,955,567</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$ 407,364,639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399,771,293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14,948,884</w:t>
            </w:r>
          </w:p>
        </w:tc>
        <w:tc>
          <w:tcPr>
            <w:tcW w:w="24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14,948,884</w:t>
            </w:r>
          </w:p>
        </w:tc>
        <w:tc>
          <w:tcPr>
            <w:tcW w:w="2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26,400,448</w:t>
            </w:r>
          </w:p>
        </w:tc>
        <w:tc>
          <w:tcPr>
            <w:tcW w:w="3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26,400,448</w:t>
            </w:r>
          </w:p>
        </w:tc>
        <w:tc>
          <w:tcPr>
            <w:tcW w:w="6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4,009,800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874,245</w:t>
            </w:r>
          </w:p>
        </w:tc>
        <w:tc>
          <w:tcPr>
            <w:tcW w:w="24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874,245</w:t>
            </w:r>
          </w:p>
        </w:tc>
        <w:tc>
          <w:tcPr>
            <w:tcW w:w="2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459,187</w:t>
            </w:r>
          </w:p>
        </w:tc>
        <w:tc>
          <w:tcPr>
            <w:tcW w:w="3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459,187</w:t>
            </w:r>
          </w:p>
        </w:tc>
        <w:tc>
          <w:tcPr>
            <w:tcW w:w="6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1,189,937</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3,370,339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c>
          <w:tcPr>
            <w:tcW w:w="26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1140" w:type="dxa"/>
            <w:vAlign w:val="bottom"/>
            <w:shd w:val="clear" w:color="auto" w:fill="E3E3E3"/>
          </w:tcPr>
          <w:p>
            <w:pPr>
              <w:spacing w:after="0"/>
              <w:rPr>
                <w:sz w:val="18"/>
                <w:szCs w:val="18"/>
                <w:color w:val="auto"/>
              </w:rPr>
            </w:pPr>
          </w:p>
        </w:tc>
        <w:tc>
          <w:tcPr>
            <w:tcW w:w="24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2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00" w:type="dxa"/>
            <w:vAlign w:val="bottom"/>
            <w:shd w:val="clear" w:color="auto" w:fill="E3E3E3"/>
          </w:tcPr>
          <w:p>
            <w:pPr>
              <w:spacing w:after="0"/>
              <w:rPr>
                <w:sz w:val="18"/>
                <w:szCs w:val="18"/>
                <w:color w:val="auto"/>
              </w:rPr>
            </w:pPr>
          </w:p>
        </w:tc>
        <w:tc>
          <w:tcPr>
            <w:tcW w:w="3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6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Revolving loan</w:t>
            </w:r>
          </w:p>
        </w:tc>
        <w:tc>
          <w:tcPr>
            <w:tcW w:w="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49,100,000</w:t>
            </w:r>
          </w:p>
        </w:tc>
        <w:tc>
          <w:tcPr>
            <w:tcW w:w="24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48,853,380</w:t>
            </w:r>
          </w:p>
        </w:tc>
        <w:tc>
          <w:tcPr>
            <w:tcW w:w="2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55,000,000</w:t>
            </w:r>
          </w:p>
        </w:tc>
        <w:tc>
          <w:tcPr>
            <w:tcW w:w="3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54,694,925</w:t>
            </w:r>
          </w:p>
        </w:tc>
        <w:tc>
          <w:tcPr>
            <w:tcW w:w="6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payable, net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49,334,459</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49,383,677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49,096,250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49,306,996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Dividend payable</w:t>
            </w:r>
          </w:p>
        </w:tc>
        <w:tc>
          <w:tcPr>
            <w:tcW w:w="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11,157,220</w:t>
            </w:r>
          </w:p>
        </w:tc>
        <w:tc>
          <w:tcPr>
            <w:tcW w:w="24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11,157,220</w:t>
            </w:r>
          </w:p>
        </w:tc>
        <w:tc>
          <w:tcPr>
            <w:tcW w:w="2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13,605,153</w:t>
            </w:r>
          </w:p>
        </w:tc>
        <w:tc>
          <w:tcPr>
            <w:tcW w:w="3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13,605,153</w:t>
            </w:r>
          </w:p>
        </w:tc>
        <w:tc>
          <w:tcPr>
            <w:tcW w:w="6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Related party payables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2,214,920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2,214,920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2,043,403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3,098,576</w:t>
            </w:r>
          </w:p>
        </w:tc>
        <w:tc>
          <w:tcPr>
            <w:tcW w:w="24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3,098,576</w:t>
            </w:r>
          </w:p>
        </w:tc>
        <w:tc>
          <w:tcPr>
            <w:tcW w:w="2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2,863,158</w:t>
            </w:r>
          </w:p>
        </w:tc>
        <w:tc>
          <w:tcPr>
            <w:tcW w:w="3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2,863,158</w:t>
            </w:r>
          </w:p>
        </w:tc>
        <w:tc>
          <w:tcPr>
            <w:tcW w:w="6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1,348,334</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834,977</w:t>
            </w:r>
          </w:p>
        </w:tc>
        <w:tc>
          <w:tcPr>
            <w:tcW w:w="240" w:type="dxa"/>
            <w:vAlign w:val="bottom"/>
            <w:shd w:val="clear" w:color="auto" w:fill="E3E3E3"/>
          </w:tcPr>
          <w:p>
            <w:pPr>
              <w:spacing w:after="0"/>
              <w:rPr>
                <w:sz w:val="18"/>
                <w:szCs w:val="18"/>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834,977</w:t>
            </w:r>
          </w:p>
        </w:tc>
        <w:tc>
          <w:tcPr>
            <w:tcW w:w="22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1,136,014</w:t>
            </w:r>
          </w:p>
        </w:tc>
        <w:tc>
          <w:tcPr>
            <w:tcW w:w="34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8"/>
                <w:szCs w:val="18"/>
                <w:color w:val="auto"/>
              </w:rPr>
              <w:t>1,136,014</w:t>
            </w:r>
          </w:p>
        </w:tc>
        <w:tc>
          <w:tcPr>
            <w:tcW w:w="6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reserve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1,297,878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55"/>
        <w:spacing w:after="0" w:line="243" w:lineRule="auto"/>
        <w:rPr>
          <w:sz w:val="20"/>
          <w:szCs w:val="20"/>
          <w:color w:val="auto"/>
        </w:rPr>
      </w:pPr>
      <w:r>
        <w:rPr>
          <w:rFonts w:ascii="Times New Roman" w:cs="Times New Roman" w:eastAsia="Times New Roman" w:hAnsi="Times New Roman"/>
          <w:sz w:val="20"/>
          <w:szCs w:val="20"/>
          <w:color w:val="auto"/>
        </w:rPr>
        <w:t>Our loans are generally held for investment and are substantially secured by real estate, equipment, licenses and other assets of the borrowers to the extent permitted by the applicable laws and the regulations governing such borrowers. The aggregate fair value of the Company’s loans held for investment was $407,364,639 and $399,771,293, with gross unrecognized holding losses of $1.6 million and $2.7 million as of December 31, 2025 and 2024,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SEGMENT REPORTING</w:t>
      </w:r>
    </w:p>
    <w:p>
      <w:pPr>
        <w:spacing w:after="0" w:line="199"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The Company uses the management approach to determine reportable operating segments. The Company operates through a single operating and reporting segment with an investment objective to generate both current income and capital appreciation through its investments in loans. The management approach considers the internal organization and reporting used by the Company’s Co-Chief Executive Officers, the Chief Financial Officer, and the President which comprise the chief operating decision maker (“CODM”) for making decisions, allocating resources and assessing performance. The CODM assesses the performance and makes operating decisions of the Company on a consolidated basis primarily based on the Company’s net income, as presented on the consolidated statement of operations. In addition to other factors and metrics, the CODM utilizes net income as a key determinant of the amount of dividends to be distributed to the Company's stockholders.</w:t>
      </w:r>
    </w:p>
    <w:p>
      <w:pPr>
        <w:spacing w:after="0" w:line="162"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As the Company’s operations comprise of a single reporting segment, the segment assets are reflected on the accompanying consolidated balance sheet as “total assets” and the significant segment expenses are listed on the accompanying consolidated statement of operations.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DIVIDENDS AND DISTRIBUTIONS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dividends declared during the years ended December 31, 2025 and 2024:</w:t>
      </w:r>
    </w:p>
    <w:p>
      <w:pPr>
        <w:sectPr>
          <w:pgSz w:w="12240" w:h="15840" w:orient="portrait"/>
          <w:cols w:equalWidth="0" w:num="1">
            <w:col w:w="10640"/>
          </w:cols>
          <w:pgMar w:left="800" w:top="1020"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10640"/>
          </w:cols>
          <w:pgMar w:left="800" w:top="1020" w:right="800" w:bottom="266"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21"/>
              <w:spacing w:after="0" w:line="228" w:lineRule="exact"/>
              <w:rPr>
                <w:sz w:val="20"/>
                <w:szCs w:val="20"/>
                <w:color w:val="auto"/>
              </w:rPr>
            </w:pPr>
            <w:r>
              <w:rPr>
                <w:rFonts w:ascii="Times New Roman" w:cs="Times New Roman" w:eastAsia="Times New Roman" w:hAnsi="Times New Roman"/>
                <w:sz w:val="20"/>
                <w:szCs w:val="20"/>
                <w:b w:val="1"/>
                <w:bCs w:val="1"/>
                <w:color w:val="auto"/>
                <w:w w:val="95"/>
              </w:rPr>
              <w:t>Share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8"/>
              </w:rPr>
              <w:t>Taxable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2120" w:type="dxa"/>
            <w:vAlign w:val="bottom"/>
          </w:tcPr>
          <w:p>
            <w:pPr>
              <w:spacing w:after="0"/>
              <w:rPr>
                <w:sz w:val="19"/>
                <w:szCs w:val="19"/>
                <w:color w:val="auto"/>
              </w:rPr>
            </w:pPr>
          </w:p>
        </w:tc>
        <w:tc>
          <w:tcPr>
            <w:tcW w:w="12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Record</w:t>
            </w:r>
          </w:p>
        </w:tc>
        <w:tc>
          <w:tcPr>
            <w:tcW w:w="160" w:type="dxa"/>
            <w:vAlign w:val="bottom"/>
          </w:tcPr>
          <w:p>
            <w:pPr>
              <w:spacing w:after="0"/>
              <w:rPr>
                <w:sz w:val="19"/>
                <w:szCs w:val="19"/>
                <w:color w:val="auto"/>
              </w:rPr>
            </w:pPr>
          </w:p>
        </w:tc>
        <w:tc>
          <w:tcPr>
            <w:tcW w:w="11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7"/>
              </w:rPr>
              <w:t>Payment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21"/>
              <w:spacing w:after="0" w:line="228" w:lineRule="exact"/>
              <w:rPr>
                <w:sz w:val="20"/>
                <w:szCs w:val="20"/>
                <w:color w:val="auto"/>
              </w:rPr>
            </w:pPr>
            <w:r>
              <w:rPr>
                <w:rFonts w:ascii="Times New Roman" w:cs="Times New Roman" w:eastAsia="Times New Roman" w:hAnsi="Times New Roman"/>
                <w:sz w:val="20"/>
                <w:szCs w:val="20"/>
                <w:b w:val="1"/>
                <w:bCs w:val="1"/>
                <w:color w:val="auto"/>
                <w:w w:val="99"/>
              </w:rPr>
              <w:t>Distribution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8"/>
              </w:rPr>
              <w:t>Ordinary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9"/>
              </w:rPr>
              <w:t>Return of</w:t>
            </w:r>
          </w:p>
        </w:tc>
        <w:tc>
          <w:tcPr>
            <w:tcW w:w="240" w:type="dxa"/>
            <w:vAlign w:val="bottom"/>
          </w:tcPr>
          <w:p>
            <w:pPr>
              <w:spacing w:after="0"/>
              <w:rPr>
                <w:sz w:val="19"/>
                <w:szCs w:val="19"/>
                <w:color w:val="auto"/>
              </w:rPr>
            </w:pPr>
          </w:p>
        </w:tc>
        <w:tc>
          <w:tcPr>
            <w:tcW w:w="128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Section 199A</w:t>
            </w:r>
          </w:p>
        </w:tc>
        <w:tc>
          <w:tcPr>
            <w:tcW w:w="60" w:type="dxa"/>
            <w:vAlign w:val="bottom"/>
          </w:tcPr>
          <w:p>
            <w:pPr>
              <w:spacing w:after="0"/>
              <w:rPr>
                <w:sz w:val="19"/>
                <w:szCs w:val="19"/>
                <w:color w:val="auto"/>
              </w:rPr>
            </w:pPr>
          </w:p>
        </w:tc>
      </w:tr>
      <w:tr>
        <w:trPr>
          <w:trHeight w:val="251"/>
        </w:trPr>
        <w:tc>
          <w:tcPr>
            <w:tcW w:w="2120" w:type="dxa"/>
            <w:vAlign w:val="bottom"/>
            <w:tcBorders>
              <w:bottom w:val="single" w:sz="8" w:color="E3E3E3"/>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Date</w:t>
            </w:r>
          </w:p>
        </w:tc>
        <w:tc>
          <w:tcPr>
            <w:tcW w:w="160" w:type="dxa"/>
            <w:vAlign w:val="bottom"/>
            <w:tcBorders>
              <w:bottom w:val="single" w:sz="8" w:color="E3E3E3"/>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40" w:type="dxa"/>
            <w:vAlign w:val="bottom"/>
            <w:tcBorders>
              <w:bottom w:val="single" w:sz="8" w:color="E3E3E3"/>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260" w:type="dxa"/>
            <w:vAlign w:val="bottom"/>
            <w:tcBorders>
              <w:bottom w:val="single" w:sz="8" w:color="E3E3E3"/>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rPr>
              <w:t>Income</w:t>
            </w:r>
          </w:p>
        </w:tc>
        <w:tc>
          <w:tcPr>
            <w:tcW w:w="240" w:type="dxa"/>
            <w:vAlign w:val="bottom"/>
            <w:tcBorders>
              <w:bottom w:val="single" w:sz="8" w:color="E3E3E3"/>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Capital</w:t>
            </w:r>
          </w:p>
        </w:tc>
        <w:tc>
          <w:tcPr>
            <w:tcW w:w="240" w:type="dxa"/>
            <w:vAlign w:val="bottom"/>
            <w:tcBorders>
              <w:bottom w:val="single" w:sz="8" w:color="E3E3E3"/>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Dividends</w:t>
            </w:r>
          </w:p>
        </w:tc>
        <w:tc>
          <w:tcPr>
            <w:tcW w:w="60" w:type="dxa"/>
            <w:vAlign w:val="bottom"/>
            <w:tcBorders>
              <w:bottom w:val="single" w:sz="8" w:color="E3E3E3"/>
            </w:tcBorders>
          </w:tcPr>
          <w:p>
            <w:pPr>
              <w:spacing w:after="0"/>
              <w:rPr>
                <w:sz w:val="21"/>
                <w:szCs w:val="21"/>
                <w:color w:val="auto"/>
              </w:rPr>
            </w:pPr>
          </w:p>
        </w:tc>
      </w:tr>
      <w:tr>
        <w:trPr>
          <w:trHeight w:val="236"/>
        </w:trPr>
        <w:tc>
          <w:tcPr>
            <w:tcW w:w="21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2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3/31/2025</w:t>
            </w:r>
          </w:p>
        </w:tc>
        <w:tc>
          <w:tcPr>
            <w:tcW w:w="160" w:type="dxa"/>
            <w:vAlign w:val="bottom"/>
            <w:shd w:val="clear" w:color="auto" w:fill="E3E3E3"/>
          </w:tcPr>
          <w:p>
            <w:pPr>
              <w:spacing w:after="0"/>
              <w:rPr>
                <w:sz w:val="20"/>
                <w:szCs w:val="20"/>
                <w:color w:val="auto"/>
              </w:rPr>
            </w:pPr>
          </w:p>
        </w:tc>
        <w:tc>
          <w:tcPr>
            <w:tcW w:w="11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4/15/2025</w:t>
            </w:r>
          </w:p>
        </w:tc>
        <w:tc>
          <w:tcPr>
            <w:tcW w:w="140" w:type="dxa"/>
            <w:vAlign w:val="bottom"/>
            <w:shd w:val="clear" w:color="auto" w:fill="E3E3E3"/>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6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4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3E3E3"/>
          </w:tcPr>
          <w:p>
            <w:pPr>
              <w:spacing w:after="0"/>
              <w:rPr>
                <w:sz w:val="20"/>
                <w:szCs w:val="20"/>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6/30/2025</w:t>
            </w:r>
          </w:p>
        </w:tc>
        <w:tc>
          <w:tcPr>
            <w:tcW w:w="1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7/15/2025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r>
      <w:tr>
        <w:trPr>
          <w:trHeight w:val="241"/>
        </w:trPr>
        <w:tc>
          <w:tcPr>
            <w:tcW w:w="21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2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9/30/2025</w:t>
            </w:r>
          </w:p>
        </w:tc>
        <w:tc>
          <w:tcPr>
            <w:tcW w:w="1280" w:type="dxa"/>
            <w:vAlign w:val="bottom"/>
            <w:gridSpan w:val="2"/>
            <w:shd w:val="clear" w:color="auto" w:fill="E3E3E3"/>
          </w:tcPr>
          <w:p>
            <w:pPr>
              <w:jc w:val="center"/>
              <w:ind w:left="41"/>
              <w:spacing w:after="0"/>
              <w:rPr>
                <w:sz w:val="20"/>
                <w:szCs w:val="20"/>
                <w:color w:val="auto"/>
              </w:rPr>
            </w:pPr>
            <w:r>
              <w:rPr>
                <w:rFonts w:ascii="Times New Roman" w:cs="Times New Roman" w:eastAsia="Times New Roman" w:hAnsi="Times New Roman"/>
                <w:sz w:val="20"/>
                <w:szCs w:val="20"/>
                <w:color w:val="auto"/>
                <w:w w:val="98"/>
              </w:rPr>
              <w:t>10/15/2025</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12/31/2025</w:t>
            </w:r>
          </w:p>
        </w:tc>
        <w:tc>
          <w:tcPr>
            <w:tcW w:w="12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8"/>
              </w:rPr>
              <w:t>1/15/2026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r>
      <w:tr>
        <w:trPr>
          <w:trHeight w:val="236"/>
        </w:trPr>
        <w:tc>
          <w:tcPr>
            <w:tcW w:w="212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cash dividend</w:t>
            </w:r>
          </w:p>
        </w:tc>
        <w:tc>
          <w:tcPr>
            <w:tcW w:w="122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E3E3E3"/>
            </w:tcBorders>
            <w:shd w:val="clear" w:color="auto" w:fill="E3E3E3"/>
          </w:tcPr>
          <w:p>
            <w:pPr>
              <w:spacing w:after="0"/>
              <w:rPr>
                <w:sz w:val="20"/>
                <w:szCs w:val="20"/>
                <w:color w:val="auto"/>
              </w:rPr>
            </w:pPr>
          </w:p>
        </w:tc>
        <w:tc>
          <w:tcPr>
            <w:tcW w:w="1120" w:type="dxa"/>
            <w:vAlign w:val="bottom"/>
            <w:tcBorders>
              <w:top w:val="single" w:sz="8" w:color="E3E3E3"/>
            </w:tcBorders>
            <w:shd w:val="clear" w:color="auto" w:fill="E3E3E3"/>
          </w:tcPr>
          <w:p>
            <w:pPr>
              <w:spacing w:after="0"/>
              <w:rPr>
                <w:sz w:val="20"/>
                <w:szCs w:val="20"/>
                <w:color w:val="auto"/>
              </w:rPr>
            </w:pPr>
          </w:p>
        </w:tc>
        <w:tc>
          <w:tcPr>
            <w:tcW w:w="140" w:type="dxa"/>
            <w:vAlign w:val="bottom"/>
            <w:tcBorders>
              <w:top w:val="single" w:sz="8" w:color="E3E3E3"/>
            </w:tcBorders>
            <w:shd w:val="clear" w:color="auto" w:fill="E3E3E3"/>
          </w:tcPr>
          <w:p>
            <w:pPr>
              <w:spacing w:after="0"/>
              <w:rPr>
                <w:sz w:val="20"/>
                <w:szCs w:val="20"/>
                <w:color w:val="auto"/>
              </w:rPr>
            </w:pPr>
          </w:p>
        </w:tc>
        <w:tc>
          <w:tcPr>
            <w:tcW w:w="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26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24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auto"/>
              <w:bottom w:val="single" w:sz="8" w:color="auto"/>
            </w:tcBorders>
            <w:shd w:val="clear" w:color="auto" w:fill="E3E3E3"/>
          </w:tcPr>
          <w:p>
            <w:pPr>
              <w:spacing w:after="0"/>
              <w:rPr>
                <w:sz w:val="20"/>
                <w:szCs w:val="20"/>
                <w:color w:val="auto"/>
              </w:rPr>
            </w:pPr>
          </w:p>
        </w:tc>
        <w:tc>
          <w:tcPr>
            <w:tcW w:w="1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tcBorders>
              <w:top w:val="single" w:sz="8" w:color="E3E3E3"/>
            </w:tcBorders>
            <w:shd w:val="clear" w:color="auto" w:fill="E3E3E3"/>
          </w:tcPr>
          <w:p>
            <w:pPr>
              <w:spacing w:after="0"/>
              <w:rPr>
                <w:sz w:val="20"/>
                <w:szCs w:val="20"/>
                <w:color w:val="auto"/>
              </w:rPr>
            </w:pPr>
          </w:p>
        </w:tc>
        <w:tc>
          <w:tcPr>
            <w:tcW w:w="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60" w:type="dxa"/>
            <w:vAlign w:val="bottom"/>
            <w:tcBorders>
              <w:top w:val="single" w:sz="8" w:color="E3E3E3"/>
            </w:tcBorders>
            <w:shd w:val="clear" w:color="auto" w:fill="E3E3E3"/>
          </w:tcPr>
          <w:p>
            <w:pPr>
              <w:spacing w:after="0"/>
              <w:rPr>
                <w:sz w:val="20"/>
                <w:szCs w:val="20"/>
                <w:color w:val="auto"/>
              </w:rPr>
            </w:pPr>
          </w:p>
        </w:tc>
      </w:tr>
      <w:tr>
        <w:trPr>
          <w:trHeight w:val="20"/>
        </w:trPr>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0"/>
        </w:trPr>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7"/>
        </w:trPr>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21"/>
              <w:spacing w:after="0" w:line="228" w:lineRule="exact"/>
              <w:rPr>
                <w:sz w:val="20"/>
                <w:szCs w:val="20"/>
                <w:color w:val="auto"/>
              </w:rPr>
            </w:pPr>
            <w:r>
              <w:rPr>
                <w:rFonts w:ascii="Times New Roman" w:cs="Times New Roman" w:eastAsia="Times New Roman" w:hAnsi="Times New Roman"/>
                <w:sz w:val="20"/>
                <w:szCs w:val="20"/>
                <w:b w:val="1"/>
                <w:bCs w:val="1"/>
                <w:color w:val="auto"/>
                <w:w w:val="95"/>
              </w:rPr>
              <w:t>Share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8"/>
              </w:rPr>
              <w:t>Taxable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2120" w:type="dxa"/>
            <w:vAlign w:val="bottom"/>
          </w:tcPr>
          <w:p>
            <w:pPr>
              <w:spacing w:after="0"/>
              <w:rPr>
                <w:sz w:val="19"/>
                <w:szCs w:val="19"/>
                <w:color w:val="auto"/>
              </w:rPr>
            </w:pPr>
          </w:p>
        </w:tc>
        <w:tc>
          <w:tcPr>
            <w:tcW w:w="12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9"/>
              </w:rPr>
              <w:t>Record</w:t>
            </w:r>
          </w:p>
        </w:tc>
        <w:tc>
          <w:tcPr>
            <w:tcW w:w="160" w:type="dxa"/>
            <w:vAlign w:val="bottom"/>
          </w:tcPr>
          <w:p>
            <w:pPr>
              <w:spacing w:after="0"/>
              <w:rPr>
                <w:sz w:val="19"/>
                <w:szCs w:val="19"/>
                <w:color w:val="auto"/>
              </w:rPr>
            </w:pPr>
          </w:p>
        </w:tc>
        <w:tc>
          <w:tcPr>
            <w:tcW w:w="11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7"/>
              </w:rPr>
              <w:t>Payment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21"/>
              <w:spacing w:after="0" w:line="228" w:lineRule="exact"/>
              <w:rPr>
                <w:sz w:val="20"/>
                <w:szCs w:val="20"/>
                <w:color w:val="auto"/>
              </w:rPr>
            </w:pPr>
            <w:r>
              <w:rPr>
                <w:rFonts w:ascii="Times New Roman" w:cs="Times New Roman" w:eastAsia="Times New Roman" w:hAnsi="Times New Roman"/>
                <w:sz w:val="20"/>
                <w:szCs w:val="20"/>
                <w:b w:val="1"/>
                <w:bCs w:val="1"/>
                <w:color w:val="auto"/>
                <w:w w:val="99"/>
              </w:rPr>
              <w:t>Distribution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8"/>
              </w:rPr>
              <w:t>Ordinary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81"/>
              <w:spacing w:after="0" w:line="228" w:lineRule="exact"/>
              <w:rPr>
                <w:sz w:val="20"/>
                <w:szCs w:val="20"/>
                <w:color w:val="auto"/>
              </w:rPr>
            </w:pPr>
            <w:r>
              <w:rPr>
                <w:rFonts w:ascii="Times New Roman" w:cs="Times New Roman" w:eastAsia="Times New Roman" w:hAnsi="Times New Roman"/>
                <w:sz w:val="20"/>
                <w:szCs w:val="20"/>
                <w:b w:val="1"/>
                <w:bCs w:val="1"/>
                <w:color w:val="auto"/>
                <w:w w:val="99"/>
              </w:rPr>
              <w:t>Return of</w:t>
            </w:r>
          </w:p>
        </w:tc>
        <w:tc>
          <w:tcPr>
            <w:tcW w:w="240" w:type="dxa"/>
            <w:vAlign w:val="bottom"/>
          </w:tcPr>
          <w:p>
            <w:pPr>
              <w:spacing w:after="0"/>
              <w:rPr>
                <w:sz w:val="19"/>
                <w:szCs w:val="19"/>
                <w:color w:val="auto"/>
              </w:rPr>
            </w:pPr>
          </w:p>
        </w:tc>
        <w:tc>
          <w:tcPr>
            <w:tcW w:w="128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Section 199A</w:t>
            </w:r>
          </w:p>
        </w:tc>
        <w:tc>
          <w:tcPr>
            <w:tcW w:w="60" w:type="dxa"/>
            <w:vAlign w:val="bottom"/>
          </w:tcPr>
          <w:p>
            <w:pPr>
              <w:spacing w:after="0"/>
              <w:rPr>
                <w:sz w:val="19"/>
                <w:szCs w:val="19"/>
                <w:color w:val="auto"/>
              </w:rPr>
            </w:pPr>
          </w:p>
        </w:tc>
      </w:tr>
      <w:tr>
        <w:trPr>
          <w:trHeight w:val="251"/>
        </w:trPr>
        <w:tc>
          <w:tcPr>
            <w:tcW w:w="212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Date</w:t>
            </w:r>
          </w:p>
        </w:tc>
        <w:tc>
          <w:tcPr>
            <w:tcW w:w="1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rPr>
              <w:t>Income</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Capital</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8"/>
              </w:rPr>
              <w:t>Dividends</w:t>
            </w:r>
          </w:p>
        </w:tc>
        <w:tc>
          <w:tcPr>
            <w:tcW w:w="60" w:type="dxa"/>
            <w:vAlign w:val="bottom"/>
          </w:tcPr>
          <w:p>
            <w:pPr>
              <w:spacing w:after="0"/>
              <w:rPr>
                <w:sz w:val="21"/>
                <w:szCs w:val="21"/>
                <w:color w:val="auto"/>
              </w:rPr>
            </w:pPr>
          </w:p>
        </w:tc>
      </w:tr>
      <w:tr>
        <w:trPr>
          <w:trHeight w:val="236"/>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3/28/2024</w:t>
            </w:r>
          </w:p>
        </w:tc>
        <w:tc>
          <w:tcPr>
            <w:tcW w:w="1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4/15/2024</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r>
      <w:tr>
        <w:trPr>
          <w:trHeight w:val="241"/>
        </w:trPr>
        <w:tc>
          <w:tcPr>
            <w:tcW w:w="21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2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6/28/2024</w:t>
            </w:r>
          </w:p>
        </w:tc>
        <w:tc>
          <w:tcPr>
            <w:tcW w:w="1280" w:type="dxa"/>
            <w:vAlign w:val="bottom"/>
            <w:gridSpan w:val="2"/>
            <w:shd w:val="clear" w:color="auto" w:fill="E3E3E3"/>
          </w:tcPr>
          <w:p>
            <w:pPr>
              <w:jc w:val="center"/>
              <w:ind w:left="21"/>
              <w:spacing w:after="0"/>
              <w:rPr>
                <w:sz w:val="20"/>
                <w:szCs w:val="20"/>
                <w:color w:val="auto"/>
              </w:rPr>
            </w:pPr>
            <w:r>
              <w:rPr>
                <w:rFonts w:ascii="Times New Roman" w:cs="Times New Roman" w:eastAsia="Times New Roman" w:hAnsi="Times New Roman"/>
                <w:sz w:val="20"/>
                <w:szCs w:val="20"/>
                <w:color w:val="auto"/>
                <w:w w:val="98"/>
              </w:rPr>
              <w:t>7/15/2024</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9/30/2024</w:t>
            </w:r>
          </w:p>
        </w:tc>
        <w:tc>
          <w:tcPr>
            <w:tcW w:w="1280" w:type="dxa"/>
            <w:vAlign w:val="bottom"/>
            <w:gridSpan w:val="2"/>
          </w:tcPr>
          <w:p>
            <w:pPr>
              <w:jc w:val="center"/>
              <w:ind w:left="41"/>
              <w:spacing w:after="0"/>
              <w:rPr>
                <w:sz w:val="20"/>
                <w:szCs w:val="20"/>
                <w:color w:val="auto"/>
              </w:rPr>
            </w:pPr>
            <w:r>
              <w:rPr>
                <w:rFonts w:ascii="Times New Roman" w:cs="Times New Roman" w:eastAsia="Times New Roman" w:hAnsi="Times New Roman"/>
                <w:sz w:val="20"/>
                <w:szCs w:val="20"/>
                <w:color w:val="auto"/>
                <w:w w:val="98"/>
              </w:rPr>
              <w:t>10/15/2024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r>
      <w:tr>
        <w:trPr>
          <w:trHeight w:val="241"/>
        </w:trPr>
        <w:tc>
          <w:tcPr>
            <w:tcW w:w="21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Regular cash dividend</w:t>
            </w:r>
          </w:p>
        </w:tc>
        <w:tc>
          <w:tcPr>
            <w:tcW w:w="1220" w:type="dxa"/>
            <w:vAlign w:val="bottom"/>
            <w:shd w:val="clear" w:color="auto" w:fill="E3E3E3"/>
          </w:tcPr>
          <w:p>
            <w:pPr>
              <w:jc w:val="center"/>
              <w:spacing w:after="0"/>
              <w:rPr>
                <w:sz w:val="20"/>
                <w:szCs w:val="20"/>
                <w:color w:val="auto"/>
              </w:rPr>
            </w:pPr>
            <w:r>
              <w:rPr>
                <w:rFonts w:ascii="Times New Roman" w:cs="Times New Roman" w:eastAsia="Times New Roman" w:hAnsi="Times New Roman"/>
                <w:sz w:val="20"/>
                <w:szCs w:val="20"/>
                <w:color w:val="auto"/>
                <w:w w:val="98"/>
              </w:rPr>
              <w:t>12/31/2024</w:t>
            </w:r>
          </w:p>
        </w:tc>
        <w:tc>
          <w:tcPr>
            <w:tcW w:w="1280" w:type="dxa"/>
            <w:vAlign w:val="bottom"/>
            <w:gridSpan w:val="2"/>
            <w:shd w:val="clear" w:color="auto" w:fill="E3E3E3"/>
          </w:tcPr>
          <w:p>
            <w:pPr>
              <w:jc w:val="center"/>
              <w:ind w:left="21"/>
              <w:spacing w:after="0"/>
              <w:rPr>
                <w:sz w:val="20"/>
                <w:szCs w:val="20"/>
                <w:color w:val="auto"/>
              </w:rPr>
            </w:pPr>
            <w:r>
              <w:rPr>
                <w:rFonts w:ascii="Times New Roman" w:cs="Times New Roman" w:eastAsia="Times New Roman" w:hAnsi="Times New Roman"/>
                <w:sz w:val="20"/>
                <w:szCs w:val="20"/>
                <w:color w:val="auto"/>
                <w:w w:val="98"/>
              </w:rPr>
              <w:t>1/13/2025</w:t>
            </w:r>
          </w:p>
        </w:tc>
        <w:tc>
          <w:tcPr>
            <w:tcW w:w="2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shd w:val="clear" w:color="auto" w:fill="E3E3E3"/>
          </w:tcPr>
          <w:p>
            <w:pPr>
              <w:spacing w:after="0"/>
              <w:rPr>
                <w:sz w:val="20"/>
                <w:szCs w:val="20"/>
                <w:color w:val="auto"/>
              </w:rPr>
            </w:pP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Special cash dividend</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12/31/2024</w:t>
            </w:r>
          </w:p>
        </w:tc>
        <w:tc>
          <w:tcPr>
            <w:tcW w:w="128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w w:val="98"/>
              </w:rPr>
              <w:t>1/13/2025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60" w:type="dxa"/>
            <w:vAlign w:val="bottom"/>
          </w:tcPr>
          <w:p>
            <w:pPr>
              <w:spacing w:after="0"/>
              <w:rPr>
                <w:sz w:val="20"/>
                <w:szCs w:val="20"/>
                <w:color w:val="auto"/>
              </w:rPr>
            </w:pPr>
          </w:p>
        </w:tc>
      </w:tr>
      <w:tr>
        <w:trPr>
          <w:trHeight w:val="256"/>
        </w:trPr>
        <w:tc>
          <w:tcPr>
            <w:tcW w:w="2120" w:type="dxa"/>
            <w:vAlign w:val="bottom"/>
            <w:tcBorders>
              <w:top w:val="single" w:sz="8" w:color="E3E3E3"/>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Total cash dividend</w:t>
            </w:r>
          </w:p>
        </w:tc>
        <w:tc>
          <w:tcPr>
            <w:tcW w:w="1220" w:type="dxa"/>
            <w:vAlign w:val="bottom"/>
            <w:tcBorders>
              <w:top w:val="single" w:sz="8" w:color="E3E3E3"/>
              <w:bottom w:val="single" w:sz="8" w:color="E3E3E3"/>
            </w:tcBorders>
            <w:shd w:val="clear" w:color="auto" w:fill="E3E3E3"/>
          </w:tcPr>
          <w:p>
            <w:pPr>
              <w:spacing w:after="0"/>
              <w:rPr>
                <w:sz w:val="22"/>
                <w:szCs w:val="22"/>
                <w:color w:val="auto"/>
              </w:rPr>
            </w:pPr>
          </w:p>
        </w:tc>
        <w:tc>
          <w:tcPr>
            <w:tcW w:w="160" w:type="dxa"/>
            <w:vAlign w:val="bottom"/>
            <w:tcBorders>
              <w:top w:val="single" w:sz="8" w:color="E3E3E3"/>
              <w:bottom w:val="single" w:sz="8" w:color="E3E3E3"/>
            </w:tcBorders>
            <w:shd w:val="clear" w:color="auto" w:fill="E3E3E3"/>
          </w:tcPr>
          <w:p>
            <w:pPr>
              <w:spacing w:after="0"/>
              <w:rPr>
                <w:sz w:val="22"/>
                <w:szCs w:val="22"/>
                <w:color w:val="auto"/>
              </w:rPr>
            </w:pPr>
          </w:p>
        </w:tc>
        <w:tc>
          <w:tcPr>
            <w:tcW w:w="1120" w:type="dxa"/>
            <w:vAlign w:val="bottom"/>
            <w:tcBorders>
              <w:top w:val="single" w:sz="8" w:color="E3E3E3"/>
              <w:bottom w:val="single" w:sz="8" w:color="E3E3E3"/>
            </w:tcBorders>
            <w:shd w:val="clear" w:color="auto" w:fill="E3E3E3"/>
          </w:tcPr>
          <w:p>
            <w:pPr>
              <w:spacing w:after="0"/>
              <w:rPr>
                <w:sz w:val="22"/>
                <w:szCs w:val="22"/>
                <w:color w:val="auto"/>
              </w:rPr>
            </w:pPr>
          </w:p>
        </w:tc>
        <w:tc>
          <w:tcPr>
            <w:tcW w:w="140" w:type="dxa"/>
            <w:vAlign w:val="bottom"/>
            <w:tcBorders>
              <w:top w:val="single" w:sz="8" w:color="E3E3E3"/>
              <w:bottom w:val="single" w:sz="8" w:color="E3E3E3"/>
            </w:tcBorders>
            <w:shd w:val="clear" w:color="auto" w:fill="E3E3E3"/>
          </w:tcPr>
          <w:p>
            <w:pPr>
              <w:spacing w:after="0"/>
              <w:rPr>
                <w:sz w:val="22"/>
                <w:szCs w:val="22"/>
                <w:color w:val="auto"/>
              </w:rPr>
            </w:pPr>
          </w:p>
        </w:tc>
        <w:tc>
          <w:tcPr>
            <w:tcW w:w="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2.06</w:t>
            </w:r>
          </w:p>
        </w:tc>
        <w:tc>
          <w:tcPr>
            <w:tcW w:w="260" w:type="dxa"/>
            <w:vAlign w:val="bottom"/>
            <w:tcBorders>
              <w:top w:val="single" w:sz="8" w:color="E3E3E3"/>
              <w:bottom w:val="single" w:sz="8" w:color="E3E3E3"/>
            </w:tcBorders>
            <w:shd w:val="clear" w:color="auto" w:fill="E3E3E3"/>
          </w:tcPr>
          <w:p>
            <w:pPr>
              <w:spacing w:after="0"/>
              <w:rPr>
                <w:sz w:val="22"/>
                <w:szCs w:val="22"/>
                <w:color w:val="auto"/>
              </w:rPr>
            </w:pPr>
          </w:p>
        </w:tc>
        <w:tc>
          <w:tcPr>
            <w:tcW w:w="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2.06</w:t>
            </w:r>
          </w:p>
        </w:tc>
        <w:tc>
          <w:tcPr>
            <w:tcW w:w="240" w:type="dxa"/>
            <w:vAlign w:val="bottom"/>
            <w:tcBorders>
              <w:top w:val="single" w:sz="8" w:color="E3E3E3"/>
              <w:bottom w:val="single" w:sz="8" w:color="E3E3E3"/>
            </w:tcBorders>
            <w:shd w:val="clear" w:color="auto" w:fill="E3E3E3"/>
          </w:tcPr>
          <w:p>
            <w:pPr>
              <w:spacing w:after="0"/>
              <w:rPr>
                <w:sz w:val="22"/>
                <w:szCs w:val="22"/>
                <w:color w:val="auto"/>
              </w:rPr>
            </w:pPr>
          </w:p>
        </w:tc>
        <w:tc>
          <w:tcPr>
            <w:tcW w:w="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tcBorders>
              <w:top w:val="single" w:sz="8" w:color="E3E3E3"/>
              <w:bottom w:val="single" w:sz="8" w:color="E3E3E3"/>
            </w:tcBorders>
            <w:shd w:val="clear" w:color="auto" w:fill="E3E3E3"/>
          </w:tcPr>
          <w:p>
            <w:pPr>
              <w:spacing w:after="0"/>
              <w:rPr>
                <w:sz w:val="22"/>
                <w:szCs w:val="22"/>
                <w:color w:val="auto"/>
              </w:rPr>
            </w:pPr>
          </w:p>
        </w:tc>
        <w:tc>
          <w:tcPr>
            <w:tcW w:w="1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b w:val="1"/>
                <w:bCs w:val="1"/>
                <w:color w:val="auto"/>
              </w:rPr>
              <w:t>2.06</w:t>
            </w:r>
          </w:p>
        </w:tc>
        <w:tc>
          <w:tcPr>
            <w:tcW w:w="60" w:type="dxa"/>
            <w:vAlign w:val="bottom"/>
            <w:tcBorders>
              <w:top w:val="single" w:sz="8" w:color="E3E3E3"/>
              <w:bottom w:val="single" w:sz="8" w:color="E3E3E3"/>
            </w:tcBorders>
            <w:shd w:val="clear" w:color="auto" w:fill="E3E3E3"/>
          </w:tcPr>
          <w:p>
            <w:pPr>
              <w:spacing w:after="0"/>
              <w:rPr>
                <w:sz w:val="22"/>
                <w:szCs w:val="22"/>
                <w:color w:val="auto"/>
              </w:rPr>
            </w:pPr>
          </w:p>
        </w:tc>
      </w:tr>
      <w:tr>
        <w:trPr>
          <w:trHeight w:val="20"/>
        </w:trPr>
        <w:tc>
          <w:tcPr>
            <w:tcW w:w="2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SUBSEQUENT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Management has evaluated subsequent events through the date on which these financial statements were issued. Other than the items listed below, there have been no subsequent events that occurred during such period that required adjustment or disclosure in the consolidated financial statements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 of Dividend</w:t>
      </w:r>
    </w:p>
    <w:p>
      <w:pPr>
        <w:spacing w:after="0" w:line="19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On January 15, 2026, the Company paid its regular quarterly dividend of $0.47 per common share relating to the fourth quarter of 2025 to stockholders of record as of the close of business on December 31, 2025. The total amount of the cash dividend payment was approximately $9.8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Activity</w:t>
      </w:r>
    </w:p>
    <w:p>
      <w:pPr>
        <w:spacing w:after="0" w:line="19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During the period from January 1, 2026 to March 12, 2026, the Company advanced new gross loan principal of approximately $51.1 million, comprised of $16.2 million to new borrowers and $34.9 million to existing borrowers on delayed draw and revolving loan facilities.</w:t>
      </w:r>
    </w:p>
    <w:p>
      <w:pPr>
        <w:spacing w:after="0" w:line="147"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Additionally, the Company received a total of approximately $40.4 million in loan repayments, comprised of $3.1 million in scheduled amortization payments, $4.4 million in partial prepayments, and $32.9 million from the full prepayments of Loan #1 and Loan #27, which included all accrued interest and fees due thereunder.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Loan</w:t>
      </w:r>
    </w:p>
    <w:p>
      <w:pPr>
        <w:spacing w:after="0" w:line="193"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During the period from January 1, 2026 through March 12, 2026, the Company had net borrowings/(repayments) on the Revolving Loan of $8.0 million. As of March 12, 2026, the Company's Revolving Loan has an outstanding balance of $57.1 million and remaining borrowing availability of $52.9 million.</w:t>
      </w:r>
    </w:p>
    <w:p>
      <w:pPr>
        <w:sectPr>
          <w:pgSz w:w="12240" w:h="15840" w:orient="portrait"/>
          <w:cols w:equalWidth="0" w:num="1">
            <w:col w:w="10640"/>
          </w:cols>
          <w:pgMar w:left="800" w:top="1016" w:right="800" w:bottom="2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10640"/>
          </w:cols>
          <w:pgMar w:left="800" w:top="1016" w:right="800" w:bottom="266"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99"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Disclosure controls and procedures (as defined in Rules 13a- 15(e)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Principal Executive Officer and Principal Financial Officer, to allow timely decisions regarding required disclosures. Any controls and procedures, no matter how well designed and operated, can provide only reasonable assurance of achieving the desired control objectives.</w:t>
      </w:r>
    </w:p>
    <w:p>
      <w:pPr>
        <w:spacing w:after="0" w:line="159" w:lineRule="exact"/>
        <w:rPr>
          <w:sz w:val="20"/>
          <w:szCs w:val="20"/>
          <w:color w:val="auto"/>
        </w:rPr>
      </w:pPr>
    </w:p>
    <w:p>
      <w:pPr>
        <w:jc w:val="both"/>
        <w:ind w:firstLine="355"/>
        <w:spacing w:after="0" w:line="242" w:lineRule="auto"/>
        <w:rPr>
          <w:sz w:val="20"/>
          <w:szCs w:val="20"/>
          <w:color w:val="auto"/>
        </w:rPr>
      </w:pPr>
      <w:r>
        <w:rPr>
          <w:rFonts w:ascii="Times New Roman" w:cs="Times New Roman" w:eastAsia="Times New Roman" w:hAnsi="Times New Roman"/>
          <w:sz w:val="20"/>
          <w:szCs w:val="20"/>
          <w:color w:val="auto"/>
        </w:rPr>
        <w:t>In connection with the preparation of this annual report on Form 10-K, our management, including the Principal Executive Officer and Principal Financial Officer, evaluated the effectiveness of the design and operation of our disclosure controls and procedures as of December 31, 2025. Based on that evaluation, our Principal Executive Officer and Principal Financial Officer have concluded that our disclosure controls and procedures were effective at the reasonable assurance level as of December 31, 2025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Principal Executive Officer and Principal Financial Officer, to allow timely decisions regarding required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199"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20"/>
          <w:szCs w:val="20"/>
          <w:color w:val="auto"/>
        </w:rPr>
        <w:t xml:space="preserve">Management is responsible for establishing and maintaining adequate internal control over financial reporting (as defined in Rules 13a-15(f) and 15(d)-15(f) under the Exchange Act). Our management, including our Principal Executive Officer and Principal Financial Officer, evaluated, as of December 31, 2025, the effectiveness of our internal control over financial reporting using the framework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Based on that evaluation, our Principal Executive Officer and Principal Financial Officer concluded that our internal controls, as of December 31, 2025, were effective.</w:t>
      </w:r>
    </w:p>
    <w:p>
      <w:pPr>
        <w:spacing w:after="0" w:line="15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independent registered public accounting firm regarding internal control over financial reporting. Management’s report was not subject to attestation by our independent registered public accounting firm pursuant to Section 404(b) and (c) of the Sarbanes-Oxley Act, which exempts emerging growth companies and non-accelerated filers from the auditor attestation requirement of Section 404(b) of the Sarbanes-Oxley Act.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99"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There have been no material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99" w:lineRule="exact"/>
        <w:rPr>
          <w:sz w:val="20"/>
          <w:szCs w:val="20"/>
          <w:color w:val="auto"/>
        </w:rPr>
      </w:pPr>
    </w:p>
    <w:p>
      <w:pPr>
        <w:jc w:val="both"/>
        <w:ind w:firstLine="354"/>
        <w:spacing w:after="0" w:line="255" w:lineRule="auto"/>
        <w:tabs>
          <w:tab w:leader="none" w:pos="62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March 8, 2026, Andreas Bodmeier resigned from his positions as President and Chief Investment Officer of the Company, effective immediately. Mr. Bodmeier’s resignation is not a result of any disagreement with the Company or on any matter relating to the Company’s operations, policies or practices.</w:t>
      </w:r>
    </w:p>
    <w:p>
      <w:pPr>
        <w:spacing w:after="0" w:line="147"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20"/>
          <w:szCs w:val="20"/>
          <w:color w:val="auto"/>
        </w:rPr>
        <w:t>On March 9, 2026, the board of directors of the Company appointed David Kite to the position of President, effective March 9, 2026. Mr. Kite currently serves as our Chief Operating Officer and will serve as President of the Company until his successor has been duly elected and qualified, or until the earlier of his resignation or removal.</w:t>
      </w:r>
    </w:p>
    <w:p>
      <w:pPr>
        <w:spacing w:after="0" w:line="147"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20"/>
          <w:szCs w:val="20"/>
          <w:color w:val="auto"/>
        </w:rPr>
        <w:t>Mr. Kite, age 55, has served as Chief Operating Officer of the Company since December 2021. Mr. Kite began his career as a commodities trader with Commodities Corp where legendary traders Paul Tudor Jones, Bruce Kovner and Louis Bacon launched their careers. Soon after, Mr. Kite founded K&amp;K Capital Management, where he created a proprietary trading strategy which at its peak managed in excess of $250 million. In 2013, Mr. Kite transitioned to real estate as Partner and Chief Operating Officer of Free Market Ventures, a boutique private equity real estate company, where he developed over 200 multifamily units, built over 100,000 square feet of cannabis cultivation warehouses, acquired and managed over 250,000 square feet of office space, purchased in excess of $25 million in distressed debt and receiver liens and oversaw all aspects of the company including deal structure, capital raising, debt financing, due diligence, acquisitions, asset management and dispositions. Mr. Kite holds a BA in Economics from the University of Illinois and an MBA from the University of Chicago Booth School of Business.</w:t>
      </w:r>
    </w:p>
    <w:p>
      <w:pPr>
        <w:sectPr>
          <w:pgSz w:w="12240" w:h="15840" w:orient="portrait"/>
          <w:cols w:equalWidth="0" w:num="1">
            <w:col w:w="10640"/>
          </w:cols>
          <w:pgMar w:left="800" w:top="778" w:right="800" w:bottom="254" w:gutter="0" w:footer="0" w:header="0"/>
        </w:sectPr>
      </w:pP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640"/>
          </w:cols>
          <w:pgMar w:left="800" w:top="778" w:right="800" w:bottom="254" w:gutter="0" w:footer="0" w:header="0"/>
          <w:type w:val="continuous"/>
        </w:sectPr>
      </w:pPr>
    </w:p>
    <w:bookmarkStart w:id="135" w:name="page136"/>
    <w:bookmarkEnd w:id="135"/>
    <w:p>
      <w:pPr>
        <w:jc w:val="both"/>
        <w:ind w:firstLine="354"/>
        <w:spacing w:after="0" w:line="255" w:lineRule="auto"/>
        <w:tabs>
          <w:tab w:leader="none" w:pos="63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Company’s officers or directors have adopted, modified or terminated trading plans under either a Rule 10b5-1 or non-Rule 10b5-1 trading arrangement (as such terms are defined in Item 408 of Regulation S-K of the Securities Act of 1933) for the three months and year ended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Policy</w:t>
      </w:r>
    </w:p>
    <w:p>
      <w:pPr>
        <w:spacing w:after="0" w:line="193" w:lineRule="exact"/>
        <w:rPr>
          <w:sz w:val="20"/>
          <w:szCs w:val="20"/>
          <w:color w:val="auto"/>
        </w:rPr>
      </w:pPr>
    </w:p>
    <w:p>
      <w:pPr>
        <w:ind w:firstLine="355"/>
        <w:spacing w:after="0" w:line="272" w:lineRule="auto"/>
        <w:rPr>
          <w:sz w:val="20"/>
          <w:szCs w:val="20"/>
          <w:color w:val="auto"/>
        </w:rPr>
      </w:pPr>
      <w:r>
        <w:rPr>
          <w:rFonts w:ascii="Times New Roman" w:cs="Times New Roman" w:eastAsia="Times New Roman" w:hAnsi="Times New Roman"/>
          <w:sz w:val="20"/>
          <w:szCs w:val="20"/>
          <w:color w:val="auto"/>
        </w:rPr>
        <w:t>The Company has adopted an insider trading policy governing the purchase, sale or other dispositions of our securities applicable to its directors, officers and employees, which is included as an exhibit to this annual report on Form 10-K.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640"/>
          </w:cols>
          <w:pgMar w:left="800" w:top="1009"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640"/>
          </w:cols>
          <w:pgMar w:left="800" w:top="1009" w:right="800" w:bottom="254"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9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20"/>
          <w:szCs w:val="20"/>
          <w:color w:val="auto"/>
        </w:rPr>
        <w:t>We will file a definitive Proxy Statement for our 2026 Annual Meeting of Stockholders (the “2026 Proxy Statement”) with the SEC, pursuant to Regulation 14A, not later than 120 days after the end of our fiscal year. Accordingly, certain information required by Part III has been omitted under General Instruction G(3) to Form 10-K. Only those sections of the 2026 Proxy Statement that specifically address the items set forth herein are incorporated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Item 10 is hereby incorporated by reference from our 2026 Proxy Statement.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Item 11 is hereby incorporated by reference from our 2026 Proxy Statement.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Item 12 is hereby incorporated by reference from our 2026 Proxy Statement.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Item 13 is hereby incorporated by reference from our 2026 Proxy Statement.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Item 14 is hereby incorporated by reference from our 2026 Proxy Statement.</w:t>
      </w:r>
    </w:p>
    <w:p>
      <w:pPr>
        <w:sectPr>
          <w:pgSz w:w="12240" w:h="15840" w:orient="portrait"/>
          <w:cols w:equalWidth="0" w:num="1">
            <w:col w:w="10640"/>
          </w:cols>
          <w:pgMar w:left="800" w:top="1005"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640"/>
          </w:cols>
          <w:pgMar w:left="800" w:top="1005" w:right="800" w:bottom="254"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72"/>
        </w:trPr>
        <w:tc>
          <w:tcPr>
            <w:tcW w:w="2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560" w:type="dxa"/>
            <w:vAlign w:val="bottom"/>
          </w:tcPr>
          <w:p>
            <w:pPr>
              <w:ind w:left="148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25"/>
        </w:trPr>
        <w:tc>
          <w:tcPr>
            <w:tcW w:w="100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10000" w:type="dxa"/>
            <w:vAlign w:val="bottom"/>
            <w:gridSpan w:val="6"/>
          </w:tcPr>
          <w:p>
            <w:pPr>
              <w:ind w:left="360"/>
              <w:spacing w:after="0"/>
              <w:rPr>
                <w:sz w:val="20"/>
                <w:szCs w:val="20"/>
                <w:color w:val="auto"/>
              </w:rPr>
            </w:pPr>
            <w:r>
              <w:rPr>
                <w:rFonts w:ascii="Times New Roman" w:cs="Times New Roman" w:eastAsia="Times New Roman" w:hAnsi="Times New Roman"/>
                <w:sz w:val="20"/>
                <w:szCs w:val="20"/>
                <w:b w:val="1"/>
                <w:bCs w:val="1"/>
                <w:color w:val="auto"/>
              </w:rPr>
              <w:t>a. Documents Filed as Part of this Report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1"/>
        </w:trPr>
        <w:tc>
          <w:tcPr>
            <w:tcW w:w="10000" w:type="dxa"/>
            <w:vAlign w:val="bottom"/>
            <w:gridSpan w:val="6"/>
          </w:tcPr>
          <w:p>
            <w:pPr>
              <w:ind w:left="360"/>
              <w:spacing w:after="0"/>
              <w:rPr>
                <w:sz w:val="20"/>
                <w:szCs w:val="20"/>
                <w:color w:val="auto"/>
              </w:rPr>
            </w:pPr>
            <w:r>
              <w:rPr>
                <w:rFonts w:ascii="Times New Roman" w:cs="Times New Roman" w:eastAsia="Times New Roman" w:hAnsi="Times New Roman"/>
                <w:sz w:val="20"/>
                <w:szCs w:val="20"/>
                <w:color w:val="auto"/>
              </w:rPr>
              <w:t>The following consolidated financial statements are set forth in Item 8:</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11"/>
        </w:trPr>
        <w:tc>
          <w:tcPr>
            <w:tcW w:w="10000" w:type="dxa"/>
            <w:vAlign w:val="bottom"/>
            <w:tcBorders>
              <w:top w:val="single" w:sz="8" w:color="E3E3E3"/>
            </w:tcBorders>
            <w:gridSpan w:val="6"/>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Consolidated Balance Sheets</w:t>
            </w:r>
          </w:p>
        </w:tc>
        <w:tc>
          <w:tcPr>
            <w:tcW w:w="640" w:type="dxa"/>
            <w:vAlign w:val="bottom"/>
            <w:tcBorders>
              <w:top w:val="single" w:sz="8" w:color="auto"/>
            </w:tcBorders>
            <w:shd w:val="clear" w:color="auto" w:fill="E3E3E3"/>
          </w:tcPr>
          <w:p>
            <w:pPr>
              <w:jc w:val="center"/>
              <w:spacing w:after="0" w:line="211" w:lineRule="exact"/>
              <w:rPr>
                <w:sz w:val="20"/>
                <w:szCs w:val="20"/>
                <w:color w:val="auto"/>
              </w:rPr>
            </w:pPr>
            <w:r>
              <w:rPr>
                <w:rFonts w:ascii="Times New Roman" w:cs="Times New Roman" w:eastAsia="Times New Roman" w:hAnsi="Times New Roman"/>
                <w:sz w:val="20"/>
                <w:szCs w:val="20"/>
                <w:color w:val="auto"/>
              </w:rPr>
              <w:t>F-3</w:t>
            </w:r>
          </w:p>
        </w:tc>
        <w:tc>
          <w:tcPr>
            <w:tcW w:w="20" w:type="dxa"/>
            <w:vAlign w:val="bottom"/>
            <w:tcBorders>
              <w:top w:val="single" w:sz="8" w:color="E3E3E3"/>
            </w:tcBorders>
            <w:shd w:val="clear" w:color="auto" w:fill="E3E3E3"/>
          </w:tcPr>
          <w:p>
            <w:pPr>
              <w:spacing w:after="0"/>
              <w:rPr>
                <w:sz w:val="18"/>
                <w:szCs w:val="18"/>
                <w:color w:val="auto"/>
              </w:rPr>
            </w:pPr>
          </w:p>
        </w:tc>
      </w:tr>
      <w:tr>
        <w:trPr>
          <w:trHeight w:val="224"/>
        </w:trPr>
        <w:tc>
          <w:tcPr>
            <w:tcW w:w="2280" w:type="dxa"/>
            <w:vAlign w:val="bottom"/>
            <w:tcBorders>
              <w:top w:val="single" w:sz="8" w:color="auto"/>
            </w:tcBorders>
          </w:tcPr>
          <w:p>
            <w:pPr>
              <w:spacing w:after="0"/>
              <w:rPr>
                <w:sz w:val="19"/>
                <w:szCs w:val="19"/>
                <w:color w:val="auto"/>
              </w:rPr>
            </w:pPr>
          </w:p>
        </w:tc>
        <w:tc>
          <w:tcPr>
            <w:tcW w:w="460" w:type="dxa"/>
            <w:vAlign w:val="bottom"/>
            <w:tcBorders>
              <w:top w:val="single" w:sz="8" w:color="E3E3E3"/>
            </w:tcBorders>
          </w:tcPr>
          <w:p>
            <w:pPr>
              <w:spacing w:after="0"/>
              <w:rPr>
                <w:sz w:val="19"/>
                <w:szCs w:val="19"/>
                <w:color w:val="auto"/>
              </w:rPr>
            </w:pPr>
          </w:p>
        </w:tc>
        <w:tc>
          <w:tcPr>
            <w:tcW w:w="340" w:type="dxa"/>
            <w:vAlign w:val="bottom"/>
            <w:tcBorders>
              <w:top w:val="single" w:sz="8" w:color="E3E3E3"/>
            </w:tcBorders>
          </w:tcPr>
          <w:p>
            <w:pPr>
              <w:spacing w:after="0"/>
              <w:rPr>
                <w:sz w:val="19"/>
                <w:szCs w:val="19"/>
                <w:color w:val="auto"/>
              </w:rPr>
            </w:pPr>
          </w:p>
        </w:tc>
        <w:tc>
          <w:tcPr>
            <w:tcW w:w="60" w:type="dxa"/>
            <w:vAlign w:val="bottom"/>
            <w:tcBorders>
              <w:top w:val="single" w:sz="8" w:color="E3E3E3"/>
            </w:tcBorders>
          </w:tcPr>
          <w:p>
            <w:pPr>
              <w:spacing w:after="0"/>
              <w:rPr>
                <w:sz w:val="19"/>
                <w:szCs w:val="19"/>
                <w:color w:val="auto"/>
              </w:rPr>
            </w:pPr>
          </w:p>
        </w:tc>
        <w:tc>
          <w:tcPr>
            <w:tcW w:w="300" w:type="dxa"/>
            <w:vAlign w:val="bottom"/>
            <w:tcBorders>
              <w:top w:val="single" w:sz="8" w:color="E3E3E3"/>
            </w:tcBorders>
          </w:tcPr>
          <w:p>
            <w:pPr>
              <w:spacing w:after="0"/>
              <w:rPr>
                <w:sz w:val="19"/>
                <w:szCs w:val="19"/>
                <w:color w:val="auto"/>
              </w:rPr>
            </w:pPr>
          </w:p>
        </w:tc>
        <w:tc>
          <w:tcPr>
            <w:tcW w:w="6560" w:type="dxa"/>
            <w:vAlign w:val="bottom"/>
            <w:tcBorders>
              <w:top w:val="single" w:sz="8" w:color="E3E3E3"/>
            </w:tcBorders>
          </w:tcPr>
          <w:p>
            <w:pPr>
              <w:spacing w:after="0"/>
              <w:rPr>
                <w:sz w:val="19"/>
                <w:szCs w:val="19"/>
                <w:color w:val="auto"/>
              </w:rPr>
            </w:pPr>
          </w:p>
        </w:tc>
        <w:tc>
          <w:tcPr>
            <w:tcW w:w="64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r>
      <w:tr>
        <w:trPr>
          <w:trHeight w:val="211"/>
        </w:trPr>
        <w:tc>
          <w:tcPr>
            <w:tcW w:w="10000" w:type="dxa"/>
            <w:vAlign w:val="bottom"/>
            <w:gridSpan w:val="6"/>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Consolidated Statements of Operations</w:t>
            </w:r>
          </w:p>
        </w:tc>
        <w:tc>
          <w:tcPr>
            <w:tcW w:w="660" w:type="dxa"/>
            <w:vAlign w:val="bottom"/>
            <w:gridSpan w:val="2"/>
            <w:shd w:val="clear" w:color="auto" w:fill="E3E3E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rPr>
              <w:t>F-4</w:t>
            </w:r>
          </w:p>
        </w:tc>
      </w:tr>
      <w:tr>
        <w:trPr>
          <w:trHeight w:val="224"/>
        </w:trPr>
        <w:tc>
          <w:tcPr>
            <w:tcW w:w="2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E3E3E3"/>
            </w:tcBorders>
          </w:tcPr>
          <w:p>
            <w:pPr>
              <w:spacing w:after="0"/>
              <w:rPr>
                <w:sz w:val="19"/>
                <w:szCs w:val="19"/>
                <w:color w:val="auto"/>
              </w:rPr>
            </w:pPr>
          </w:p>
        </w:tc>
        <w:tc>
          <w:tcPr>
            <w:tcW w:w="300" w:type="dxa"/>
            <w:vAlign w:val="bottom"/>
            <w:tcBorders>
              <w:top w:val="single" w:sz="8" w:color="E3E3E3"/>
            </w:tcBorders>
          </w:tcPr>
          <w:p>
            <w:pPr>
              <w:spacing w:after="0"/>
              <w:rPr>
                <w:sz w:val="19"/>
                <w:szCs w:val="19"/>
                <w:color w:val="auto"/>
              </w:rPr>
            </w:pPr>
          </w:p>
        </w:tc>
        <w:tc>
          <w:tcPr>
            <w:tcW w:w="6560" w:type="dxa"/>
            <w:vAlign w:val="bottom"/>
            <w:tcBorders>
              <w:top w:val="single" w:sz="8" w:color="E3E3E3"/>
            </w:tcBorders>
          </w:tcPr>
          <w:p>
            <w:pPr>
              <w:spacing w:after="0"/>
              <w:rPr>
                <w:sz w:val="19"/>
                <w:szCs w:val="19"/>
                <w:color w:val="auto"/>
              </w:rPr>
            </w:pPr>
          </w:p>
        </w:tc>
        <w:tc>
          <w:tcPr>
            <w:tcW w:w="64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r>
      <w:tr>
        <w:trPr>
          <w:trHeight w:val="211"/>
        </w:trPr>
        <w:tc>
          <w:tcPr>
            <w:tcW w:w="10000" w:type="dxa"/>
            <w:vAlign w:val="bottom"/>
            <w:gridSpan w:val="6"/>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Consolidated Statements of Equity</w:t>
            </w:r>
          </w:p>
        </w:tc>
        <w:tc>
          <w:tcPr>
            <w:tcW w:w="660" w:type="dxa"/>
            <w:vAlign w:val="bottom"/>
            <w:gridSpan w:val="2"/>
            <w:shd w:val="clear" w:color="auto" w:fill="E3E3E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rPr>
              <w:t>F-5</w:t>
            </w:r>
          </w:p>
        </w:tc>
      </w:tr>
      <w:tr>
        <w:trPr>
          <w:trHeight w:val="224"/>
        </w:trPr>
        <w:tc>
          <w:tcPr>
            <w:tcW w:w="2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E3E3E3"/>
            </w:tcBorders>
          </w:tcPr>
          <w:p>
            <w:pPr>
              <w:spacing w:after="0"/>
              <w:rPr>
                <w:sz w:val="19"/>
                <w:szCs w:val="19"/>
                <w:color w:val="auto"/>
              </w:rPr>
            </w:pPr>
          </w:p>
        </w:tc>
        <w:tc>
          <w:tcPr>
            <w:tcW w:w="60" w:type="dxa"/>
            <w:vAlign w:val="bottom"/>
            <w:tcBorders>
              <w:top w:val="single" w:sz="8" w:color="E3E3E3"/>
            </w:tcBorders>
          </w:tcPr>
          <w:p>
            <w:pPr>
              <w:spacing w:after="0"/>
              <w:rPr>
                <w:sz w:val="19"/>
                <w:szCs w:val="19"/>
                <w:color w:val="auto"/>
              </w:rPr>
            </w:pPr>
          </w:p>
        </w:tc>
        <w:tc>
          <w:tcPr>
            <w:tcW w:w="300" w:type="dxa"/>
            <w:vAlign w:val="bottom"/>
            <w:tcBorders>
              <w:top w:val="single" w:sz="8" w:color="E3E3E3"/>
            </w:tcBorders>
          </w:tcPr>
          <w:p>
            <w:pPr>
              <w:spacing w:after="0"/>
              <w:rPr>
                <w:sz w:val="19"/>
                <w:szCs w:val="19"/>
                <w:color w:val="auto"/>
              </w:rPr>
            </w:pPr>
          </w:p>
        </w:tc>
        <w:tc>
          <w:tcPr>
            <w:tcW w:w="6560" w:type="dxa"/>
            <w:vAlign w:val="bottom"/>
            <w:tcBorders>
              <w:top w:val="single" w:sz="8" w:color="E3E3E3"/>
            </w:tcBorders>
          </w:tcPr>
          <w:p>
            <w:pPr>
              <w:spacing w:after="0"/>
              <w:rPr>
                <w:sz w:val="19"/>
                <w:szCs w:val="19"/>
                <w:color w:val="auto"/>
              </w:rPr>
            </w:pPr>
          </w:p>
        </w:tc>
        <w:tc>
          <w:tcPr>
            <w:tcW w:w="64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r>
      <w:tr>
        <w:trPr>
          <w:trHeight w:val="211"/>
        </w:trPr>
        <w:tc>
          <w:tcPr>
            <w:tcW w:w="10000" w:type="dxa"/>
            <w:vAlign w:val="bottom"/>
            <w:gridSpan w:val="6"/>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Consolidated Statements of Cash Flows</w:t>
            </w:r>
          </w:p>
        </w:tc>
        <w:tc>
          <w:tcPr>
            <w:tcW w:w="660" w:type="dxa"/>
            <w:vAlign w:val="bottom"/>
            <w:gridSpan w:val="2"/>
            <w:shd w:val="clear" w:color="auto" w:fill="E3E3E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rPr>
              <w:t>F-6</w:t>
            </w:r>
          </w:p>
        </w:tc>
      </w:tr>
      <w:tr>
        <w:trPr>
          <w:trHeight w:val="224"/>
        </w:trPr>
        <w:tc>
          <w:tcPr>
            <w:tcW w:w="2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E3E3E3"/>
            </w:tcBorders>
          </w:tcPr>
          <w:p>
            <w:pPr>
              <w:spacing w:after="0"/>
              <w:rPr>
                <w:sz w:val="19"/>
                <w:szCs w:val="19"/>
                <w:color w:val="auto"/>
              </w:rPr>
            </w:pPr>
          </w:p>
        </w:tc>
        <w:tc>
          <w:tcPr>
            <w:tcW w:w="6560" w:type="dxa"/>
            <w:vAlign w:val="bottom"/>
            <w:tcBorders>
              <w:top w:val="single" w:sz="8" w:color="E3E3E3"/>
            </w:tcBorders>
          </w:tcPr>
          <w:p>
            <w:pPr>
              <w:spacing w:after="0"/>
              <w:rPr>
                <w:sz w:val="19"/>
                <w:szCs w:val="19"/>
                <w:color w:val="auto"/>
              </w:rPr>
            </w:pPr>
          </w:p>
        </w:tc>
        <w:tc>
          <w:tcPr>
            <w:tcW w:w="64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r>
      <w:tr>
        <w:trPr>
          <w:trHeight w:val="211"/>
        </w:trPr>
        <w:tc>
          <w:tcPr>
            <w:tcW w:w="10000" w:type="dxa"/>
            <w:vAlign w:val="bottom"/>
            <w:gridSpan w:val="6"/>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Notes to Consolidated Financial Statements</w:t>
            </w:r>
          </w:p>
        </w:tc>
        <w:tc>
          <w:tcPr>
            <w:tcW w:w="660" w:type="dxa"/>
            <w:vAlign w:val="bottom"/>
            <w:gridSpan w:val="2"/>
            <w:shd w:val="clear" w:color="auto" w:fill="E3E3E3"/>
          </w:tcPr>
          <w:p>
            <w:pPr>
              <w:jc w:val="center"/>
              <w:ind w:right="20"/>
              <w:spacing w:after="0" w:line="211" w:lineRule="exact"/>
              <w:rPr>
                <w:sz w:val="20"/>
                <w:szCs w:val="20"/>
                <w:color w:val="auto"/>
              </w:rPr>
            </w:pPr>
            <w:r>
              <w:rPr>
                <w:rFonts w:ascii="Times New Roman" w:cs="Times New Roman" w:eastAsia="Times New Roman" w:hAnsi="Times New Roman"/>
                <w:sz w:val="20"/>
                <w:szCs w:val="20"/>
                <w:color w:val="auto"/>
              </w:rPr>
              <w:t>F-7</w:t>
            </w:r>
          </w:p>
        </w:tc>
      </w:tr>
      <w:tr>
        <w:trPr>
          <w:trHeight w:val="20"/>
        </w:trPr>
        <w:tc>
          <w:tcPr>
            <w:tcW w:w="2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560" w:type="dxa"/>
            <w:vAlign w:val="bottom"/>
            <w:shd w:val="clear" w:color="auto" w:fill="E3E3E3"/>
          </w:tcPr>
          <w:p>
            <w:pPr>
              <w:spacing w:after="0" w:line="20" w:lineRule="exact"/>
              <w:rPr>
                <w:sz w:val="1"/>
                <w:szCs w:val="1"/>
                <w:color w:val="auto"/>
              </w:rPr>
            </w:pPr>
          </w:p>
        </w:tc>
        <w:tc>
          <w:tcPr>
            <w:tcW w:w="640" w:type="dxa"/>
            <w:vAlign w:val="bottom"/>
            <w:shd w:val="clear" w:color="auto" w:fill="E3E3E3"/>
          </w:tcPr>
          <w:p>
            <w:pPr>
              <w:spacing w:after="0" w:line="20" w:lineRule="exact"/>
              <w:rPr>
                <w:sz w:val="1"/>
                <w:szCs w:val="1"/>
                <w:color w:val="auto"/>
              </w:rPr>
            </w:pPr>
          </w:p>
        </w:tc>
        <w:tc>
          <w:tcPr>
            <w:tcW w:w="20" w:type="dxa"/>
            <w:vAlign w:val="bottom"/>
            <w:shd w:val="clear" w:color="auto" w:fill="E3E3E3"/>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40"/>
          </w:cols>
          <w:pgMar w:left="800" w:top="1005" w:right="80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640"/>
          </w:cols>
          <w:pgMar w:left="800" w:top="1005" w:right="800" w:bottom="254" w:gutter="0" w:footer="0" w:header="0"/>
          <w:type w:val="continuous"/>
        </w:sectPr>
      </w:pPr>
    </w:p>
    <w:bookmarkStart w:id="138" w:name="page139"/>
    <w:bookmarkEnd w:id="138"/>
    <w:p>
      <w:pPr>
        <w:ind w:left="360"/>
        <w:spacing w:after="0"/>
        <w:rPr>
          <w:sz w:val="20"/>
          <w:szCs w:val="20"/>
          <w:color w:val="auto"/>
        </w:rPr>
      </w:pPr>
      <w:r>
        <w:rPr>
          <w:rFonts w:ascii="Times New Roman" w:cs="Times New Roman" w:eastAsia="Times New Roman" w:hAnsi="Times New Roman"/>
          <w:sz w:val="20"/>
          <w:szCs w:val="20"/>
          <w:b w:val="1"/>
          <w:bCs w:val="1"/>
          <w:color w:val="auto"/>
        </w:rPr>
        <w:t>b. Exhibits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exhibits are filed as part of this report or hereby incorporated by reference to exhibits previously filed with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Borders>
              <w:right w:val="single" w:sz="8" w:color="E3E3E3"/>
            </w:tcBorders>
            <w:shd w:val="clear" w:color="auto" w:fill="E3E3E3"/>
          </w:tcPr>
          <w:p>
            <w:pPr>
              <w:ind w:left="20"/>
              <w:spacing w:after="0"/>
              <w:rPr>
                <w:sz w:val="20"/>
                <w:szCs w:val="20"/>
                <w:color w:val="auto"/>
              </w:rPr>
            </w:pPr>
            <w:r>
              <w:rPr>
                <w:rFonts w:ascii="Times New Roman" w:cs="Times New Roman" w:eastAsia="Times New Roman" w:hAnsi="Times New Roman"/>
                <w:sz w:val="20"/>
                <w:szCs w:val="20"/>
                <w:color w:val="auto"/>
              </w:rPr>
              <w:t>3.1</w:t>
            </w:r>
          </w:p>
        </w:tc>
        <w:tc>
          <w:tcPr>
            <w:tcW w:w="9680" w:type="dxa"/>
            <w:vAlign w:val="bottom"/>
            <w:gridSpan w:val="41"/>
            <w:shd w:val="clear" w:color="auto" w:fill="E3E3E3"/>
          </w:tcPr>
          <w:p>
            <w:pPr>
              <w:spacing w:after="0"/>
              <w:rPr>
                <w:sz w:val="20"/>
                <w:szCs w:val="20"/>
                <w:color w:val="auto"/>
              </w:rPr>
            </w:pPr>
            <w:r>
              <w:rPr>
                <w:rFonts w:ascii="Times New Roman" w:cs="Times New Roman" w:eastAsia="Times New Roman" w:hAnsi="Times New Roman"/>
                <w:sz w:val="20"/>
                <w:szCs w:val="20"/>
                <w:color w:val="auto"/>
              </w:rPr>
              <w:t>Articles of Incorporation of Chicago Atlantic Real Estate Finance, Inc. (Incorporated by reference to the Registrant’s</w:t>
            </w:r>
          </w:p>
        </w:tc>
      </w:tr>
      <w:tr>
        <w:trPr>
          <w:trHeight w:val="207"/>
        </w:trPr>
        <w:tc>
          <w:tcPr>
            <w:tcW w:w="980" w:type="dxa"/>
            <w:vAlign w:val="bottom"/>
            <w:tcBorders>
              <w:top w:val="single" w:sz="8" w:color="E3E3E3"/>
              <w:right w:val="single" w:sz="8" w:color="E3E3E3"/>
            </w:tcBorders>
            <w:shd w:val="clear" w:color="auto" w:fill="E3E3E3"/>
          </w:tcPr>
          <w:p>
            <w:pPr>
              <w:spacing w:after="0"/>
              <w:rPr>
                <w:sz w:val="18"/>
                <w:szCs w:val="18"/>
                <w:color w:val="auto"/>
              </w:rPr>
            </w:pPr>
          </w:p>
        </w:tc>
        <w:tc>
          <w:tcPr>
            <w:tcW w:w="9220" w:type="dxa"/>
            <w:vAlign w:val="bottom"/>
            <w:tcBorders>
              <w:top w:val="single" w:sz="8" w:color="auto"/>
            </w:tcBorders>
            <w:gridSpan w:val="26"/>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rPr>
              <w:t>Registration Statement on Form S-11 (File No. 333-260505), filed on October 26, 2021).</w:t>
            </w:r>
          </w:p>
        </w:tc>
        <w:tc>
          <w:tcPr>
            <w:tcW w:w="4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100" w:type="dxa"/>
            <w:vAlign w:val="bottom"/>
            <w:tcBorders>
              <w:top w:val="single" w:sz="8" w:color="E3E3E3"/>
            </w:tcBorders>
            <w:shd w:val="clear" w:color="auto" w:fill="E3E3E3"/>
          </w:tcPr>
          <w:p>
            <w:pPr>
              <w:spacing w:after="0"/>
              <w:rPr>
                <w:sz w:val="18"/>
                <w:szCs w:val="18"/>
                <w:color w:val="auto"/>
              </w:rPr>
            </w:pPr>
          </w:p>
        </w:tc>
        <w:tc>
          <w:tcPr>
            <w:tcW w:w="40" w:type="dxa"/>
            <w:vAlign w:val="bottom"/>
            <w:tcBorders>
              <w:top w:val="single" w:sz="8" w:color="E3E3E3"/>
            </w:tcBorders>
            <w:shd w:val="clear" w:color="auto" w:fill="E3E3E3"/>
          </w:tcPr>
          <w:p>
            <w:pPr>
              <w:spacing w:after="0"/>
              <w:rPr>
                <w:sz w:val="18"/>
                <w:szCs w:val="18"/>
                <w:color w:val="auto"/>
              </w:rPr>
            </w:pPr>
          </w:p>
        </w:tc>
        <w:tc>
          <w:tcPr>
            <w:tcW w:w="4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4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r>
      <w:tr>
        <w:trPr>
          <w:trHeight w:val="39"/>
        </w:trPr>
        <w:tc>
          <w:tcPr>
            <w:tcW w:w="980" w:type="dxa"/>
            <w:vAlign w:val="bottom"/>
            <w:tcBorders>
              <w:top w:val="single" w:sz="8" w:color="E3E3E3"/>
              <w:right w:val="single" w:sz="8" w:color="E3E3E3"/>
            </w:tcBorders>
            <w:shd w:val="clear" w:color="auto" w:fill="E3E3E3"/>
          </w:tcPr>
          <w:p>
            <w:pPr>
              <w:spacing w:after="0"/>
              <w:rPr>
                <w:sz w:val="3"/>
                <w:szCs w:val="3"/>
                <w:color w:val="auto"/>
              </w:rPr>
            </w:pPr>
          </w:p>
        </w:tc>
        <w:tc>
          <w:tcPr>
            <w:tcW w:w="840" w:type="dxa"/>
            <w:vAlign w:val="bottom"/>
            <w:tcBorders>
              <w:top w:val="single" w:sz="8" w:color="auto"/>
            </w:tcBorders>
            <w:shd w:val="clear" w:color="auto" w:fill="E3E3E3"/>
          </w:tcPr>
          <w:p>
            <w:pPr>
              <w:spacing w:after="0"/>
              <w:rPr>
                <w:sz w:val="3"/>
                <w:szCs w:val="3"/>
                <w:color w:val="auto"/>
              </w:rPr>
            </w:pPr>
          </w:p>
        </w:tc>
        <w:tc>
          <w:tcPr>
            <w:tcW w:w="400" w:type="dxa"/>
            <w:vAlign w:val="bottom"/>
            <w:tcBorders>
              <w:top w:val="single" w:sz="8" w:color="auto"/>
            </w:tcBorders>
            <w:shd w:val="clear" w:color="auto" w:fill="E3E3E3"/>
          </w:tcPr>
          <w:p>
            <w:pPr>
              <w:spacing w:after="0"/>
              <w:rPr>
                <w:sz w:val="3"/>
                <w:szCs w:val="3"/>
                <w:color w:val="auto"/>
              </w:rPr>
            </w:pPr>
          </w:p>
        </w:tc>
        <w:tc>
          <w:tcPr>
            <w:tcW w:w="240" w:type="dxa"/>
            <w:vAlign w:val="bottom"/>
            <w:tcBorders>
              <w:top w:val="single" w:sz="8" w:color="auto"/>
            </w:tcBorders>
            <w:shd w:val="clear" w:color="auto" w:fill="E3E3E3"/>
          </w:tcPr>
          <w:p>
            <w:pPr>
              <w:spacing w:after="0"/>
              <w:rPr>
                <w:sz w:val="3"/>
                <w:szCs w:val="3"/>
                <w:color w:val="auto"/>
              </w:rPr>
            </w:pPr>
          </w:p>
        </w:tc>
        <w:tc>
          <w:tcPr>
            <w:tcW w:w="80" w:type="dxa"/>
            <w:vAlign w:val="bottom"/>
            <w:tcBorders>
              <w:top w:val="single" w:sz="8" w:color="auto"/>
            </w:tcBorders>
            <w:shd w:val="clear" w:color="auto" w:fill="E3E3E3"/>
          </w:tcPr>
          <w:p>
            <w:pPr>
              <w:spacing w:after="0"/>
              <w:rPr>
                <w:sz w:val="3"/>
                <w:szCs w:val="3"/>
                <w:color w:val="auto"/>
              </w:rPr>
            </w:pPr>
          </w:p>
        </w:tc>
        <w:tc>
          <w:tcPr>
            <w:tcW w:w="200" w:type="dxa"/>
            <w:vAlign w:val="bottom"/>
            <w:tcBorders>
              <w:top w:val="single" w:sz="8" w:color="auto"/>
            </w:tcBorders>
            <w:shd w:val="clear" w:color="auto" w:fill="E3E3E3"/>
          </w:tcPr>
          <w:p>
            <w:pPr>
              <w:spacing w:after="0"/>
              <w:rPr>
                <w:sz w:val="3"/>
                <w:szCs w:val="3"/>
                <w:color w:val="auto"/>
              </w:rPr>
            </w:pPr>
          </w:p>
        </w:tc>
        <w:tc>
          <w:tcPr>
            <w:tcW w:w="1840" w:type="dxa"/>
            <w:vAlign w:val="bottom"/>
            <w:tcBorders>
              <w:top w:val="single" w:sz="8" w:color="auto"/>
            </w:tcBorders>
            <w:shd w:val="clear" w:color="auto" w:fill="E3E3E3"/>
          </w:tcPr>
          <w:p>
            <w:pPr>
              <w:spacing w:after="0"/>
              <w:rPr>
                <w:sz w:val="3"/>
                <w:szCs w:val="3"/>
                <w:color w:val="auto"/>
              </w:rPr>
            </w:pPr>
          </w:p>
        </w:tc>
        <w:tc>
          <w:tcPr>
            <w:tcW w:w="420" w:type="dxa"/>
            <w:vAlign w:val="bottom"/>
            <w:tcBorders>
              <w:top w:val="single" w:sz="8" w:color="auto"/>
            </w:tcBorders>
            <w:shd w:val="clear" w:color="auto" w:fill="E3E3E3"/>
          </w:tcPr>
          <w:p>
            <w:pPr>
              <w:spacing w:after="0"/>
              <w:rPr>
                <w:sz w:val="3"/>
                <w:szCs w:val="3"/>
                <w:color w:val="auto"/>
              </w:rPr>
            </w:pPr>
          </w:p>
        </w:tc>
        <w:tc>
          <w:tcPr>
            <w:tcW w:w="900" w:type="dxa"/>
            <w:vAlign w:val="bottom"/>
            <w:tcBorders>
              <w:top w:val="single" w:sz="8" w:color="auto"/>
            </w:tcBorders>
            <w:shd w:val="clear" w:color="auto" w:fill="E3E3E3"/>
          </w:tcPr>
          <w:p>
            <w:pPr>
              <w:spacing w:after="0"/>
              <w:rPr>
                <w:sz w:val="3"/>
                <w:szCs w:val="3"/>
                <w:color w:val="auto"/>
              </w:rPr>
            </w:pPr>
          </w:p>
        </w:tc>
        <w:tc>
          <w:tcPr>
            <w:tcW w:w="920" w:type="dxa"/>
            <w:vAlign w:val="bottom"/>
            <w:tcBorders>
              <w:top w:val="single" w:sz="8" w:color="auto"/>
            </w:tcBorders>
            <w:shd w:val="clear" w:color="auto" w:fill="E3E3E3"/>
          </w:tcPr>
          <w:p>
            <w:pPr>
              <w:spacing w:after="0"/>
              <w:rPr>
                <w:sz w:val="3"/>
                <w:szCs w:val="3"/>
                <w:color w:val="auto"/>
              </w:rPr>
            </w:pPr>
          </w:p>
        </w:tc>
        <w:tc>
          <w:tcPr>
            <w:tcW w:w="160" w:type="dxa"/>
            <w:vAlign w:val="bottom"/>
            <w:tcBorders>
              <w:top w:val="single" w:sz="8" w:color="auto"/>
            </w:tcBorders>
            <w:shd w:val="clear" w:color="auto" w:fill="E3E3E3"/>
          </w:tcPr>
          <w:p>
            <w:pPr>
              <w:spacing w:after="0"/>
              <w:rPr>
                <w:sz w:val="3"/>
                <w:szCs w:val="3"/>
                <w:color w:val="auto"/>
              </w:rPr>
            </w:pPr>
          </w:p>
        </w:tc>
        <w:tc>
          <w:tcPr>
            <w:tcW w:w="220" w:type="dxa"/>
            <w:vAlign w:val="bottom"/>
            <w:tcBorders>
              <w:top w:val="single" w:sz="8" w:color="auto"/>
            </w:tcBorders>
            <w:shd w:val="clear" w:color="auto" w:fill="E3E3E3"/>
          </w:tcPr>
          <w:p>
            <w:pPr>
              <w:spacing w:after="0"/>
              <w:rPr>
                <w:sz w:val="3"/>
                <w:szCs w:val="3"/>
                <w:color w:val="auto"/>
              </w:rPr>
            </w:pPr>
          </w:p>
        </w:tc>
        <w:tc>
          <w:tcPr>
            <w:tcW w:w="780" w:type="dxa"/>
            <w:vAlign w:val="bottom"/>
            <w:tcBorders>
              <w:top w:val="single" w:sz="8" w:color="auto"/>
            </w:tcBorders>
            <w:shd w:val="clear" w:color="auto" w:fill="E3E3E3"/>
          </w:tcPr>
          <w:p>
            <w:pPr>
              <w:spacing w:after="0"/>
              <w:rPr>
                <w:sz w:val="3"/>
                <w:szCs w:val="3"/>
                <w:color w:val="auto"/>
              </w:rPr>
            </w:pPr>
          </w:p>
        </w:tc>
        <w:tc>
          <w:tcPr>
            <w:tcW w:w="1000" w:type="dxa"/>
            <w:vAlign w:val="bottom"/>
            <w:tcBorders>
              <w:top w:val="single" w:sz="8" w:color="E3E3E3"/>
            </w:tcBorders>
            <w:shd w:val="clear" w:color="auto" w:fill="E3E3E3"/>
          </w:tcPr>
          <w:p>
            <w:pPr>
              <w:spacing w:after="0"/>
              <w:rPr>
                <w:sz w:val="3"/>
                <w:szCs w:val="3"/>
                <w:color w:val="auto"/>
              </w:rPr>
            </w:pPr>
          </w:p>
        </w:tc>
        <w:tc>
          <w:tcPr>
            <w:tcW w:w="280" w:type="dxa"/>
            <w:vAlign w:val="bottom"/>
            <w:tcBorders>
              <w:top w:val="single" w:sz="8" w:color="E3E3E3"/>
            </w:tcBorders>
            <w:shd w:val="clear" w:color="auto" w:fill="E3E3E3"/>
          </w:tcPr>
          <w:p>
            <w:pPr>
              <w:spacing w:after="0"/>
              <w:rPr>
                <w:sz w:val="3"/>
                <w:szCs w:val="3"/>
                <w:color w:val="auto"/>
              </w:rPr>
            </w:pPr>
          </w:p>
        </w:tc>
        <w:tc>
          <w:tcPr>
            <w:tcW w:w="60" w:type="dxa"/>
            <w:vAlign w:val="bottom"/>
            <w:tcBorders>
              <w:top w:val="single" w:sz="8" w:color="E3E3E3"/>
            </w:tcBorders>
            <w:shd w:val="clear" w:color="auto" w:fill="E3E3E3"/>
          </w:tcPr>
          <w:p>
            <w:pPr>
              <w:spacing w:after="0"/>
              <w:rPr>
                <w:sz w:val="3"/>
                <w:szCs w:val="3"/>
                <w:color w:val="auto"/>
              </w:rPr>
            </w:pPr>
          </w:p>
        </w:tc>
        <w:tc>
          <w:tcPr>
            <w:tcW w:w="36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6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60" w:type="dxa"/>
            <w:vAlign w:val="bottom"/>
            <w:tcBorders>
              <w:top w:val="single" w:sz="8" w:color="E3E3E3"/>
            </w:tcBorders>
            <w:shd w:val="clear" w:color="auto" w:fill="E3E3E3"/>
          </w:tcPr>
          <w:p>
            <w:pPr>
              <w:spacing w:after="0"/>
              <w:rPr>
                <w:sz w:val="3"/>
                <w:szCs w:val="3"/>
                <w:color w:val="auto"/>
              </w:rPr>
            </w:pPr>
          </w:p>
        </w:tc>
        <w:tc>
          <w:tcPr>
            <w:tcW w:w="120" w:type="dxa"/>
            <w:vAlign w:val="bottom"/>
            <w:tcBorders>
              <w:top w:val="single" w:sz="8" w:color="E3E3E3"/>
            </w:tcBorders>
            <w:shd w:val="clear" w:color="auto" w:fill="E3E3E3"/>
          </w:tcPr>
          <w:p>
            <w:pPr>
              <w:spacing w:after="0"/>
              <w:rPr>
                <w:sz w:val="3"/>
                <w:szCs w:val="3"/>
                <w:color w:val="auto"/>
              </w:rPr>
            </w:pPr>
          </w:p>
        </w:tc>
        <w:tc>
          <w:tcPr>
            <w:tcW w:w="1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r>
      <w:tr>
        <w:trPr>
          <w:trHeight w:val="211"/>
        </w:trPr>
        <w:tc>
          <w:tcPr>
            <w:tcW w:w="98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3.2</w:t>
            </w:r>
          </w:p>
        </w:tc>
        <w:tc>
          <w:tcPr>
            <w:tcW w:w="9680" w:type="dxa"/>
            <w:vAlign w:val="bottom"/>
            <w:gridSpan w:val="41"/>
          </w:tcPr>
          <w:p>
            <w:pPr>
              <w:spacing w:after="0" w:line="211" w:lineRule="exact"/>
              <w:rPr>
                <w:sz w:val="20"/>
                <w:szCs w:val="20"/>
                <w:color w:val="auto"/>
              </w:rPr>
            </w:pPr>
            <w:r>
              <w:rPr>
                <w:rFonts w:ascii="Times New Roman" w:cs="Times New Roman" w:eastAsia="Times New Roman" w:hAnsi="Times New Roman"/>
                <w:sz w:val="20"/>
                <w:szCs w:val="20"/>
                <w:color w:val="auto"/>
              </w:rPr>
              <w:t>Articles of Amendment of Chicago Atlantic Real Estate Finance, Inc. (Incorporated by reference to the Registrant’s</w:t>
            </w:r>
          </w:p>
        </w:tc>
      </w:tr>
      <w:tr>
        <w:trPr>
          <w:trHeight w:val="207"/>
        </w:trPr>
        <w:tc>
          <w:tcPr>
            <w:tcW w:w="980" w:type="dxa"/>
            <w:vAlign w:val="bottom"/>
          </w:tcPr>
          <w:p>
            <w:pPr>
              <w:spacing w:after="0"/>
              <w:rPr>
                <w:sz w:val="18"/>
                <w:szCs w:val="18"/>
                <w:color w:val="auto"/>
              </w:rPr>
            </w:pPr>
          </w:p>
        </w:tc>
        <w:tc>
          <w:tcPr>
            <w:tcW w:w="9120" w:type="dxa"/>
            <w:vAlign w:val="bottom"/>
            <w:tcBorders>
              <w:top w:val="single" w:sz="8" w:color="auto"/>
            </w:tcBorders>
            <w:gridSpan w:val="22"/>
          </w:tcPr>
          <w:p>
            <w:pPr>
              <w:spacing w:after="0" w:line="207" w:lineRule="exact"/>
              <w:rPr>
                <w:sz w:val="20"/>
                <w:szCs w:val="20"/>
                <w:color w:val="auto"/>
              </w:rPr>
            </w:pPr>
            <w:r>
              <w:rPr>
                <w:rFonts w:ascii="Times New Roman" w:cs="Times New Roman" w:eastAsia="Times New Roman" w:hAnsi="Times New Roman"/>
                <w:sz w:val="20"/>
                <w:szCs w:val="20"/>
                <w:color w:val="auto"/>
              </w:rPr>
              <w:t>Registration Statement on Form S-11 (File No. 333-260505), filed on October 26, 2021).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
        </w:trPr>
        <w:tc>
          <w:tcPr>
            <w:tcW w:w="9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8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1"/>
        </w:trPr>
        <w:tc>
          <w:tcPr>
            <w:tcW w:w="980" w:type="dxa"/>
            <w:vAlign w:val="bottom"/>
            <w:tcBorders>
              <w:right w:val="single" w:sz="8" w:color="E3E3E3"/>
            </w:tcBorders>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3.3</w:t>
            </w:r>
          </w:p>
        </w:tc>
        <w:tc>
          <w:tcPr>
            <w:tcW w:w="9680" w:type="dxa"/>
            <w:vAlign w:val="bottom"/>
            <w:gridSpan w:val="41"/>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Form of Articles of Amendment and Restatement of Chicago Atlantic Real Estate Finance, Inc. (Incorporated by</w:t>
            </w:r>
          </w:p>
        </w:tc>
      </w:tr>
      <w:tr>
        <w:trPr>
          <w:trHeight w:val="246"/>
        </w:trPr>
        <w:tc>
          <w:tcPr>
            <w:tcW w:w="980" w:type="dxa"/>
            <w:vAlign w:val="bottom"/>
            <w:tcBorders>
              <w:top w:val="single" w:sz="8" w:color="E3E3E3"/>
              <w:right w:val="single" w:sz="8" w:color="E3E3E3"/>
            </w:tcBorders>
            <w:shd w:val="clear" w:color="auto" w:fill="E3E3E3"/>
          </w:tcPr>
          <w:p>
            <w:pPr>
              <w:spacing w:after="0"/>
              <w:rPr>
                <w:sz w:val="21"/>
                <w:szCs w:val="21"/>
                <w:color w:val="auto"/>
              </w:rPr>
            </w:pPr>
          </w:p>
        </w:tc>
        <w:tc>
          <w:tcPr>
            <w:tcW w:w="8880" w:type="dxa"/>
            <w:vAlign w:val="bottom"/>
            <w:tcBorders>
              <w:top w:val="single" w:sz="8" w:color="auto"/>
            </w:tcBorders>
            <w:gridSpan w:val="20"/>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w w:val="99"/>
              </w:rPr>
              <w:t>reference to the Registrant’s Registration Statement on Form S-11 (File No. 333-260505), filed on October 26,</w:t>
            </w:r>
          </w:p>
        </w:tc>
        <w:tc>
          <w:tcPr>
            <w:tcW w:w="420" w:type="dxa"/>
            <w:vAlign w:val="bottom"/>
            <w:tcBorders>
              <w:top w:val="single" w:sz="8" w:color="E3E3E3"/>
            </w:tcBorders>
            <w:gridSpan w:val="9"/>
            <w:shd w:val="clear" w:color="auto" w:fill="E3E3E3"/>
          </w:tcPr>
          <w:p>
            <w:pPr>
              <w:jc w:val="right"/>
              <w:ind w:right="20"/>
              <w:spacing w:after="0" w:line="207" w:lineRule="exact"/>
              <w:rPr>
                <w:sz w:val="20"/>
                <w:szCs w:val="20"/>
                <w:color w:val="auto"/>
              </w:rPr>
            </w:pPr>
            <w:r>
              <w:rPr>
                <w:rFonts w:ascii="Times New Roman" w:cs="Times New Roman" w:eastAsia="Times New Roman" w:hAnsi="Times New Roman"/>
                <w:sz w:val="20"/>
                <w:szCs w:val="20"/>
                <w:color w:val="auto"/>
                <w:w w:val="73"/>
              </w:rPr>
              <w:t>2021).</w:t>
            </w:r>
          </w:p>
        </w:tc>
        <w:tc>
          <w:tcPr>
            <w:tcW w:w="100" w:type="dxa"/>
            <w:vAlign w:val="bottom"/>
            <w:tcBorders>
              <w:top w:val="single" w:sz="8" w:color="E3E3E3"/>
            </w:tcBorders>
            <w:shd w:val="clear" w:color="auto" w:fill="E3E3E3"/>
          </w:tcPr>
          <w:p>
            <w:pPr>
              <w:spacing w:after="0"/>
              <w:rPr>
                <w:sz w:val="21"/>
                <w:szCs w:val="21"/>
                <w:color w:val="auto"/>
              </w:rPr>
            </w:pPr>
          </w:p>
        </w:tc>
        <w:tc>
          <w:tcPr>
            <w:tcW w:w="40" w:type="dxa"/>
            <w:vAlign w:val="bottom"/>
            <w:tcBorders>
              <w:top w:val="single" w:sz="8" w:color="E3E3E3"/>
            </w:tcBorders>
            <w:shd w:val="clear" w:color="auto" w:fill="E3E3E3"/>
          </w:tcPr>
          <w:p>
            <w:pPr>
              <w:spacing w:after="0"/>
              <w:rPr>
                <w:sz w:val="21"/>
                <w:szCs w:val="21"/>
                <w:color w:val="auto"/>
              </w:rPr>
            </w:pPr>
          </w:p>
        </w:tc>
        <w:tc>
          <w:tcPr>
            <w:tcW w:w="4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E3E3E3"/>
            </w:tcBorders>
            <w:shd w:val="clear" w:color="auto" w:fill="E3E3E3"/>
          </w:tcPr>
          <w:p>
            <w:pPr>
              <w:spacing w:after="0"/>
              <w:rPr>
                <w:sz w:val="21"/>
                <w:szCs w:val="21"/>
                <w:color w:val="auto"/>
              </w:rPr>
            </w:pPr>
          </w:p>
        </w:tc>
        <w:tc>
          <w:tcPr>
            <w:tcW w:w="4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E3E3E3"/>
            </w:tcBorders>
            <w:shd w:val="clear" w:color="auto" w:fill="E3E3E3"/>
          </w:tcPr>
          <w:p>
            <w:pPr>
              <w:spacing w:after="0"/>
              <w:rPr>
                <w:sz w:val="21"/>
                <w:szCs w:val="21"/>
                <w:color w:val="auto"/>
              </w:rPr>
            </w:pPr>
          </w:p>
        </w:tc>
      </w:tr>
      <w:tr>
        <w:trPr>
          <w:trHeight w:val="211"/>
        </w:trPr>
        <w:tc>
          <w:tcPr>
            <w:tcW w:w="980" w:type="dxa"/>
            <w:vAlign w:val="bottom"/>
            <w:tcBorders>
              <w:top w:val="single" w:sz="8" w:color="E3E3E3"/>
            </w:tcBorders>
          </w:tcPr>
          <w:p>
            <w:pPr>
              <w:ind w:left="20"/>
              <w:spacing w:after="0" w:line="211" w:lineRule="exact"/>
              <w:rPr>
                <w:sz w:val="20"/>
                <w:szCs w:val="20"/>
                <w:color w:val="auto"/>
              </w:rPr>
            </w:pPr>
            <w:r>
              <w:rPr>
                <w:rFonts w:ascii="Times New Roman" w:cs="Times New Roman" w:eastAsia="Times New Roman" w:hAnsi="Times New Roman"/>
                <w:sz w:val="20"/>
                <w:szCs w:val="20"/>
                <w:color w:val="auto"/>
              </w:rPr>
              <w:t>3.4</w:t>
            </w:r>
          </w:p>
        </w:tc>
        <w:tc>
          <w:tcPr>
            <w:tcW w:w="9280" w:type="dxa"/>
            <w:vAlign w:val="bottom"/>
            <w:tcBorders>
              <w:top w:val="single" w:sz="8" w:color="auto"/>
            </w:tcBorders>
            <w:gridSpan w:val="28"/>
          </w:tcPr>
          <w:p>
            <w:pPr>
              <w:spacing w:after="0" w:line="211" w:lineRule="exact"/>
              <w:rPr>
                <w:sz w:val="20"/>
                <w:szCs w:val="20"/>
                <w:color w:val="auto"/>
              </w:rPr>
            </w:pPr>
            <w:r>
              <w:rPr>
                <w:rFonts w:ascii="Times New Roman" w:cs="Times New Roman" w:eastAsia="Times New Roman" w:hAnsi="Times New Roman"/>
                <w:sz w:val="20"/>
                <w:szCs w:val="20"/>
                <w:color w:val="auto"/>
              </w:rPr>
              <w:t>Amended and Restated Bylaws of Chicago Atlantic Real Estate Finance, Inc. (Incorporated by reference to the</w:t>
            </w:r>
          </w:p>
        </w:tc>
        <w:tc>
          <w:tcPr>
            <w:tcW w:w="400" w:type="dxa"/>
            <w:vAlign w:val="bottom"/>
            <w:tcBorders>
              <w:top w:val="single" w:sz="8" w:color="E3E3E3"/>
            </w:tcBorders>
            <w:gridSpan w:val="13"/>
          </w:tcPr>
          <w:p>
            <w:pPr>
              <w:spacing w:after="0"/>
              <w:rPr>
                <w:sz w:val="18"/>
                <w:szCs w:val="18"/>
                <w:color w:val="auto"/>
              </w:rPr>
            </w:pPr>
          </w:p>
        </w:tc>
      </w:tr>
      <w:tr>
        <w:trPr>
          <w:trHeight w:val="207"/>
        </w:trPr>
        <w:tc>
          <w:tcPr>
            <w:tcW w:w="980" w:type="dxa"/>
            <w:vAlign w:val="bottom"/>
          </w:tcPr>
          <w:p>
            <w:pPr>
              <w:spacing w:after="0"/>
              <w:rPr>
                <w:sz w:val="18"/>
                <w:szCs w:val="18"/>
                <w:color w:val="auto"/>
              </w:rPr>
            </w:pPr>
          </w:p>
        </w:tc>
        <w:tc>
          <w:tcPr>
            <w:tcW w:w="8720" w:type="dxa"/>
            <w:vAlign w:val="bottom"/>
            <w:tcBorders>
              <w:top w:val="single" w:sz="8" w:color="auto"/>
            </w:tcBorders>
            <w:gridSpan w:val="17"/>
          </w:tcPr>
          <w:p>
            <w:pPr>
              <w:spacing w:after="0" w:line="207" w:lineRule="exact"/>
              <w:rPr>
                <w:sz w:val="20"/>
                <w:szCs w:val="20"/>
                <w:color w:val="auto"/>
              </w:rPr>
            </w:pPr>
            <w:r>
              <w:rPr>
                <w:rFonts w:ascii="Times New Roman" w:cs="Times New Roman" w:eastAsia="Times New Roman" w:hAnsi="Times New Roman"/>
                <w:sz w:val="20"/>
                <w:szCs w:val="20"/>
                <w:color w:val="auto"/>
              </w:rPr>
              <w:t>Registrant’s Registration Statement on Form S-11 (File No. 333-260505), filed on October 26, 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
        </w:trPr>
        <w:tc>
          <w:tcPr>
            <w:tcW w:w="9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8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1"/>
        </w:trPr>
        <w:tc>
          <w:tcPr>
            <w:tcW w:w="980" w:type="dxa"/>
            <w:vAlign w:val="bottom"/>
            <w:tcBorders>
              <w:right w:val="single" w:sz="8" w:color="E3E3E3"/>
            </w:tcBorders>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4.1</w:t>
            </w:r>
          </w:p>
        </w:tc>
        <w:tc>
          <w:tcPr>
            <w:tcW w:w="9680" w:type="dxa"/>
            <w:vAlign w:val="bottom"/>
            <w:gridSpan w:val="41"/>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Form of Common Stock Certificate of the Registrant (Incorporated by reference to the Registrant’s Registration</w:t>
            </w:r>
          </w:p>
        </w:tc>
      </w:tr>
      <w:tr>
        <w:trPr>
          <w:trHeight w:val="246"/>
        </w:trPr>
        <w:tc>
          <w:tcPr>
            <w:tcW w:w="980" w:type="dxa"/>
            <w:vAlign w:val="bottom"/>
            <w:tcBorders>
              <w:top w:val="single" w:sz="8" w:color="E3E3E3"/>
              <w:bottom w:val="single" w:sz="8" w:color="E3E3E3"/>
              <w:right w:val="single" w:sz="8" w:color="E3E3E3"/>
            </w:tcBorders>
            <w:shd w:val="clear" w:color="auto" w:fill="E3E3E3"/>
          </w:tcPr>
          <w:p>
            <w:pPr>
              <w:spacing w:after="0"/>
              <w:rPr>
                <w:sz w:val="21"/>
                <w:szCs w:val="21"/>
                <w:color w:val="auto"/>
              </w:rPr>
            </w:pPr>
          </w:p>
        </w:tc>
        <w:tc>
          <w:tcPr>
            <w:tcW w:w="6000" w:type="dxa"/>
            <w:vAlign w:val="bottom"/>
            <w:tcBorders>
              <w:top w:val="single" w:sz="8" w:color="auto"/>
              <w:bottom w:val="single" w:sz="8" w:color="auto"/>
            </w:tcBorders>
            <w:gridSpan w:val="10"/>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w w:val="98"/>
              </w:rPr>
              <w:t>Statement on Form S-11 (File No. 333-260505), filed on October 26, 2021).</w:t>
            </w:r>
          </w:p>
        </w:tc>
        <w:tc>
          <w:tcPr>
            <w:tcW w:w="2820" w:type="dxa"/>
            <w:vAlign w:val="bottom"/>
            <w:tcBorders>
              <w:top w:val="single" w:sz="8" w:color="auto"/>
              <w:bottom w:val="single" w:sz="8" w:color="E3E3E3"/>
            </w:tcBorders>
            <w:gridSpan w:val="9"/>
            <w:shd w:val="clear" w:color="auto" w:fill="E3E3E3"/>
          </w:tcPr>
          <w:p>
            <w:pPr>
              <w:spacing w:after="0"/>
              <w:rPr>
                <w:sz w:val="21"/>
                <w:szCs w:val="21"/>
                <w:color w:val="auto"/>
              </w:rPr>
            </w:pPr>
          </w:p>
        </w:tc>
        <w:tc>
          <w:tcPr>
            <w:tcW w:w="180" w:type="dxa"/>
            <w:vAlign w:val="bottom"/>
            <w:tcBorders>
              <w:top w:val="single" w:sz="8" w:color="E3E3E3"/>
              <w:bottom w:val="single" w:sz="8" w:color="E3E3E3"/>
            </w:tcBorders>
            <w:gridSpan w:val="2"/>
            <w:shd w:val="clear" w:color="auto" w:fill="E3E3E3"/>
          </w:tcPr>
          <w:p>
            <w:pPr>
              <w:spacing w:after="0"/>
              <w:rPr>
                <w:sz w:val="21"/>
                <w:szCs w:val="21"/>
                <w:color w:val="auto"/>
              </w:rPr>
            </w:pPr>
          </w:p>
        </w:tc>
        <w:tc>
          <w:tcPr>
            <w:tcW w:w="140" w:type="dxa"/>
            <w:vAlign w:val="bottom"/>
            <w:tcBorders>
              <w:top w:val="single" w:sz="8" w:color="E3E3E3"/>
              <w:bottom w:val="single" w:sz="8" w:color="E3E3E3"/>
            </w:tcBorders>
            <w:gridSpan w:val="2"/>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40" w:type="dxa"/>
            <w:vAlign w:val="bottom"/>
            <w:tcBorders>
              <w:top w:val="single" w:sz="8" w:color="E3E3E3"/>
              <w:bottom w:val="single" w:sz="8" w:color="E3E3E3"/>
            </w:tcBorders>
            <w:shd w:val="clear" w:color="auto" w:fill="E3E3E3"/>
          </w:tcPr>
          <w:p>
            <w:pPr>
              <w:spacing w:after="0"/>
              <w:rPr>
                <w:sz w:val="21"/>
                <w:szCs w:val="21"/>
                <w:color w:val="auto"/>
              </w:rPr>
            </w:pPr>
          </w:p>
        </w:tc>
        <w:tc>
          <w:tcPr>
            <w:tcW w:w="60" w:type="dxa"/>
            <w:vAlign w:val="bottom"/>
            <w:tcBorders>
              <w:top w:val="single" w:sz="8" w:color="E3E3E3"/>
              <w:bottom w:val="single" w:sz="8" w:color="E3E3E3"/>
            </w:tcBorders>
            <w:gridSpan w:val="2"/>
            <w:shd w:val="clear" w:color="auto" w:fill="E3E3E3"/>
          </w:tcPr>
          <w:p>
            <w:pPr>
              <w:spacing w:after="0"/>
              <w:rPr>
                <w:sz w:val="21"/>
                <w:szCs w:val="21"/>
                <w:color w:val="auto"/>
              </w:rPr>
            </w:pPr>
          </w:p>
        </w:tc>
        <w:tc>
          <w:tcPr>
            <w:tcW w:w="40" w:type="dxa"/>
            <w:vAlign w:val="bottom"/>
            <w:tcBorders>
              <w:top w:val="single" w:sz="8" w:color="E3E3E3"/>
              <w:bottom w:val="single" w:sz="8" w:color="E3E3E3"/>
            </w:tcBorders>
            <w:gridSpan w:val="2"/>
            <w:shd w:val="clear" w:color="auto" w:fill="E3E3E3"/>
          </w:tcPr>
          <w:p>
            <w:pPr>
              <w:spacing w:after="0"/>
              <w:rPr>
                <w:sz w:val="21"/>
                <w:szCs w:val="21"/>
                <w:color w:val="auto"/>
              </w:rPr>
            </w:pPr>
          </w:p>
        </w:tc>
        <w:tc>
          <w:tcPr>
            <w:tcW w:w="100" w:type="dxa"/>
            <w:vAlign w:val="bottom"/>
            <w:tcBorders>
              <w:top w:val="single" w:sz="8" w:color="E3E3E3"/>
              <w:bottom w:val="single" w:sz="8" w:color="E3E3E3"/>
            </w:tcBorders>
            <w:shd w:val="clear" w:color="auto" w:fill="E3E3E3"/>
          </w:tcPr>
          <w:p>
            <w:pPr>
              <w:spacing w:after="0"/>
              <w:rPr>
                <w:sz w:val="21"/>
                <w:szCs w:val="21"/>
                <w:color w:val="auto"/>
              </w:rPr>
            </w:pPr>
          </w:p>
        </w:tc>
        <w:tc>
          <w:tcPr>
            <w:tcW w:w="40" w:type="dxa"/>
            <w:vAlign w:val="bottom"/>
            <w:tcBorders>
              <w:top w:val="single" w:sz="8" w:color="E3E3E3"/>
              <w:bottom w:val="single" w:sz="8" w:color="E3E3E3"/>
            </w:tcBorders>
            <w:shd w:val="clear" w:color="auto" w:fill="E3E3E3"/>
          </w:tcPr>
          <w:p>
            <w:pPr>
              <w:spacing w:after="0"/>
              <w:rPr>
                <w:sz w:val="21"/>
                <w:szCs w:val="21"/>
                <w:color w:val="auto"/>
              </w:rPr>
            </w:pPr>
          </w:p>
        </w:tc>
        <w:tc>
          <w:tcPr>
            <w:tcW w:w="4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4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r>
      <w:tr>
        <w:trPr>
          <w:trHeight w:val="211"/>
        </w:trPr>
        <w:tc>
          <w:tcPr>
            <w:tcW w:w="98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4.2</w:t>
            </w:r>
          </w:p>
        </w:tc>
        <w:tc>
          <w:tcPr>
            <w:tcW w:w="9680" w:type="dxa"/>
            <w:vAlign w:val="bottom"/>
            <w:gridSpan w:val="41"/>
          </w:tcPr>
          <w:p>
            <w:pPr>
              <w:spacing w:after="0" w:line="211" w:lineRule="exact"/>
              <w:rPr>
                <w:sz w:val="20"/>
                <w:szCs w:val="20"/>
                <w:color w:val="auto"/>
              </w:rPr>
            </w:pPr>
            <w:r>
              <w:rPr>
                <w:rFonts w:ascii="Times New Roman" w:cs="Times New Roman" w:eastAsia="Times New Roman" w:hAnsi="Times New Roman"/>
                <w:sz w:val="20"/>
                <w:szCs w:val="20"/>
                <w:color w:val="auto"/>
                <w:w w:val="98"/>
              </w:rPr>
              <w:t>Description of Registrant’s securities (Incorporated by reference to the Registrant’s Annual Report on Form 10-K, filed on</w:t>
            </w:r>
          </w:p>
        </w:tc>
      </w:tr>
      <w:tr>
        <w:trPr>
          <w:trHeight w:val="207"/>
        </w:trPr>
        <w:tc>
          <w:tcPr>
            <w:tcW w:w="980" w:type="dxa"/>
            <w:vAlign w:val="bottom"/>
          </w:tcPr>
          <w:p>
            <w:pPr>
              <w:spacing w:after="0"/>
              <w:rPr>
                <w:sz w:val="18"/>
                <w:szCs w:val="18"/>
                <w:color w:val="auto"/>
              </w:rPr>
            </w:pPr>
          </w:p>
        </w:tc>
        <w:tc>
          <w:tcPr>
            <w:tcW w:w="9660" w:type="dxa"/>
            <w:vAlign w:val="bottom"/>
            <w:tcBorders>
              <w:top w:val="single" w:sz="8" w:color="auto"/>
            </w:tcBorders>
            <w:gridSpan w:val="40"/>
          </w:tcPr>
          <w:p>
            <w:pPr>
              <w:spacing w:after="0" w:line="207" w:lineRule="exact"/>
              <w:rPr>
                <w:sz w:val="20"/>
                <w:szCs w:val="20"/>
                <w:color w:val="auto"/>
              </w:rPr>
            </w:pPr>
            <w:r>
              <w:rPr>
                <w:rFonts w:ascii="Times New Roman" w:cs="Times New Roman" w:eastAsia="Times New Roman" w:hAnsi="Times New Roman"/>
                <w:sz w:val="20"/>
                <w:szCs w:val="20"/>
                <w:color w:val="auto"/>
              </w:rPr>
              <w:t>April 14, 2022).</w:t>
            </w:r>
          </w:p>
        </w:tc>
        <w:tc>
          <w:tcPr>
            <w:tcW w:w="20" w:type="dxa"/>
            <w:vAlign w:val="bottom"/>
          </w:tcPr>
          <w:p>
            <w:pPr>
              <w:spacing w:after="0"/>
              <w:rPr>
                <w:sz w:val="18"/>
                <w:szCs w:val="18"/>
                <w:color w:val="auto"/>
              </w:rPr>
            </w:pPr>
          </w:p>
        </w:tc>
      </w:tr>
      <w:tr>
        <w:trPr>
          <w:trHeight w:val="39"/>
        </w:trPr>
        <w:tc>
          <w:tcPr>
            <w:tcW w:w="9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1"/>
        </w:trPr>
        <w:tc>
          <w:tcPr>
            <w:tcW w:w="980" w:type="dxa"/>
            <w:vAlign w:val="bottom"/>
            <w:tcBorders>
              <w:right w:val="single" w:sz="8" w:color="E3E3E3"/>
            </w:tcBorders>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10.1</w:t>
            </w:r>
          </w:p>
        </w:tc>
        <w:tc>
          <w:tcPr>
            <w:tcW w:w="9680" w:type="dxa"/>
            <w:vAlign w:val="bottom"/>
            <w:gridSpan w:val="41"/>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Management Agreement, dated May 1, 2021, by and between Chicago Atlantic Real Estate Finance, Inc. and Chicago</w:t>
            </w:r>
          </w:p>
        </w:tc>
      </w:tr>
      <w:tr>
        <w:trPr>
          <w:trHeight w:val="207"/>
        </w:trPr>
        <w:tc>
          <w:tcPr>
            <w:tcW w:w="980" w:type="dxa"/>
            <w:vAlign w:val="bottom"/>
            <w:tcBorders>
              <w:top w:val="single" w:sz="8" w:color="E3E3E3"/>
              <w:bottom w:val="single" w:sz="8" w:color="E3E3E3"/>
              <w:right w:val="single" w:sz="8" w:color="E3E3E3"/>
            </w:tcBorders>
            <w:shd w:val="clear" w:color="auto" w:fill="E3E3E3"/>
          </w:tcPr>
          <w:p>
            <w:pPr>
              <w:spacing w:after="0"/>
              <w:rPr>
                <w:sz w:val="18"/>
                <w:szCs w:val="18"/>
                <w:color w:val="auto"/>
              </w:rPr>
            </w:pPr>
          </w:p>
        </w:tc>
        <w:tc>
          <w:tcPr>
            <w:tcW w:w="9300" w:type="dxa"/>
            <w:vAlign w:val="bottom"/>
            <w:tcBorders>
              <w:top w:val="single" w:sz="8" w:color="auto"/>
              <w:bottom w:val="single" w:sz="8" w:color="auto"/>
            </w:tcBorders>
            <w:gridSpan w:val="29"/>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w w:val="97"/>
              </w:rPr>
              <w:t>Atlantic REIT Manager, LLC (Incorporated by reference to the Registrant’s Registration Statement on Form S-11 (File</w:t>
            </w:r>
          </w:p>
        </w:tc>
        <w:tc>
          <w:tcPr>
            <w:tcW w:w="100" w:type="dxa"/>
            <w:vAlign w:val="bottom"/>
            <w:tcBorders>
              <w:top w:val="single" w:sz="8" w:color="E3E3E3"/>
              <w:bottom w:val="single" w:sz="8" w:color="auto"/>
            </w:tcBorders>
            <w:shd w:val="clear" w:color="auto" w:fill="E3E3E3"/>
          </w:tcPr>
          <w:p>
            <w:pPr>
              <w:spacing w:after="0"/>
              <w:rPr>
                <w:sz w:val="18"/>
                <w:szCs w:val="18"/>
                <w:color w:val="auto"/>
              </w:rPr>
            </w:pPr>
          </w:p>
        </w:tc>
        <w:tc>
          <w:tcPr>
            <w:tcW w:w="40" w:type="dxa"/>
            <w:vAlign w:val="bottom"/>
            <w:tcBorders>
              <w:top w:val="single" w:sz="8" w:color="E3E3E3"/>
              <w:bottom w:val="single" w:sz="8" w:color="E3E3E3"/>
            </w:tcBorders>
            <w:shd w:val="clear" w:color="auto" w:fill="E3E3E3"/>
          </w:tcPr>
          <w:p>
            <w:pPr>
              <w:spacing w:after="0"/>
              <w:rPr>
                <w:sz w:val="18"/>
                <w:szCs w:val="18"/>
                <w:color w:val="auto"/>
              </w:rPr>
            </w:pPr>
          </w:p>
        </w:tc>
        <w:tc>
          <w:tcPr>
            <w:tcW w:w="40" w:type="dxa"/>
            <w:vAlign w:val="bottom"/>
            <w:tcBorders>
              <w:top w:val="single" w:sz="8" w:color="E3E3E3"/>
              <w:bottom w:val="single" w:sz="8" w:color="E3E3E3"/>
            </w:tcBorders>
            <w:shd w:val="clear" w:color="auto" w:fill="E3E3E3"/>
          </w:tcPr>
          <w:p>
            <w:pPr>
              <w:spacing w:after="0"/>
              <w:rPr>
                <w:sz w:val="18"/>
                <w:szCs w:val="18"/>
                <w:color w:val="auto"/>
              </w:rPr>
            </w:pPr>
          </w:p>
        </w:tc>
        <w:tc>
          <w:tcPr>
            <w:tcW w:w="20" w:type="dxa"/>
            <w:vAlign w:val="bottom"/>
            <w:tcBorders>
              <w:top w:val="single" w:sz="8" w:color="E3E3E3"/>
              <w:bottom w:val="single" w:sz="8" w:color="E3E3E3"/>
            </w:tcBorders>
            <w:shd w:val="clear" w:color="auto" w:fill="E3E3E3"/>
          </w:tcPr>
          <w:p>
            <w:pPr>
              <w:spacing w:after="0"/>
              <w:rPr>
                <w:sz w:val="18"/>
                <w:szCs w:val="18"/>
                <w:color w:val="auto"/>
              </w:rPr>
            </w:pPr>
          </w:p>
        </w:tc>
        <w:tc>
          <w:tcPr>
            <w:tcW w:w="20" w:type="dxa"/>
            <w:vAlign w:val="bottom"/>
            <w:tcBorders>
              <w:top w:val="single" w:sz="8" w:color="E3E3E3"/>
              <w:bottom w:val="single" w:sz="8" w:color="E3E3E3"/>
            </w:tcBorders>
            <w:shd w:val="clear" w:color="auto" w:fill="E3E3E3"/>
          </w:tcPr>
          <w:p>
            <w:pPr>
              <w:spacing w:after="0"/>
              <w:rPr>
                <w:sz w:val="18"/>
                <w:szCs w:val="18"/>
                <w:color w:val="auto"/>
              </w:rPr>
            </w:pPr>
          </w:p>
        </w:tc>
        <w:tc>
          <w:tcPr>
            <w:tcW w:w="20" w:type="dxa"/>
            <w:vAlign w:val="bottom"/>
            <w:tcBorders>
              <w:top w:val="single" w:sz="8" w:color="E3E3E3"/>
              <w:bottom w:val="single" w:sz="8" w:color="E3E3E3"/>
            </w:tcBorders>
            <w:shd w:val="clear" w:color="auto" w:fill="E3E3E3"/>
          </w:tcPr>
          <w:p>
            <w:pPr>
              <w:spacing w:after="0"/>
              <w:rPr>
                <w:sz w:val="18"/>
                <w:szCs w:val="18"/>
                <w:color w:val="auto"/>
              </w:rPr>
            </w:pPr>
          </w:p>
        </w:tc>
        <w:tc>
          <w:tcPr>
            <w:tcW w:w="20" w:type="dxa"/>
            <w:vAlign w:val="bottom"/>
            <w:tcBorders>
              <w:top w:val="single" w:sz="8" w:color="E3E3E3"/>
              <w:bottom w:val="single" w:sz="8" w:color="E3E3E3"/>
            </w:tcBorders>
            <w:shd w:val="clear" w:color="auto" w:fill="E3E3E3"/>
          </w:tcPr>
          <w:p>
            <w:pPr>
              <w:spacing w:after="0"/>
              <w:rPr>
                <w:sz w:val="18"/>
                <w:szCs w:val="18"/>
                <w:color w:val="auto"/>
              </w:rPr>
            </w:pPr>
          </w:p>
        </w:tc>
        <w:tc>
          <w:tcPr>
            <w:tcW w:w="40" w:type="dxa"/>
            <w:vAlign w:val="bottom"/>
            <w:tcBorders>
              <w:top w:val="single" w:sz="8" w:color="E3E3E3"/>
              <w:bottom w:val="single" w:sz="8" w:color="E3E3E3"/>
            </w:tcBorders>
            <w:shd w:val="clear" w:color="auto" w:fill="E3E3E3"/>
          </w:tcPr>
          <w:p>
            <w:pPr>
              <w:spacing w:after="0"/>
              <w:rPr>
                <w:sz w:val="18"/>
                <w:szCs w:val="18"/>
                <w:color w:val="auto"/>
              </w:rPr>
            </w:pPr>
          </w:p>
        </w:tc>
        <w:tc>
          <w:tcPr>
            <w:tcW w:w="20" w:type="dxa"/>
            <w:vAlign w:val="bottom"/>
            <w:tcBorders>
              <w:top w:val="single" w:sz="8" w:color="E3E3E3"/>
              <w:bottom w:val="single" w:sz="8" w:color="E3E3E3"/>
            </w:tcBorders>
            <w:shd w:val="clear" w:color="auto" w:fill="E3E3E3"/>
          </w:tcPr>
          <w:p>
            <w:pPr>
              <w:spacing w:after="0"/>
              <w:rPr>
                <w:sz w:val="18"/>
                <w:szCs w:val="18"/>
                <w:color w:val="auto"/>
              </w:rPr>
            </w:pPr>
          </w:p>
        </w:tc>
        <w:tc>
          <w:tcPr>
            <w:tcW w:w="20" w:type="dxa"/>
            <w:vAlign w:val="bottom"/>
            <w:tcBorders>
              <w:top w:val="single" w:sz="8" w:color="E3E3E3"/>
              <w:bottom w:val="single" w:sz="8" w:color="E3E3E3"/>
            </w:tcBorders>
            <w:shd w:val="clear" w:color="auto" w:fill="E3E3E3"/>
          </w:tcPr>
          <w:p>
            <w:pPr>
              <w:spacing w:after="0"/>
              <w:rPr>
                <w:sz w:val="18"/>
                <w:szCs w:val="18"/>
                <w:color w:val="auto"/>
              </w:rPr>
            </w:pPr>
          </w:p>
        </w:tc>
        <w:tc>
          <w:tcPr>
            <w:tcW w:w="40" w:type="dxa"/>
            <w:vAlign w:val="bottom"/>
            <w:tcBorders>
              <w:top w:val="single" w:sz="8" w:color="E3E3E3"/>
              <w:bottom w:val="single" w:sz="8" w:color="E3E3E3"/>
            </w:tcBorders>
            <w:gridSpan w:val="2"/>
            <w:shd w:val="clear" w:color="auto" w:fill="E3E3E3"/>
          </w:tcPr>
          <w:p>
            <w:pPr>
              <w:spacing w:after="0"/>
              <w:rPr>
                <w:sz w:val="18"/>
                <w:szCs w:val="18"/>
                <w:color w:val="auto"/>
              </w:rPr>
            </w:pPr>
          </w:p>
        </w:tc>
      </w:tr>
      <w:tr>
        <w:trPr>
          <w:trHeight w:val="246"/>
        </w:trPr>
        <w:tc>
          <w:tcPr>
            <w:tcW w:w="980" w:type="dxa"/>
            <w:vAlign w:val="bottom"/>
            <w:tcBorders>
              <w:bottom w:val="single" w:sz="8" w:color="E3E3E3"/>
              <w:right w:val="single" w:sz="8" w:color="E3E3E3"/>
            </w:tcBorders>
            <w:shd w:val="clear" w:color="auto" w:fill="E3E3E3"/>
          </w:tcPr>
          <w:p>
            <w:pPr>
              <w:spacing w:after="0"/>
              <w:rPr>
                <w:sz w:val="21"/>
                <w:szCs w:val="21"/>
                <w:color w:val="auto"/>
              </w:rPr>
            </w:pPr>
          </w:p>
        </w:tc>
        <w:tc>
          <w:tcPr>
            <w:tcW w:w="3600" w:type="dxa"/>
            <w:vAlign w:val="bottom"/>
            <w:tcBorders>
              <w:bottom w:val="single" w:sz="8" w:color="auto"/>
            </w:tcBorders>
            <w:gridSpan w:val="6"/>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w w:val="97"/>
              </w:rPr>
              <w:t>No. 333-260505), filed on October 26, 2021).</w:t>
            </w:r>
          </w:p>
        </w:tc>
        <w:tc>
          <w:tcPr>
            <w:tcW w:w="5800" w:type="dxa"/>
            <w:vAlign w:val="bottom"/>
            <w:tcBorders>
              <w:bottom w:val="single" w:sz="8" w:color="E3E3E3"/>
            </w:tcBorders>
            <w:gridSpan w:val="24"/>
            <w:shd w:val="clear" w:color="auto" w:fill="E3E3E3"/>
          </w:tcPr>
          <w:p>
            <w:pPr>
              <w:spacing w:after="0"/>
              <w:rPr>
                <w:sz w:val="21"/>
                <w:szCs w:val="21"/>
                <w:color w:val="auto"/>
              </w:rPr>
            </w:pPr>
          </w:p>
        </w:tc>
        <w:tc>
          <w:tcPr>
            <w:tcW w:w="40" w:type="dxa"/>
            <w:vAlign w:val="bottom"/>
            <w:tcBorders>
              <w:bottom w:val="single" w:sz="8" w:color="E3E3E3"/>
            </w:tcBorders>
            <w:shd w:val="clear" w:color="auto" w:fill="E3E3E3"/>
          </w:tcPr>
          <w:p>
            <w:pPr>
              <w:spacing w:after="0"/>
              <w:rPr>
                <w:sz w:val="21"/>
                <w:szCs w:val="21"/>
                <w:color w:val="auto"/>
              </w:rPr>
            </w:pPr>
          </w:p>
        </w:tc>
        <w:tc>
          <w:tcPr>
            <w:tcW w:w="40" w:type="dxa"/>
            <w:vAlign w:val="bottom"/>
            <w:tcBorders>
              <w:bottom w:val="single" w:sz="8" w:color="E3E3E3"/>
            </w:tcBorders>
            <w:shd w:val="clear" w:color="auto" w:fill="E3E3E3"/>
          </w:tcPr>
          <w:p>
            <w:pPr>
              <w:spacing w:after="0"/>
              <w:rPr>
                <w:sz w:val="21"/>
                <w:szCs w:val="21"/>
                <w:color w:val="auto"/>
              </w:rPr>
            </w:pPr>
          </w:p>
        </w:tc>
        <w:tc>
          <w:tcPr>
            <w:tcW w:w="20" w:type="dxa"/>
            <w:vAlign w:val="bottom"/>
            <w:tcBorders>
              <w:bottom w:val="single" w:sz="8" w:color="E3E3E3"/>
            </w:tcBorders>
            <w:shd w:val="clear" w:color="auto" w:fill="E3E3E3"/>
          </w:tcPr>
          <w:p>
            <w:pPr>
              <w:spacing w:after="0"/>
              <w:rPr>
                <w:sz w:val="21"/>
                <w:szCs w:val="21"/>
                <w:color w:val="auto"/>
              </w:rPr>
            </w:pPr>
          </w:p>
        </w:tc>
        <w:tc>
          <w:tcPr>
            <w:tcW w:w="20" w:type="dxa"/>
            <w:vAlign w:val="bottom"/>
            <w:tcBorders>
              <w:bottom w:val="single" w:sz="8" w:color="E3E3E3"/>
            </w:tcBorders>
            <w:shd w:val="clear" w:color="auto" w:fill="E3E3E3"/>
          </w:tcPr>
          <w:p>
            <w:pPr>
              <w:spacing w:after="0"/>
              <w:rPr>
                <w:sz w:val="21"/>
                <w:szCs w:val="21"/>
                <w:color w:val="auto"/>
              </w:rPr>
            </w:pPr>
          </w:p>
        </w:tc>
        <w:tc>
          <w:tcPr>
            <w:tcW w:w="20" w:type="dxa"/>
            <w:vAlign w:val="bottom"/>
            <w:tcBorders>
              <w:bottom w:val="single" w:sz="8" w:color="E3E3E3"/>
            </w:tcBorders>
            <w:shd w:val="clear" w:color="auto" w:fill="E3E3E3"/>
          </w:tcPr>
          <w:p>
            <w:pPr>
              <w:spacing w:after="0"/>
              <w:rPr>
                <w:sz w:val="21"/>
                <w:szCs w:val="21"/>
                <w:color w:val="auto"/>
              </w:rPr>
            </w:pPr>
          </w:p>
        </w:tc>
        <w:tc>
          <w:tcPr>
            <w:tcW w:w="20" w:type="dxa"/>
            <w:vAlign w:val="bottom"/>
            <w:tcBorders>
              <w:bottom w:val="single" w:sz="8" w:color="E3E3E3"/>
            </w:tcBorders>
            <w:shd w:val="clear" w:color="auto" w:fill="E3E3E3"/>
          </w:tcPr>
          <w:p>
            <w:pPr>
              <w:spacing w:after="0"/>
              <w:rPr>
                <w:sz w:val="21"/>
                <w:szCs w:val="21"/>
                <w:color w:val="auto"/>
              </w:rPr>
            </w:pPr>
          </w:p>
        </w:tc>
        <w:tc>
          <w:tcPr>
            <w:tcW w:w="40" w:type="dxa"/>
            <w:vAlign w:val="bottom"/>
            <w:tcBorders>
              <w:bottom w:val="single" w:sz="8" w:color="E3E3E3"/>
            </w:tcBorders>
            <w:shd w:val="clear" w:color="auto" w:fill="E3E3E3"/>
          </w:tcPr>
          <w:p>
            <w:pPr>
              <w:spacing w:after="0"/>
              <w:rPr>
                <w:sz w:val="21"/>
                <w:szCs w:val="21"/>
                <w:color w:val="auto"/>
              </w:rPr>
            </w:pPr>
          </w:p>
        </w:tc>
        <w:tc>
          <w:tcPr>
            <w:tcW w:w="20" w:type="dxa"/>
            <w:vAlign w:val="bottom"/>
            <w:tcBorders>
              <w:bottom w:val="single" w:sz="8" w:color="E3E3E3"/>
            </w:tcBorders>
            <w:shd w:val="clear" w:color="auto" w:fill="E3E3E3"/>
          </w:tcPr>
          <w:p>
            <w:pPr>
              <w:spacing w:after="0"/>
              <w:rPr>
                <w:sz w:val="21"/>
                <w:szCs w:val="21"/>
                <w:color w:val="auto"/>
              </w:rPr>
            </w:pPr>
          </w:p>
        </w:tc>
        <w:tc>
          <w:tcPr>
            <w:tcW w:w="20" w:type="dxa"/>
            <w:vAlign w:val="bottom"/>
            <w:tcBorders>
              <w:bottom w:val="single" w:sz="8" w:color="E3E3E3"/>
            </w:tcBorders>
            <w:shd w:val="clear" w:color="auto" w:fill="E3E3E3"/>
          </w:tcPr>
          <w:p>
            <w:pPr>
              <w:spacing w:after="0"/>
              <w:rPr>
                <w:sz w:val="21"/>
                <w:szCs w:val="21"/>
                <w:color w:val="auto"/>
              </w:rPr>
            </w:pPr>
          </w:p>
        </w:tc>
        <w:tc>
          <w:tcPr>
            <w:tcW w:w="40" w:type="dxa"/>
            <w:vAlign w:val="bottom"/>
            <w:tcBorders>
              <w:bottom w:val="single" w:sz="8" w:color="E3E3E3"/>
            </w:tcBorders>
            <w:gridSpan w:val="2"/>
            <w:shd w:val="clear" w:color="auto" w:fill="E3E3E3"/>
          </w:tcPr>
          <w:p>
            <w:pPr>
              <w:spacing w:after="0"/>
              <w:rPr>
                <w:sz w:val="21"/>
                <w:szCs w:val="21"/>
                <w:color w:val="auto"/>
              </w:rPr>
            </w:pPr>
          </w:p>
        </w:tc>
      </w:tr>
      <w:tr>
        <w:trPr>
          <w:trHeight w:val="211"/>
        </w:trPr>
        <w:tc>
          <w:tcPr>
            <w:tcW w:w="98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10.2</w:t>
            </w:r>
          </w:p>
        </w:tc>
        <w:tc>
          <w:tcPr>
            <w:tcW w:w="9680" w:type="dxa"/>
            <w:vAlign w:val="bottom"/>
            <w:gridSpan w:val="41"/>
          </w:tcPr>
          <w:p>
            <w:pPr>
              <w:spacing w:after="0" w:line="211" w:lineRule="exact"/>
              <w:rPr>
                <w:sz w:val="20"/>
                <w:szCs w:val="20"/>
                <w:color w:val="auto"/>
              </w:rPr>
            </w:pPr>
            <w:r>
              <w:rPr>
                <w:rFonts w:ascii="Times New Roman" w:cs="Times New Roman" w:eastAsia="Times New Roman" w:hAnsi="Times New Roman"/>
                <w:sz w:val="20"/>
                <w:szCs w:val="20"/>
                <w:color w:val="auto"/>
              </w:rPr>
              <w:t>Form of Indemnification Agreement between the Registrant and each of its directors and officers (Incorporated by</w:t>
            </w: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7"/>
        </w:trPr>
        <w:tc>
          <w:tcPr>
            <w:tcW w:w="980" w:type="dxa"/>
            <w:vAlign w:val="bottom"/>
          </w:tcPr>
          <w:p>
            <w:pPr>
              <w:spacing w:after="0"/>
              <w:rPr>
                <w:sz w:val="18"/>
                <w:szCs w:val="18"/>
                <w:color w:val="auto"/>
              </w:rPr>
            </w:pPr>
          </w:p>
        </w:tc>
        <w:tc>
          <w:tcPr>
            <w:tcW w:w="9680" w:type="dxa"/>
            <w:vAlign w:val="bottom"/>
            <w:gridSpan w:val="41"/>
          </w:tcPr>
          <w:p>
            <w:pPr>
              <w:spacing w:after="0" w:line="207" w:lineRule="exact"/>
              <w:rPr>
                <w:sz w:val="20"/>
                <w:szCs w:val="20"/>
                <w:color w:val="auto"/>
              </w:rPr>
            </w:pPr>
            <w:r>
              <w:rPr>
                <w:rFonts w:ascii="Times New Roman" w:cs="Times New Roman" w:eastAsia="Times New Roman" w:hAnsi="Times New Roman"/>
                <w:sz w:val="20"/>
                <w:szCs w:val="20"/>
                <w:color w:val="auto"/>
              </w:rPr>
              <w:t>reference to the Registrant’s Registration Statement on Form S-11 (File No. 333-260505), filed on October 26, 2021).</w:t>
            </w:r>
          </w:p>
        </w:tc>
      </w:tr>
      <w:tr>
        <w:trPr>
          <w:trHeight w:val="39"/>
        </w:trPr>
        <w:tc>
          <w:tcPr>
            <w:tcW w:w="9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8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1"/>
        </w:trPr>
        <w:tc>
          <w:tcPr>
            <w:tcW w:w="980" w:type="dxa"/>
            <w:vAlign w:val="bottom"/>
            <w:tcBorders>
              <w:right w:val="single" w:sz="8" w:color="E3E3E3"/>
            </w:tcBorders>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10.3</w:t>
            </w:r>
          </w:p>
        </w:tc>
        <w:tc>
          <w:tcPr>
            <w:tcW w:w="9680" w:type="dxa"/>
            <w:vAlign w:val="bottom"/>
            <w:gridSpan w:val="41"/>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w w:val="98"/>
              </w:rPr>
              <w:t>Chicago Atlantic Real Estate Finance, Inc. 2021 Omnibus Incentive Plan (Incorporated by reference to Amendment No. 1</w:t>
            </w:r>
          </w:p>
        </w:tc>
      </w:tr>
      <w:tr>
        <w:trPr>
          <w:trHeight w:val="246"/>
        </w:trPr>
        <w:tc>
          <w:tcPr>
            <w:tcW w:w="980" w:type="dxa"/>
            <w:vAlign w:val="bottom"/>
            <w:tcBorders>
              <w:top w:val="single" w:sz="8" w:color="E3E3E3"/>
              <w:bottom w:val="single" w:sz="8" w:color="E3E3E3"/>
              <w:right w:val="single" w:sz="8" w:color="E3E3E3"/>
            </w:tcBorders>
            <w:shd w:val="clear" w:color="auto" w:fill="E3E3E3"/>
          </w:tcPr>
          <w:p>
            <w:pPr>
              <w:spacing w:after="0"/>
              <w:rPr>
                <w:sz w:val="21"/>
                <w:szCs w:val="21"/>
                <w:color w:val="auto"/>
              </w:rPr>
            </w:pPr>
          </w:p>
        </w:tc>
        <w:tc>
          <w:tcPr>
            <w:tcW w:w="8700" w:type="dxa"/>
            <w:vAlign w:val="bottom"/>
            <w:tcBorders>
              <w:top w:val="single" w:sz="8" w:color="auto"/>
              <w:bottom w:val="single" w:sz="8" w:color="auto"/>
            </w:tcBorders>
            <w:gridSpan w:val="16"/>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w w:val="98"/>
              </w:rPr>
              <w:t>to the Registrant’s Registration Statement on Form S-11 (File No. 333-260505), filed on November 12, 2021).</w:t>
            </w:r>
          </w:p>
        </w:tc>
        <w:tc>
          <w:tcPr>
            <w:tcW w:w="900" w:type="dxa"/>
            <w:vAlign w:val="bottom"/>
            <w:tcBorders>
              <w:top w:val="single" w:sz="8" w:color="auto"/>
              <w:bottom w:val="single" w:sz="8" w:color="E3E3E3"/>
            </w:tcBorders>
            <w:gridSpan w:val="21"/>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40" w:type="dxa"/>
            <w:vAlign w:val="bottom"/>
            <w:tcBorders>
              <w:top w:val="single" w:sz="8" w:color="E3E3E3"/>
              <w:bottom w:val="single" w:sz="8" w:color="E3E3E3"/>
            </w:tcBorders>
            <w:gridSpan w:val="2"/>
            <w:shd w:val="clear" w:color="auto" w:fill="E3E3E3"/>
          </w:tcPr>
          <w:p>
            <w:pPr>
              <w:spacing w:after="0"/>
              <w:rPr>
                <w:sz w:val="21"/>
                <w:szCs w:val="21"/>
                <w:color w:val="auto"/>
              </w:rPr>
            </w:pPr>
          </w:p>
        </w:tc>
      </w:tr>
      <w:tr>
        <w:trPr>
          <w:trHeight w:val="211"/>
        </w:trPr>
        <w:tc>
          <w:tcPr>
            <w:tcW w:w="98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10.4</w:t>
            </w:r>
          </w:p>
        </w:tc>
        <w:tc>
          <w:tcPr>
            <w:tcW w:w="9680" w:type="dxa"/>
            <w:vAlign w:val="bottom"/>
            <w:gridSpan w:val="41"/>
          </w:tcPr>
          <w:p>
            <w:pPr>
              <w:spacing w:after="0" w:line="211" w:lineRule="exact"/>
              <w:rPr>
                <w:sz w:val="20"/>
                <w:szCs w:val="20"/>
                <w:color w:val="auto"/>
              </w:rPr>
            </w:pPr>
            <w:r>
              <w:rPr>
                <w:rFonts w:ascii="Times New Roman" w:cs="Times New Roman" w:eastAsia="Times New Roman" w:hAnsi="Times New Roman"/>
                <w:sz w:val="20"/>
                <w:szCs w:val="20"/>
                <w:color w:val="auto"/>
              </w:rPr>
              <w:t>Amendment to the Management Agreement (Incorporated by reference to the Registrant’s Registration Statement on</w:t>
            </w:r>
          </w:p>
        </w:tc>
      </w:tr>
      <w:tr>
        <w:trPr>
          <w:trHeight w:val="207"/>
        </w:trPr>
        <w:tc>
          <w:tcPr>
            <w:tcW w:w="980" w:type="dxa"/>
            <w:vAlign w:val="bottom"/>
          </w:tcPr>
          <w:p>
            <w:pPr>
              <w:spacing w:after="0"/>
              <w:rPr>
                <w:sz w:val="18"/>
                <w:szCs w:val="18"/>
                <w:color w:val="auto"/>
              </w:rPr>
            </w:pPr>
          </w:p>
        </w:tc>
        <w:tc>
          <w:tcPr>
            <w:tcW w:w="9200" w:type="dxa"/>
            <w:vAlign w:val="bottom"/>
            <w:tcBorders>
              <w:top w:val="single" w:sz="8" w:color="auto"/>
            </w:tcBorders>
            <w:gridSpan w:val="25"/>
          </w:tcPr>
          <w:p>
            <w:pPr>
              <w:spacing w:after="0" w:line="207" w:lineRule="exact"/>
              <w:rPr>
                <w:sz w:val="20"/>
                <w:szCs w:val="20"/>
                <w:color w:val="auto"/>
              </w:rPr>
            </w:pPr>
            <w:r>
              <w:rPr>
                <w:rFonts w:ascii="Times New Roman" w:cs="Times New Roman" w:eastAsia="Times New Roman" w:hAnsi="Times New Roman"/>
                <w:sz w:val="20"/>
                <w:szCs w:val="20"/>
                <w:color w:val="auto"/>
              </w:rPr>
              <w:t>Form S-11 (File No. 333-260505), filed on October 26, 2021).</w:t>
            </w:r>
          </w:p>
        </w:tc>
        <w:tc>
          <w:tcPr>
            <w:tcW w:w="60" w:type="dxa"/>
            <w:vAlign w:val="bottom"/>
            <w:gridSpan w:val="2"/>
          </w:tcPr>
          <w:p>
            <w:pPr>
              <w:spacing w:after="0"/>
              <w:rPr>
                <w:sz w:val="18"/>
                <w:szCs w:val="18"/>
                <w:color w:val="auto"/>
              </w:rPr>
            </w:pPr>
          </w:p>
        </w:tc>
        <w:tc>
          <w:tcPr>
            <w:tcW w:w="18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39"/>
        </w:trPr>
        <w:tc>
          <w:tcPr>
            <w:tcW w:w="9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8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1"/>
        </w:trPr>
        <w:tc>
          <w:tcPr>
            <w:tcW w:w="980" w:type="dxa"/>
            <w:vAlign w:val="bottom"/>
            <w:tcBorders>
              <w:bottom w:val="single" w:sz="8" w:color="E3E3E3"/>
              <w:right w:val="single" w:sz="8" w:color="E3E3E3"/>
            </w:tcBorders>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10.5</w:t>
            </w:r>
          </w:p>
        </w:tc>
        <w:tc>
          <w:tcPr>
            <w:tcW w:w="9160" w:type="dxa"/>
            <w:vAlign w:val="bottom"/>
            <w:tcBorders>
              <w:bottom w:val="single" w:sz="8" w:color="auto"/>
            </w:tcBorders>
            <w:gridSpan w:val="24"/>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w w:val="98"/>
              </w:rPr>
              <w:t>Fifth Amended and Restated Loan and Security Agreement, dated as of February 28, 2024, among Chicago Atlantic</w:t>
            </w:r>
          </w:p>
        </w:tc>
        <w:tc>
          <w:tcPr>
            <w:tcW w:w="520" w:type="dxa"/>
            <w:vAlign w:val="bottom"/>
            <w:tcBorders>
              <w:bottom w:val="single" w:sz="8" w:color="E3E3E3"/>
            </w:tcBorders>
            <w:gridSpan w:val="17"/>
            <w:shd w:val="clear" w:color="auto" w:fill="E3E3E3"/>
          </w:tcPr>
          <w:p>
            <w:pPr>
              <w:spacing w:after="0"/>
              <w:rPr>
                <w:sz w:val="18"/>
                <w:szCs w:val="18"/>
                <w:color w:val="auto"/>
              </w:rPr>
            </w:pPr>
          </w:p>
        </w:tc>
      </w:tr>
      <w:tr>
        <w:trPr>
          <w:trHeight w:val="207"/>
        </w:trPr>
        <w:tc>
          <w:tcPr>
            <w:tcW w:w="980" w:type="dxa"/>
            <w:vAlign w:val="bottom"/>
            <w:tcBorders>
              <w:right w:val="single" w:sz="8" w:color="E3E3E3"/>
            </w:tcBorders>
            <w:shd w:val="clear" w:color="auto" w:fill="E3E3E3"/>
          </w:tcPr>
          <w:p>
            <w:pPr>
              <w:spacing w:after="0"/>
              <w:rPr>
                <w:sz w:val="18"/>
                <w:szCs w:val="18"/>
                <w:color w:val="auto"/>
              </w:rPr>
            </w:pPr>
          </w:p>
        </w:tc>
        <w:tc>
          <w:tcPr>
            <w:tcW w:w="9680" w:type="dxa"/>
            <w:vAlign w:val="bottom"/>
            <w:gridSpan w:val="41"/>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w w:val="98"/>
              </w:rPr>
              <w:t>Lincoln, LLC, Chicago Atlantic Real Estate Finance, Inc., the other Persons from time to time party thereto, as borrowers;</w:t>
            </w:r>
          </w:p>
        </w:tc>
      </w:tr>
      <w:tr>
        <w:trPr>
          <w:trHeight w:val="207"/>
        </w:trPr>
        <w:tc>
          <w:tcPr>
            <w:tcW w:w="980" w:type="dxa"/>
            <w:vAlign w:val="bottom"/>
            <w:tcBorders>
              <w:top w:val="single" w:sz="8" w:color="E3E3E3"/>
              <w:right w:val="single" w:sz="8" w:color="E3E3E3"/>
            </w:tcBorders>
            <w:shd w:val="clear" w:color="auto" w:fill="E3E3E3"/>
          </w:tcPr>
          <w:p>
            <w:pPr>
              <w:spacing w:after="0"/>
              <w:rPr>
                <w:sz w:val="18"/>
                <w:szCs w:val="18"/>
                <w:color w:val="auto"/>
              </w:rPr>
            </w:pPr>
          </w:p>
        </w:tc>
        <w:tc>
          <w:tcPr>
            <w:tcW w:w="9640" w:type="dxa"/>
            <w:vAlign w:val="bottom"/>
            <w:tcBorders>
              <w:top w:val="single" w:sz="8" w:color="auto"/>
            </w:tcBorders>
            <w:gridSpan w:val="39"/>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rPr>
              <w:t>and the financial institutions party thereto, as Lenders (Incorporated by reference to Annual Report on Form 10-K, filed</w:t>
            </w:r>
          </w:p>
        </w:tc>
        <w:tc>
          <w:tcPr>
            <w:tcW w:w="40" w:type="dxa"/>
            <w:vAlign w:val="bottom"/>
            <w:tcBorders>
              <w:top w:val="single" w:sz="8" w:color="E3E3E3"/>
            </w:tcBorders>
            <w:gridSpan w:val="2"/>
            <w:shd w:val="clear" w:color="auto" w:fill="E3E3E3"/>
          </w:tcPr>
          <w:p>
            <w:pPr>
              <w:spacing w:after="0"/>
              <w:rPr>
                <w:sz w:val="18"/>
                <w:szCs w:val="18"/>
                <w:color w:val="auto"/>
              </w:rPr>
            </w:pPr>
          </w:p>
        </w:tc>
      </w:tr>
      <w:tr>
        <w:trPr>
          <w:trHeight w:val="246"/>
        </w:trPr>
        <w:tc>
          <w:tcPr>
            <w:tcW w:w="980" w:type="dxa"/>
            <w:vAlign w:val="bottom"/>
            <w:tcBorders>
              <w:top w:val="single" w:sz="8" w:color="E3E3E3"/>
              <w:bottom w:val="single" w:sz="8" w:color="E3E3E3"/>
              <w:right w:val="single" w:sz="8" w:color="E3E3E3"/>
            </w:tcBorders>
            <w:shd w:val="clear" w:color="auto" w:fill="E3E3E3"/>
          </w:tcPr>
          <w:p>
            <w:pPr>
              <w:spacing w:after="0"/>
              <w:rPr>
                <w:sz w:val="21"/>
                <w:szCs w:val="21"/>
                <w:color w:val="auto"/>
              </w:rPr>
            </w:pPr>
          </w:p>
        </w:tc>
        <w:tc>
          <w:tcPr>
            <w:tcW w:w="1760" w:type="dxa"/>
            <w:vAlign w:val="bottom"/>
            <w:tcBorders>
              <w:top w:val="single" w:sz="8" w:color="auto"/>
              <w:bottom w:val="single" w:sz="8" w:color="auto"/>
            </w:tcBorders>
            <w:gridSpan w:val="5"/>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w w:val="97"/>
              </w:rPr>
              <w:t>on March 12, 2024)**</w:t>
            </w:r>
          </w:p>
        </w:tc>
        <w:tc>
          <w:tcPr>
            <w:tcW w:w="7680" w:type="dxa"/>
            <w:vAlign w:val="bottom"/>
            <w:tcBorders>
              <w:top w:val="single" w:sz="8" w:color="auto"/>
              <w:bottom w:val="single" w:sz="8" w:color="E3E3E3"/>
            </w:tcBorders>
            <w:gridSpan w:val="26"/>
            <w:shd w:val="clear" w:color="auto" w:fill="E3E3E3"/>
          </w:tcPr>
          <w:p>
            <w:pPr>
              <w:spacing w:after="0"/>
              <w:rPr>
                <w:sz w:val="21"/>
                <w:szCs w:val="21"/>
                <w:color w:val="auto"/>
              </w:rPr>
            </w:pPr>
          </w:p>
        </w:tc>
        <w:tc>
          <w:tcPr>
            <w:tcW w:w="4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60" w:type="dxa"/>
            <w:vAlign w:val="bottom"/>
            <w:tcBorders>
              <w:top w:val="single" w:sz="8" w:color="E3E3E3"/>
              <w:bottom w:val="single" w:sz="8" w:color="E3E3E3"/>
            </w:tcBorders>
            <w:gridSpan w:val="2"/>
            <w:shd w:val="clear" w:color="auto" w:fill="E3E3E3"/>
          </w:tcPr>
          <w:p>
            <w:pPr>
              <w:spacing w:after="0"/>
              <w:rPr>
                <w:sz w:val="21"/>
                <w:szCs w:val="21"/>
                <w:color w:val="auto"/>
              </w:rPr>
            </w:pPr>
          </w:p>
        </w:tc>
        <w:tc>
          <w:tcPr>
            <w:tcW w:w="60" w:type="dxa"/>
            <w:vAlign w:val="bottom"/>
            <w:tcBorders>
              <w:top w:val="single" w:sz="8" w:color="E3E3E3"/>
              <w:bottom w:val="single" w:sz="8" w:color="E3E3E3"/>
            </w:tcBorders>
            <w:gridSpan w:val="3"/>
            <w:shd w:val="clear" w:color="auto" w:fill="E3E3E3"/>
          </w:tcPr>
          <w:p>
            <w:pPr>
              <w:spacing w:after="0"/>
              <w:rPr>
                <w:sz w:val="21"/>
                <w:szCs w:val="21"/>
                <w:color w:val="auto"/>
              </w:rPr>
            </w:pPr>
          </w:p>
        </w:tc>
      </w:tr>
      <w:tr>
        <w:trPr>
          <w:trHeight w:val="211"/>
        </w:trPr>
        <w:tc>
          <w:tcPr>
            <w:tcW w:w="98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10.6</w:t>
            </w:r>
          </w:p>
        </w:tc>
        <w:tc>
          <w:tcPr>
            <w:tcW w:w="9680" w:type="dxa"/>
            <w:vAlign w:val="bottom"/>
            <w:gridSpan w:val="41"/>
          </w:tcPr>
          <w:p>
            <w:pPr>
              <w:spacing w:after="0" w:line="211" w:lineRule="exact"/>
              <w:rPr>
                <w:sz w:val="20"/>
                <w:szCs w:val="20"/>
                <w:color w:val="auto"/>
              </w:rPr>
            </w:pPr>
            <w:r>
              <w:rPr>
                <w:rFonts w:ascii="Times New Roman" w:cs="Times New Roman" w:eastAsia="Times New Roman" w:hAnsi="Times New Roman"/>
                <w:sz w:val="20"/>
                <w:szCs w:val="20"/>
                <w:color w:val="auto"/>
              </w:rPr>
              <w:t>Loan Agreement, dated as of October 18, 2024, among Chicago Atlantic Real Estate Finance, Inc., and the financial</w:t>
            </w: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360" w:type="dxa"/>
            <w:vAlign w:val="bottom"/>
            <w:gridSpan w:val="5"/>
            <w:shd w:val="clear" w:color="auto" w:fill="00000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7"/>
        </w:trPr>
        <w:tc>
          <w:tcPr>
            <w:tcW w:w="980" w:type="dxa"/>
            <w:vAlign w:val="bottom"/>
          </w:tcPr>
          <w:p>
            <w:pPr>
              <w:spacing w:after="0"/>
              <w:rPr>
                <w:sz w:val="18"/>
                <w:szCs w:val="18"/>
                <w:color w:val="auto"/>
              </w:rPr>
            </w:pPr>
          </w:p>
        </w:tc>
        <w:tc>
          <w:tcPr>
            <w:tcW w:w="9680" w:type="dxa"/>
            <w:vAlign w:val="bottom"/>
            <w:gridSpan w:val="41"/>
          </w:tcPr>
          <w:p>
            <w:pPr>
              <w:spacing w:after="0" w:line="207" w:lineRule="exact"/>
              <w:rPr>
                <w:sz w:val="20"/>
                <w:szCs w:val="20"/>
                <w:color w:val="auto"/>
              </w:rPr>
            </w:pPr>
            <w:r>
              <w:rPr>
                <w:rFonts w:ascii="Times New Roman" w:cs="Times New Roman" w:eastAsia="Times New Roman" w:hAnsi="Times New Roman"/>
                <w:sz w:val="20"/>
                <w:szCs w:val="20"/>
                <w:color w:val="auto"/>
              </w:rPr>
              <w:t>institutions party thereto, as Lenders (Incorporated by reference to the Registrant's Current Report on Form 8-K, filed on</w:t>
            </w:r>
          </w:p>
        </w:tc>
      </w:tr>
      <w:tr>
        <w:trPr>
          <w:trHeight w:val="207"/>
        </w:trPr>
        <w:tc>
          <w:tcPr>
            <w:tcW w:w="980" w:type="dxa"/>
            <w:vAlign w:val="bottom"/>
          </w:tcPr>
          <w:p>
            <w:pPr>
              <w:spacing w:after="0"/>
              <w:rPr>
                <w:sz w:val="18"/>
                <w:szCs w:val="18"/>
                <w:color w:val="auto"/>
              </w:rPr>
            </w:pPr>
          </w:p>
        </w:tc>
        <w:tc>
          <w:tcPr>
            <w:tcW w:w="9500" w:type="dxa"/>
            <w:vAlign w:val="bottom"/>
            <w:tcBorders>
              <w:top w:val="single" w:sz="8" w:color="auto"/>
            </w:tcBorders>
            <w:gridSpan w:val="33"/>
          </w:tcPr>
          <w:p>
            <w:pPr>
              <w:spacing w:after="0" w:line="207" w:lineRule="exact"/>
              <w:rPr>
                <w:sz w:val="20"/>
                <w:szCs w:val="20"/>
                <w:color w:val="auto"/>
              </w:rPr>
            </w:pPr>
            <w:r>
              <w:rPr>
                <w:rFonts w:ascii="Times New Roman" w:cs="Times New Roman" w:eastAsia="Times New Roman" w:hAnsi="Times New Roman"/>
                <w:sz w:val="20"/>
                <w:szCs w:val="20"/>
                <w:color w:val="auto"/>
              </w:rPr>
              <w:t>October 23, 2024).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r>
      <w:tr>
        <w:trPr>
          <w:trHeight w:val="39"/>
        </w:trPr>
        <w:tc>
          <w:tcPr>
            <w:tcW w:w="9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1"/>
        </w:trPr>
        <w:tc>
          <w:tcPr>
            <w:tcW w:w="980" w:type="dxa"/>
            <w:vAlign w:val="bottom"/>
            <w:tcBorders>
              <w:right w:val="single" w:sz="8" w:color="E3E3E3"/>
            </w:tcBorders>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10.7</w:t>
            </w:r>
          </w:p>
        </w:tc>
        <w:tc>
          <w:tcPr>
            <w:tcW w:w="9680" w:type="dxa"/>
            <w:vAlign w:val="bottom"/>
            <w:gridSpan w:val="41"/>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First Amendment to the Sixth Amended and Restated Loan and Security Agreement, dated as of August 5, 2025, among</w:t>
            </w:r>
          </w:p>
        </w:tc>
      </w:tr>
      <w:tr>
        <w:trPr>
          <w:trHeight w:val="207"/>
        </w:trPr>
        <w:tc>
          <w:tcPr>
            <w:tcW w:w="980" w:type="dxa"/>
            <w:vAlign w:val="bottom"/>
            <w:tcBorders>
              <w:top w:val="single" w:sz="8" w:color="E3E3E3"/>
              <w:right w:val="single" w:sz="8" w:color="E3E3E3"/>
            </w:tcBorders>
            <w:shd w:val="clear" w:color="auto" w:fill="E3E3E3"/>
          </w:tcPr>
          <w:p>
            <w:pPr>
              <w:spacing w:after="0"/>
              <w:rPr>
                <w:sz w:val="18"/>
                <w:szCs w:val="18"/>
                <w:color w:val="auto"/>
              </w:rPr>
            </w:pPr>
          </w:p>
        </w:tc>
        <w:tc>
          <w:tcPr>
            <w:tcW w:w="9480" w:type="dxa"/>
            <w:vAlign w:val="bottom"/>
            <w:tcBorders>
              <w:top w:val="single" w:sz="8" w:color="auto"/>
            </w:tcBorders>
            <w:gridSpan w:val="32"/>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rPr>
              <w:t>Chicago Atlantic Lincoln, LLC, Chicago Atlantic Real Estate Finance, Inc., the other Persons from time to time party</w:t>
            </w:r>
          </w:p>
        </w:tc>
        <w:tc>
          <w:tcPr>
            <w:tcW w:w="40" w:type="dxa"/>
            <w:vAlign w:val="bottom"/>
            <w:tcBorders>
              <w:top w:val="single" w:sz="8" w:color="E3E3E3"/>
            </w:tcBorders>
            <w:gridSpan w:val="2"/>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20" w:type="dxa"/>
            <w:vAlign w:val="bottom"/>
            <w:tcBorders>
              <w:top w:val="single" w:sz="8" w:color="E3E3E3"/>
            </w:tcBorders>
            <w:shd w:val="clear" w:color="auto" w:fill="E3E3E3"/>
          </w:tcPr>
          <w:p>
            <w:pPr>
              <w:spacing w:after="0"/>
              <w:rPr>
                <w:sz w:val="18"/>
                <w:szCs w:val="18"/>
                <w:color w:val="auto"/>
              </w:rPr>
            </w:pPr>
          </w:p>
        </w:tc>
        <w:tc>
          <w:tcPr>
            <w:tcW w:w="60" w:type="dxa"/>
            <w:vAlign w:val="bottom"/>
            <w:tcBorders>
              <w:top w:val="single" w:sz="8" w:color="E3E3E3"/>
            </w:tcBorders>
            <w:gridSpan w:val="2"/>
            <w:shd w:val="clear" w:color="auto" w:fill="E3E3E3"/>
          </w:tcPr>
          <w:p>
            <w:pPr>
              <w:spacing w:after="0"/>
              <w:rPr>
                <w:sz w:val="18"/>
                <w:szCs w:val="18"/>
                <w:color w:val="auto"/>
              </w:rPr>
            </w:pPr>
          </w:p>
        </w:tc>
        <w:tc>
          <w:tcPr>
            <w:tcW w:w="60" w:type="dxa"/>
            <w:vAlign w:val="bottom"/>
            <w:tcBorders>
              <w:top w:val="single" w:sz="8" w:color="E3E3E3"/>
            </w:tcBorders>
            <w:gridSpan w:val="3"/>
            <w:shd w:val="clear" w:color="auto" w:fill="E3E3E3"/>
          </w:tcPr>
          <w:p>
            <w:pPr>
              <w:spacing w:after="0"/>
              <w:rPr>
                <w:sz w:val="18"/>
                <w:szCs w:val="18"/>
                <w:color w:val="auto"/>
              </w:rPr>
            </w:pPr>
          </w:p>
        </w:tc>
      </w:tr>
      <w:tr>
        <w:trPr>
          <w:trHeight w:val="20"/>
        </w:trPr>
        <w:tc>
          <w:tcPr>
            <w:tcW w:w="980" w:type="dxa"/>
            <w:vAlign w:val="bottom"/>
            <w:tcBorders>
              <w:right w:val="single" w:sz="8" w:color="E3E3E3"/>
            </w:tcBorders>
            <w:shd w:val="clear" w:color="auto" w:fill="E3E3E3"/>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80" w:type="dxa"/>
            <w:vAlign w:val="bottom"/>
            <w:gridSpan w:val="9"/>
            <w:shd w:val="clear" w:color="auto" w:fill="000000"/>
          </w:tcPr>
          <w:p>
            <w:pPr>
              <w:spacing w:after="0" w:line="20" w:lineRule="exact"/>
              <w:rPr>
                <w:sz w:val="1"/>
                <w:szCs w:val="1"/>
                <w:color w:val="auto"/>
              </w:rPr>
            </w:pPr>
          </w:p>
        </w:tc>
        <w:tc>
          <w:tcPr>
            <w:tcW w:w="260" w:type="dxa"/>
            <w:vAlign w:val="bottom"/>
            <w:gridSpan w:val="7"/>
            <w:shd w:val="clear" w:color="auto" w:fill="E3E3E3"/>
          </w:tcPr>
          <w:p>
            <w:pPr>
              <w:spacing w:after="0" w:line="20" w:lineRule="exact"/>
              <w:rPr>
                <w:sz w:val="1"/>
                <w:szCs w:val="1"/>
                <w:color w:val="auto"/>
              </w:rPr>
            </w:pPr>
          </w:p>
        </w:tc>
        <w:tc>
          <w:tcPr>
            <w:tcW w:w="20" w:type="dxa"/>
            <w:vAlign w:val="bottom"/>
            <w:shd w:val="clear" w:color="auto" w:fill="E3E3E3"/>
          </w:tcPr>
          <w:p>
            <w:pPr>
              <w:spacing w:after="0" w:line="20" w:lineRule="exact"/>
              <w:rPr>
                <w:sz w:val="1"/>
                <w:szCs w:val="1"/>
                <w:color w:val="auto"/>
              </w:rPr>
            </w:pPr>
          </w:p>
        </w:tc>
        <w:tc>
          <w:tcPr>
            <w:tcW w:w="20" w:type="dxa"/>
            <w:vAlign w:val="bottom"/>
            <w:shd w:val="clear" w:color="auto" w:fill="E3E3E3"/>
          </w:tcPr>
          <w:p>
            <w:pPr>
              <w:spacing w:after="0" w:line="20" w:lineRule="exact"/>
              <w:rPr>
                <w:sz w:val="1"/>
                <w:szCs w:val="1"/>
                <w:color w:val="auto"/>
              </w:rPr>
            </w:pPr>
          </w:p>
        </w:tc>
        <w:tc>
          <w:tcPr>
            <w:tcW w:w="60" w:type="dxa"/>
            <w:vAlign w:val="bottom"/>
            <w:gridSpan w:val="2"/>
            <w:shd w:val="clear" w:color="auto" w:fill="E3E3E3"/>
          </w:tcPr>
          <w:p>
            <w:pPr>
              <w:spacing w:after="0" w:line="20" w:lineRule="exact"/>
              <w:rPr>
                <w:sz w:val="1"/>
                <w:szCs w:val="1"/>
                <w:color w:val="auto"/>
              </w:rPr>
            </w:pPr>
          </w:p>
        </w:tc>
        <w:tc>
          <w:tcPr>
            <w:tcW w:w="60" w:type="dxa"/>
            <w:vAlign w:val="bottom"/>
            <w:gridSpan w:val="3"/>
            <w:shd w:val="clear" w:color="auto" w:fill="E3E3E3"/>
          </w:tcPr>
          <w:p>
            <w:pPr>
              <w:spacing w:after="0" w:line="20" w:lineRule="exact"/>
              <w:rPr>
                <w:sz w:val="1"/>
                <w:szCs w:val="1"/>
                <w:color w:val="auto"/>
              </w:rPr>
            </w:pPr>
          </w:p>
        </w:tc>
      </w:tr>
      <w:tr>
        <w:trPr>
          <w:trHeight w:val="207"/>
        </w:trPr>
        <w:tc>
          <w:tcPr>
            <w:tcW w:w="980" w:type="dxa"/>
            <w:vAlign w:val="bottom"/>
            <w:tcBorders>
              <w:right w:val="single" w:sz="8" w:color="E3E3E3"/>
            </w:tcBorders>
            <w:shd w:val="clear" w:color="auto" w:fill="E3E3E3"/>
          </w:tcPr>
          <w:p>
            <w:pPr>
              <w:spacing w:after="0"/>
              <w:rPr>
                <w:sz w:val="18"/>
                <w:szCs w:val="18"/>
                <w:color w:val="auto"/>
              </w:rPr>
            </w:pPr>
          </w:p>
        </w:tc>
        <w:tc>
          <w:tcPr>
            <w:tcW w:w="9680" w:type="dxa"/>
            <w:vAlign w:val="bottom"/>
            <w:gridSpan w:val="41"/>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w w:val="99"/>
              </w:rPr>
              <w:t>thereto, as borrowers; and the financial institutions party thereto, as Lenders (incorporated by reference to Exhibit 10.7 of</w:t>
            </w:r>
          </w:p>
        </w:tc>
      </w:tr>
      <w:tr>
        <w:trPr>
          <w:trHeight w:val="207"/>
        </w:trPr>
        <w:tc>
          <w:tcPr>
            <w:tcW w:w="980" w:type="dxa"/>
            <w:vAlign w:val="bottom"/>
            <w:tcBorders>
              <w:top w:val="single" w:sz="8" w:color="E3E3E3"/>
              <w:right w:val="single" w:sz="8" w:color="E3E3E3"/>
            </w:tcBorders>
            <w:shd w:val="clear" w:color="auto" w:fill="E3E3E3"/>
          </w:tcPr>
          <w:p>
            <w:pPr>
              <w:spacing w:after="0"/>
              <w:rPr>
                <w:sz w:val="18"/>
                <w:szCs w:val="18"/>
                <w:color w:val="auto"/>
              </w:rPr>
            </w:pPr>
          </w:p>
        </w:tc>
        <w:tc>
          <w:tcPr>
            <w:tcW w:w="9560" w:type="dxa"/>
            <w:vAlign w:val="bottom"/>
            <w:tcBorders>
              <w:top w:val="single" w:sz="8" w:color="auto"/>
            </w:tcBorders>
            <w:gridSpan w:val="36"/>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rPr>
              <w:t>the Registrant's Quarterly Report on Form 10-Q, filed on August 7, 2025).</w:t>
            </w:r>
          </w:p>
        </w:tc>
        <w:tc>
          <w:tcPr>
            <w:tcW w:w="60" w:type="dxa"/>
            <w:vAlign w:val="bottom"/>
            <w:tcBorders>
              <w:top w:val="single" w:sz="8" w:color="E3E3E3"/>
            </w:tcBorders>
            <w:gridSpan w:val="2"/>
            <w:shd w:val="clear" w:color="auto" w:fill="E3E3E3"/>
          </w:tcPr>
          <w:p>
            <w:pPr>
              <w:spacing w:after="0"/>
              <w:rPr>
                <w:sz w:val="18"/>
                <w:szCs w:val="18"/>
                <w:color w:val="auto"/>
              </w:rPr>
            </w:pPr>
          </w:p>
        </w:tc>
        <w:tc>
          <w:tcPr>
            <w:tcW w:w="60" w:type="dxa"/>
            <w:vAlign w:val="bottom"/>
            <w:tcBorders>
              <w:top w:val="single" w:sz="8" w:color="E3E3E3"/>
            </w:tcBorders>
            <w:gridSpan w:val="3"/>
            <w:shd w:val="clear" w:color="auto" w:fill="E3E3E3"/>
          </w:tcPr>
          <w:p>
            <w:pPr>
              <w:spacing w:after="0"/>
              <w:rPr>
                <w:sz w:val="18"/>
                <w:szCs w:val="18"/>
                <w:color w:val="auto"/>
              </w:rPr>
            </w:pPr>
          </w:p>
        </w:tc>
      </w:tr>
      <w:tr>
        <w:trPr>
          <w:trHeight w:val="39"/>
        </w:trPr>
        <w:tc>
          <w:tcPr>
            <w:tcW w:w="980" w:type="dxa"/>
            <w:vAlign w:val="bottom"/>
            <w:tcBorders>
              <w:top w:val="single" w:sz="8" w:color="E3E3E3"/>
              <w:right w:val="single" w:sz="8" w:color="E3E3E3"/>
            </w:tcBorders>
            <w:shd w:val="clear" w:color="auto" w:fill="E3E3E3"/>
          </w:tcPr>
          <w:p>
            <w:pPr>
              <w:spacing w:after="0"/>
              <w:rPr>
                <w:sz w:val="3"/>
                <w:szCs w:val="3"/>
                <w:color w:val="auto"/>
              </w:rPr>
            </w:pPr>
          </w:p>
        </w:tc>
        <w:tc>
          <w:tcPr>
            <w:tcW w:w="840" w:type="dxa"/>
            <w:vAlign w:val="bottom"/>
            <w:tcBorders>
              <w:top w:val="single" w:sz="8" w:color="auto"/>
            </w:tcBorders>
            <w:shd w:val="clear" w:color="auto" w:fill="E3E3E3"/>
          </w:tcPr>
          <w:p>
            <w:pPr>
              <w:spacing w:after="0"/>
              <w:rPr>
                <w:sz w:val="3"/>
                <w:szCs w:val="3"/>
                <w:color w:val="auto"/>
              </w:rPr>
            </w:pPr>
          </w:p>
        </w:tc>
        <w:tc>
          <w:tcPr>
            <w:tcW w:w="400" w:type="dxa"/>
            <w:vAlign w:val="bottom"/>
            <w:tcBorders>
              <w:top w:val="single" w:sz="8" w:color="auto"/>
            </w:tcBorders>
            <w:shd w:val="clear" w:color="auto" w:fill="E3E3E3"/>
          </w:tcPr>
          <w:p>
            <w:pPr>
              <w:spacing w:after="0"/>
              <w:rPr>
                <w:sz w:val="3"/>
                <w:szCs w:val="3"/>
                <w:color w:val="auto"/>
              </w:rPr>
            </w:pPr>
          </w:p>
        </w:tc>
        <w:tc>
          <w:tcPr>
            <w:tcW w:w="240" w:type="dxa"/>
            <w:vAlign w:val="bottom"/>
            <w:tcBorders>
              <w:top w:val="single" w:sz="8" w:color="auto"/>
            </w:tcBorders>
            <w:shd w:val="clear" w:color="auto" w:fill="E3E3E3"/>
          </w:tcPr>
          <w:p>
            <w:pPr>
              <w:spacing w:after="0"/>
              <w:rPr>
                <w:sz w:val="3"/>
                <w:szCs w:val="3"/>
                <w:color w:val="auto"/>
              </w:rPr>
            </w:pPr>
          </w:p>
        </w:tc>
        <w:tc>
          <w:tcPr>
            <w:tcW w:w="80" w:type="dxa"/>
            <w:vAlign w:val="bottom"/>
            <w:tcBorders>
              <w:top w:val="single" w:sz="8" w:color="auto"/>
            </w:tcBorders>
            <w:shd w:val="clear" w:color="auto" w:fill="E3E3E3"/>
          </w:tcPr>
          <w:p>
            <w:pPr>
              <w:spacing w:after="0"/>
              <w:rPr>
                <w:sz w:val="3"/>
                <w:szCs w:val="3"/>
                <w:color w:val="auto"/>
              </w:rPr>
            </w:pPr>
          </w:p>
        </w:tc>
        <w:tc>
          <w:tcPr>
            <w:tcW w:w="200" w:type="dxa"/>
            <w:vAlign w:val="bottom"/>
            <w:tcBorders>
              <w:top w:val="single" w:sz="8" w:color="auto"/>
            </w:tcBorders>
            <w:shd w:val="clear" w:color="auto" w:fill="E3E3E3"/>
          </w:tcPr>
          <w:p>
            <w:pPr>
              <w:spacing w:after="0"/>
              <w:rPr>
                <w:sz w:val="3"/>
                <w:szCs w:val="3"/>
                <w:color w:val="auto"/>
              </w:rPr>
            </w:pPr>
          </w:p>
        </w:tc>
        <w:tc>
          <w:tcPr>
            <w:tcW w:w="1840" w:type="dxa"/>
            <w:vAlign w:val="bottom"/>
            <w:tcBorders>
              <w:top w:val="single" w:sz="8" w:color="auto"/>
            </w:tcBorders>
            <w:shd w:val="clear" w:color="auto" w:fill="E3E3E3"/>
          </w:tcPr>
          <w:p>
            <w:pPr>
              <w:spacing w:after="0"/>
              <w:rPr>
                <w:sz w:val="3"/>
                <w:szCs w:val="3"/>
                <w:color w:val="auto"/>
              </w:rPr>
            </w:pPr>
          </w:p>
        </w:tc>
        <w:tc>
          <w:tcPr>
            <w:tcW w:w="420" w:type="dxa"/>
            <w:vAlign w:val="bottom"/>
            <w:tcBorders>
              <w:top w:val="single" w:sz="8" w:color="auto"/>
            </w:tcBorders>
            <w:shd w:val="clear" w:color="auto" w:fill="E3E3E3"/>
          </w:tcPr>
          <w:p>
            <w:pPr>
              <w:spacing w:after="0"/>
              <w:rPr>
                <w:sz w:val="3"/>
                <w:szCs w:val="3"/>
                <w:color w:val="auto"/>
              </w:rPr>
            </w:pPr>
          </w:p>
        </w:tc>
        <w:tc>
          <w:tcPr>
            <w:tcW w:w="900" w:type="dxa"/>
            <w:vAlign w:val="bottom"/>
            <w:tcBorders>
              <w:top w:val="single" w:sz="8" w:color="auto"/>
            </w:tcBorders>
            <w:shd w:val="clear" w:color="auto" w:fill="E3E3E3"/>
          </w:tcPr>
          <w:p>
            <w:pPr>
              <w:spacing w:after="0"/>
              <w:rPr>
                <w:sz w:val="3"/>
                <w:szCs w:val="3"/>
                <w:color w:val="auto"/>
              </w:rPr>
            </w:pPr>
          </w:p>
        </w:tc>
        <w:tc>
          <w:tcPr>
            <w:tcW w:w="920" w:type="dxa"/>
            <w:vAlign w:val="bottom"/>
            <w:tcBorders>
              <w:top w:val="single" w:sz="8" w:color="auto"/>
            </w:tcBorders>
            <w:shd w:val="clear" w:color="auto" w:fill="E3E3E3"/>
          </w:tcPr>
          <w:p>
            <w:pPr>
              <w:spacing w:after="0"/>
              <w:rPr>
                <w:sz w:val="3"/>
                <w:szCs w:val="3"/>
                <w:color w:val="auto"/>
              </w:rPr>
            </w:pPr>
          </w:p>
        </w:tc>
        <w:tc>
          <w:tcPr>
            <w:tcW w:w="160" w:type="dxa"/>
            <w:vAlign w:val="bottom"/>
            <w:tcBorders>
              <w:top w:val="single" w:sz="8" w:color="E3E3E3"/>
            </w:tcBorders>
            <w:shd w:val="clear" w:color="auto" w:fill="E3E3E3"/>
          </w:tcPr>
          <w:p>
            <w:pPr>
              <w:spacing w:after="0"/>
              <w:rPr>
                <w:sz w:val="3"/>
                <w:szCs w:val="3"/>
                <w:color w:val="auto"/>
              </w:rPr>
            </w:pPr>
          </w:p>
        </w:tc>
        <w:tc>
          <w:tcPr>
            <w:tcW w:w="220" w:type="dxa"/>
            <w:vAlign w:val="bottom"/>
            <w:tcBorders>
              <w:top w:val="single" w:sz="8" w:color="E3E3E3"/>
            </w:tcBorders>
            <w:shd w:val="clear" w:color="auto" w:fill="E3E3E3"/>
          </w:tcPr>
          <w:p>
            <w:pPr>
              <w:spacing w:after="0"/>
              <w:rPr>
                <w:sz w:val="3"/>
                <w:szCs w:val="3"/>
                <w:color w:val="auto"/>
              </w:rPr>
            </w:pPr>
          </w:p>
        </w:tc>
        <w:tc>
          <w:tcPr>
            <w:tcW w:w="780" w:type="dxa"/>
            <w:vAlign w:val="bottom"/>
            <w:tcBorders>
              <w:top w:val="single" w:sz="8" w:color="E3E3E3"/>
            </w:tcBorders>
            <w:shd w:val="clear" w:color="auto" w:fill="E3E3E3"/>
          </w:tcPr>
          <w:p>
            <w:pPr>
              <w:spacing w:after="0"/>
              <w:rPr>
                <w:sz w:val="3"/>
                <w:szCs w:val="3"/>
                <w:color w:val="auto"/>
              </w:rPr>
            </w:pPr>
          </w:p>
        </w:tc>
        <w:tc>
          <w:tcPr>
            <w:tcW w:w="1000" w:type="dxa"/>
            <w:vAlign w:val="bottom"/>
            <w:tcBorders>
              <w:top w:val="single" w:sz="8" w:color="E3E3E3"/>
            </w:tcBorders>
            <w:shd w:val="clear" w:color="auto" w:fill="E3E3E3"/>
          </w:tcPr>
          <w:p>
            <w:pPr>
              <w:spacing w:after="0"/>
              <w:rPr>
                <w:sz w:val="3"/>
                <w:szCs w:val="3"/>
                <w:color w:val="auto"/>
              </w:rPr>
            </w:pPr>
          </w:p>
        </w:tc>
        <w:tc>
          <w:tcPr>
            <w:tcW w:w="280" w:type="dxa"/>
            <w:vAlign w:val="bottom"/>
            <w:tcBorders>
              <w:top w:val="single" w:sz="8" w:color="E3E3E3"/>
            </w:tcBorders>
            <w:shd w:val="clear" w:color="auto" w:fill="E3E3E3"/>
          </w:tcPr>
          <w:p>
            <w:pPr>
              <w:spacing w:after="0"/>
              <w:rPr>
                <w:sz w:val="3"/>
                <w:szCs w:val="3"/>
                <w:color w:val="auto"/>
              </w:rPr>
            </w:pPr>
          </w:p>
        </w:tc>
        <w:tc>
          <w:tcPr>
            <w:tcW w:w="60" w:type="dxa"/>
            <w:vAlign w:val="bottom"/>
            <w:tcBorders>
              <w:top w:val="single" w:sz="8" w:color="E3E3E3"/>
            </w:tcBorders>
            <w:shd w:val="clear" w:color="auto" w:fill="E3E3E3"/>
          </w:tcPr>
          <w:p>
            <w:pPr>
              <w:spacing w:after="0"/>
              <w:rPr>
                <w:sz w:val="3"/>
                <w:szCs w:val="3"/>
                <w:color w:val="auto"/>
              </w:rPr>
            </w:pPr>
          </w:p>
        </w:tc>
        <w:tc>
          <w:tcPr>
            <w:tcW w:w="36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6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60" w:type="dxa"/>
            <w:vAlign w:val="bottom"/>
            <w:tcBorders>
              <w:top w:val="single" w:sz="8" w:color="E3E3E3"/>
            </w:tcBorders>
            <w:shd w:val="clear" w:color="auto" w:fill="E3E3E3"/>
          </w:tcPr>
          <w:p>
            <w:pPr>
              <w:spacing w:after="0"/>
              <w:rPr>
                <w:sz w:val="3"/>
                <w:szCs w:val="3"/>
                <w:color w:val="auto"/>
              </w:rPr>
            </w:pPr>
          </w:p>
        </w:tc>
        <w:tc>
          <w:tcPr>
            <w:tcW w:w="120" w:type="dxa"/>
            <w:vAlign w:val="bottom"/>
            <w:tcBorders>
              <w:top w:val="single" w:sz="8" w:color="E3E3E3"/>
            </w:tcBorders>
            <w:shd w:val="clear" w:color="auto" w:fill="E3E3E3"/>
          </w:tcPr>
          <w:p>
            <w:pPr>
              <w:spacing w:after="0"/>
              <w:rPr>
                <w:sz w:val="3"/>
                <w:szCs w:val="3"/>
                <w:color w:val="auto"/>
              </w:rPr>
            </w:pPr>
          </w:p>
        </w:tc>
        <w:tc>
          <w:tcPr>
            <w:tcW w:w="1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r>
      <w:tr>
        <w:trPr>
          <w:trHeight w:val="211"/>
        </w:trPr>
        <w:tc>
          <w:tcPr>
            <w:tcW w:w="98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19.1</w:t>
            </w:r>
          </w:p>
        </w:tc>
        <w:tc>
          <w:tcPr>
            <w:tcW w:w="9680" w:type="dxa"/>
            <w:vAlign w:val="bottom"/>
            <w:gridSpan w:val="41"/>
          </w:tcPr>
          <w:p>
            <w:pPr>
              <w:spacing w:after="0" w:line="211" w:lineRule="exact"/>
              <w:rPr>
                <w:sz w:val="20"/>
                <w:szCs w:val="20"/>
                <w:color w:val="auto"/>
              </w:rPr>
            </w:pPr>
            <w:r>
              <w:rPr>
                <w:rFonts w:ascii="Times New Roman" w:cs="Times New Roman" w:eastAsia="Times New Roman" w:hAnsi="Times New Roman"/>
                <w:sz w:val="20"/>
                <w:szCs w:val="20"/>
                <w:color w:val="auto"/>
                <w:w w:val="99"/>
              </w:rPr>
              <w:t>Statement of Policy on Insider Trading (Incorporated by reference to the Registrant's Annual Report on Form 10-K, filed</w:t>
            </w:r>
          </w:p>
        </w:tc>
      </w:tr>
      <w:tr>
        <w:trPr>
          <w:trHeight w:val="207"/>
        </w:trPr>
        <w:tc>
          <w:tcPr>
            <w:tcW w:w="980" w:type="dxa"/>
            <w:vAlign w:val="bottom"/>
          </w:tcPr>
          <w:p>
            <w:pPr>
              <w:spacing w:after="0"/>
              <w:rPr>
                <w:sz w:val="18"/>
                <w:szCs w:val="18"/>
                <w:color w:val="auto"/>
              </w:rPr>
            </w:pPr>
          </w:p>
        </w:tc>
        <w:tc>
          <w:tcPr>
            <w:tcW w:w="9540" w:type="dxa"/>
            <w:vAlign w:val="bottom"/>
            <w:tcBorders>
              <w:top w:val="single" w:sz="8" w:color="auto"/>
            </w:tcBorders>
            <w:gridSpan w:val="35"/>
          </w:tcPr>
          <w:p>
            <w:pPr>
              <w:spacing w:after="0" w:line="207" w:lineRule="exact"/>
              <w:rPr>
                <w:sz w:val="20"/>
                <w:szCs w:val="20"/>
                <w:color w:val="auto"/>
              </w:rPr>
            </w:pPr>
            <w:r>
              <w:rPr>
                <w:rFonts w:ascii="Times New Roman" w:cs="Times New Roman" w:eastAsia="Times New Roman" w:hAnsi="Times New Roman"/>
                <w:sz w:val="20"/>
                <w:szCs w:val="20"/>
                <w:color w:val="auto"/>
              </w:rPr>
              <w:t>on March 12, 2025)</w:t>
            </w:r>
          </w:p>
        </w:tc>
        <w:tc>
          <w:tcPr>
            <w:tcW w:w="80" w:type="dxa"/>
            <w:vAlign w:val="bottom"/>
            <w:gridSpan w:val="3"/>
          </w:tcPr>
          <w:p>
            <w:pPr>
              <w:spacing w:after="0"/>
              <w:rPr>
                <w:sz w:val="18"/>
                <w:szCs w:val="18"/>
                <w:color w:val="auto"/>
              </w:rPr>
            </w:pPr>
          </w:p>
        </w:tc>
        <w:tc>
          <w:tcPr>
            <w:tcW w:w="60" w:type="dxa"/>
            <w:vAlign w:val="bottom"/>
            <w:gridSpan w:val="3"/>
          </w:tcPr>
          <w:p>
            <w:pPr>
              <w:spacing w:after="0"/>
              <w:rPr>
                <w:sz w:val="18"/>
                <w:szCs w:val="18"/>
                <w:color w:val="auto"/>
              </w:rPr>
            </w:pPr>
          </w:p>
        </w:tc>
      </w:tr>
      <w:tr>
        <w:trPr>
          <w:trHeight w:val="39"/>
        </w:trPr>
        <w:tc>
          <w:tcPr>
            <w:tcW w:w="9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1"/>
        </w:trPr>
        <w:tc>
          <w:tcPr>
            <w:tcW w:w="980" w:type="dxa"/>
            <w:vAlign w:val="bottom"/>
            <w:tcBorders>
              <w:right w:val="single" w:sz="8" w:color="E3E3E3"/>
            </w:tcBorders>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21.1</w:t>
            </w:r>
          </w:p>
        </w:tc>
        <w:tc>
          <w:tcPr>
            <w:tcW w:w="9680" w:type="dxa"/>
            <w:vAlign w:val="bottom"/>
            <w:gridSpan w:val="41"/>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w w:val="99"/>
              </w:rPr>
              <w:t>List of Subsidiaries of the Registrant (Incorporated by reference to the Registrant’s Registration Statement on Form S-11</w:t>
            </w:r>
          </w:p>
        </w:tc>
      </w:tr>
      <w:tr>
        <w:trPr>
          <w:trHeight w:val="246"/>
        </w:trPr>
        <w:tc>
          <w:tcPr>
            <w:tcW w:w="980" w:type="dxa"/>
            <w:vAlign w:val="bottom"/>
            <w:tcBorders>
              <w:top w:val="single" w:sz="8" w:color="E3E3E3"/>
              <w:bottom w:val="single" w:sz="8" w:color="E3E3E3"/>
              <w:right w:val="single" w:sz="8" w:color="E3E3E3"/>
            </w:tcBorders>
            <w:shd w:val="clear" w:color="auto" w:fill="E3E3E3"/>
          </w:tcPr>
          <w:p>
            <w:pPr>
              <w:spacing w:after="0"/>
              <w:rPr>
                <w:sz w:val="21"/>
                <w:szCs w:val="21"/>
                <w:color w:val="auto"/>
              </w:rPr>
            </w:pPr>
          </w:p>
        </w:tc>
        <w:tc>
          <w:tcPr>
            <w:tcW w:w="4020" w:type="dxa"/>
            <w:vAlign w:val="bottom"/>
            <w:tcBorders>
              <w:top w:val="single" w:sz="8" w:color="auto"/>
              <w:bottom w:val="single" w:sz="8" w:color="auto"/>
            </w:tcBorders>
            <w:gridSpan w:val="7"/>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w w:val="97"/>
              </w:rPr>
              <w:t>(File No. 333-260505), filed on October 26, 2021).</w:t>
            </w:r>
          </w:p>
        </w:tc>
        <w:tc>
          <w:tcPr>
            <w:tcW w:w="5500" w:type="dxa"/>
            <w:vAlign w:val="bottom"/>
            <w:tcBorders>
              <w:top w:val="single" w:sz="8" w:color="auto"/>
              <w:bottom w:val="single" w:sz="8" w:color="E3E3E3"/>
            </w:tcBorders>
            <w:gridSpan w:val="27"/>
            <w:shd w:val="clear" w:color="auto" w:fill="E3E3E3"/>
          </w:tcPr>
          <w:p>
            <w:pPr>
              <w:spacing w:after="0"/>
              <w:rPr>
                <w:sz w:val="21"/>
                <w:szCs w:val="21"/>
                <w:color w:val="auto"/>
              </w:rPr>
            </w:pPr>
          </w:p>
        </w:tc>
        <w:tc>
          <w:tcPr>
            <w:tcW w:w="100" w:type="dxa"/>
            <w:vAlign w:val="bottom"/>
            <w:tcBorders>
              <w:top w:val="single" w:sz="8" w:color="E3E3E3"/>
              <w:bottom w:val="single" w:sz="8" w:color="E3E3E3"/>
            </w:tcBorders>
            <w:gridSpan w:val="4"/>
            <w:shd w:val="clear" w:color="auto" w:fill="E3E3E3"/>
          </w:tcPr>
          <w:p>
            <w:pPr>
              <w:spacing w:after="0"/>
              <w:rPr>
                <w:sz w:val="21"/>
                <w:szCs w:val="21"/>
                <w:color w:val="auto"/>
              </w:rPr>
            </w:pPr>
          </w:p>
        </w:tc>
        <w:tc>
          <w:tcPr>
            <w:tcW w:w="60" w:type="dxa"/>
            <w:vAlign w:val="bottom"/>
            <w:tcBorders>
              <w:top w:val="single" w:sz="8" w:color="E3E3E3"/>
              <w:bottom w:val="single" w:sz="8" w:color="E3E3E3"/>
            </w:tcBorders>
            <w:gridSpan w:val="3"/>
            <w:shd w:val="clear" w:color="auto" w:fill="E3E3E3"/>
          </w:tcPr>
          <w:p>
            <w:pPr>
              <w:spacing w:after="0"/>
              <w:rPr>
                <w:sz w:val="21"/>
                <w:szCs w:val="21"/>
                <w:color w:val="auto"/>
              </w:rPr>
            </w:pPr>
          </w:p>
        </w:tc>
      </w:tr>
      <w:tr>
        <w:trPr>
          <w:trHeight w:val="211"/>
        </w:trPr>
        <w:tc>
          <w:tcPr>
            <w:tcW w:w="98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23.1</w:t>
            </w:r>
          </w:p>
        </w:tc>
        <w:tc>
          <w:tcPr>
            <w:tcW w:w="9680" w:type="dxa"/>
            <w:vAlign w:val="bottom"/>
            <w:gridSpan w:val="41"/>
          </w:tcPr>
          <w:p>
            <w:pPr>
              <w:spacing w:after="0" w:line="211" w:lineRule="exact"/>
              <w:rPr>
                <w:sz w:val="20"/>
                <w:szCs w:val="20"/>
                <w:color w:val="auto"/>
              </w:rPr>
            </w:pPr>
            <w:r>
              <w:rPr>
                <w:rFonts w:ascii="Times New Roman" w:cs="Times New Roman" w:eastAsia="Times New Roman" w:hAnsi="Times New Roman"/>
                <w:sz w:val="20"/>
                <w:szCs w:val="20"/>
                <w:color w:val="auto"/>
              </w:rPr>
              <w:t>Consent of BDO USA, P.C, Independent Registered Public Accounting Firm.*</w:t>
            </w:r>
          </w:p>
        </w:tc>
      </w:tr>
      <w:tr>
        <w:trPr>
          <w:trHeight w:val="39"/>
        </w:trPr>
        <w:tc>
          <w:tcPr>
            <w:tcW w:w="9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8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1"/>
        </w:trPr>
        <w:tc>
          <w:tcPr>
            <w:tcW w:w="980" w:type="dxa"/>
            <w:vAlign w:val="bottom"/>
            <w:tcBorders>
              <w:right w:val="single" w:sz="8" w:color="E3E3E3"/>
            </w:tcBorders>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31.1</w:t>
            </w:r>
          </w:p>
        </w:tc>
        <w:tc>
          <w:tcPr>
            <w:tcW w:w="9680" w:type="dxa"/>
            <w:vAlign w:val="bottom"/>
            <w:gridSpan w:val="41"/>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rPr>
              <w:t>Certification of Principal Executive Officer pursuant to Rule 13a-14 of the Securities Exchange Act of 1934, as</w:t>
            </w:r>
          </w:p>
        </w:tc>
      </w:tr>
      <w:tr>
        <w:trPr>
          <w:trHeight w:val="207"/>
        </w:trPr>
        <w:tc>
          <w:tcPr>
            <w:tcW w:w="980" w:type="dxa"/>
            <w:vAlign w:val="bottom"/>
            <w:tcBorders>
              <w:top w:val="single" w:sz="8" w:color="E3E3E3"/>
              <w:right w:val="single" w:sz="8" w:color="E3E3E3"/>
            </w:tcBorders>
            <w:shd w:val="clear" w:color="auto" w:fill="E3E3E3"/>
          </w:tcPr>
          <w:p>
            <w:pPr>
              <w:spacing w:after="0"/>
              <w:rPr>
                <w:sz w:val="18"/>
                <w:szCs w:val="18"/>
                <w:color w:val="auto"/>
              </w:rPr>
            </w:pPr>
          </w:p>
        </w:tc>
        <w:tc>
          <w:tcPr>
            <w:tcW w:w="8780" w:type="dxa"/>
            <w:vAlign w:val="bottom"/>
            <w:tcBorders>
              <w:top w:val="single" w:sz="8" w:color="auto"/>
            </w:tcBorders>
            <w:gridSpan w:val="18"/>
            <w:shd w:val="clear" w:color="auto" w:fill="E3E3E3"/>
          </w:tcPr>
          <w:p>
            <w:pPr>
              <w:spacing w:after="0" w:line="207" w:lineRule="exact"/>
              <w:rPr>
                <w:sz w:val="20"/>
                <w:szCs w:val="20"/>
                <w:color w:val="auto"/>
              </w:rPr>
            </w:pPr>
            <w:r>
              <w:rPr>
                <w:rFonts w:ascii="Times New Roman" w:cs="Times New Roman" w:eastAsia="Times New Roman" w:hAnsi="Times New Roman"/>
                <w:sz w:val="20"/>
                <w:szCs w:val="20"/>
                <w:color w:val="auto"/>
              </w:rPr>
              <w:t>amended.*</w:t>
            </w:r>
          </w:p>
        </w:tc>
        <w:tc>
          <w:tcPr>
            <w:tcW w:w="840" w:type="dxa"/>
            <w:vAlign w:val="bottom"/>
            <w:tcBorders>
              <w:top w:val="single" w:sz="8" w:color="E3E3E3"/>
            </w:tcBorders>
            <w:gridSpan w:val="20"/>
            <w:shd w:val="clear" w:color="auto" w:fill="E3E3E3"/>
          </w:tcPr>
          <w:p>
            <w:pPr>
              <w:spacing w:after="0"/>
              <w:rPr>
                <w:sz w:val="18"/>
                <w:szCs w:val="18"/>
                <w:color w:val="auto"/>
              </w:rPr>
            </w:pPr>
          </w:p>
        </w:tc>
        <w:tc>
          <w:tcPr>
            <w:tcW w:w="60" w:type="dxa"/>
            <w:vAlign w:val="bottom"/>
            <w:tcBorders>
              <w:top w:val="single" w:sz="8" w:color="E3E3E3"/>
            </w:tcBorders>
            <w:gridSpan w:val="3"/>
            <w:shd w:val="clear" w:color="auto" w:fill="E3E3E3"/>
          </w:tcPr>
          <w:p>
            <w:pPr>
              <w:spacing w:after="0"/>
              <w:rPr>
                <w:sz w:val="18"/>
                <w:szCs w:val="18"/>
                <w:color w:val="auto"/>
              </w:rPr>
            </w:pPr>
          </w:p>
        </w:tc>
      </w:tr>
      <w:tr>
        <w:trPr>
          <w:trHeight w:val="39"/>
        </w:trPr>
        <w:tc>
          <w:tcPr>
            <w:tcW w:w="980" w:type="dxa"/>
            <w:vAlign w:val="bottom"/>
            <w:tcBorders>
              <w:top w:val="single" w:sz="8" w:color="E3E3E3"/>
              <w:right w:val="single" w:sz="8" w:color="E3E3E3"/>
            </w:tcBorders>
            <w:shd w:val="clear" w:color="auto" w:fill="E3E3E3"/>
          </w:tcPr>
          <w:p>
            <w:pPr>
              <w:spacing w:after="0"/>
              <w:rPr>
                <w:sz w:val="3"/>
                <w:szCs w:val="3"/>
                <w:color w:val="auto"/>
              </w:rPr>
            </w:pPr>
          </w:p>
        </w:tc>
        <w:tc>
          <w:tcPr>
            <w:tcW w:w="840" w:type="dxa"/>
            <w:vAlign w:val="bottom"/>
            <w:tcBorders>
              <w:top w:val="single" w:sz="8" w:color="auto"/>
            </w:tcBorders>
            <w:shd w:val="clear" w:color="auto" w:fill="E3E3E3"/>
          </w:tcPr>
          <w:p>
            <w:pPr>
              <w:spacing w:after="0"/>
              <w:rPr>
                <w:sz w:val="3"/>
                <w:szCs w:val="3"/>
                <w:color w:val="auto"/>
              </w:rPr>
            </w:pPr>
          </w:p>
        </w:tc>
        <w:tc>
          <w:tcPr>
            <w:tcW w:w="400" w:type="dxa"/>
            <w:vAlign w:val="bottom"/>
            <w:tcBorders>
              <w:top w:val="single" w:sz="8" w:color="E3E3E3"/>
            </w:tcBorders>
            <w:shd w:val="clear" w:color="auto" w:fill="E3E3E3"/>
          </w:tcPr>
          <w:p>
            <w:pPr>
              <w:spacing w:after="0"/>
              <w:rPr>
                <w:sz w:val="3"/>
                <w:szCs w:val="3"/>
                <w:color w:val="auto"/>
              </w:rPr>
            </w:pPr>
          </w:p>
        </w:tc>
        <w:tc>
          <w:tcPr>
            <w:tcW w:w="240" w:type="dxa"/>
            <w:vAlign w:val="bottom"/>
            <w:tcBorders>
              <w:top w:val="single" w:sz="8" w:color="E3E3E3"/>
            </w:tcBorders>
            <w:shd w:val="clear" w:color="auto" w:fill="E3E3E3"/>
          </w:tcPr>
          <w:p>
            <w:pPr>
              <w:spacing w:after="0"/>
              <w:rPr>
                <w:sz w:val="3"/>
                <w:szCs w:val="3"/>
                <w:color w:val="auto"/>
              </w:rPr>
            </w:pPr>
          </w:p>
        </w:tc>
        <w:tc>
          <w:tcPr>
            <w:tcW w:w="80" w:type="dxa"/>
            <w:vAlign w:val="bottom"/>
            <w:tcBorders>
              <w:top w:val="single" w:sz="8" w:color="E3E3E3"/>
            </w:tcBorders>
            <w:shd w:val="clear" w:color="auto" w:fill="E3E3E3"/>
          </w:tcPr>
          <w:p>
            <w:pPr>
              <w:spacing w:after="0"/>
              <w:rPr>
                <w:sz w:val="3"/>
                <w:szCs w:val="3"/>
                <w:color w:val="auto"/>
              </w:rPr>
            </w:pPr>
          </w:p>
        </w:tc>
        <w:tc>
          <w:tcPr>
            <w:tcW w:w="200" w:type="dxa"/>
            <w:vAlign w:val="bottom"/>
            <w:tcBorders>
              <w:top w:val="single" w:sz="8" w:color="E3E3E3"/>
            </w:tcBorders>
            <w:shd w:val="clear" w:color="auto" w:fill="E3E3E3"/>
          </w:tcPr>
          <w:p>
            <w:pPr>
              <w:spacing w:after="0"/>
              <w:rPr>
                <w:sz w:val="3"/>
                <w:szCs w:val="3"/>
                <w:color w:val="auto"/>
              </w:rPr>
            </w:pPr>
          </w:p>
        </w:tc>
        <w:tc>
          <w:tcPr>
            <w:tcW w:w="1840" w:type="dxa"/>
            <w:vAlign w:val="bottom"/>
            <w:tcBorders>
              <w:top w:val="single" w:sz="8" w:color="E3E3E3"/>
            </w:tcBorders>
            <w:shd w:val="clear" w:color="auto" w:fill="E3E3E3"/>
          </w:tcPr>
          <w:p>
            <w:pPr>
              <w:spacing w:after="0"/>
              <w:rPr>
                <w:sz w:val="3"/>
                <w:szCs w:val="3"/>
                <w:color w:val="auto"/>
              </w:rPr>
            </w:pPr>
          </w:p>
        </w:tc>
        <w:tc>
          <w:tcPr>
            <w:tcW w:w="420" w:type="dxa"/>
            <w:vAlign w:val="bottom"/>
            <w:tcBorders>
              <w:top w:val="single" w:sz="8" w:color="E3E3E3"/>
            </w:tcBorders>
            <w:shd w:val="clear" w:color="auto" w:fill="E3E3E3"/>
          </w:tcPr>
          <w:p>
            <w:pPr>
              <w:spacing w:after="0"/>
              <w:rPr>
                <w:sz w:val="3"/>
                <w:szCs w:val="3"/>
                <w:color w:val="auto"/>
              </w:rPr>
            </w:pPr>
          </w:p>
        </w:tc>
        <w:tc>
          <w:tcPr>
            <w:tcW w:w="900" w:type="dxa"/>
            <w:vAlign w:val="bottom"/>
            <w:tcBorders>
              <w:top w:val="single" w:sz="8" w:color="E3E3E3"/>
            </w:tcBorders>
            <w:shd w:val="clear" w:color="auto" w:fill="E3E3E3"/>
          </w:tcPr>
          <w:p>
            <w:pPr>
              <w:spacing w:after="0"/>
              <w:rPr>
                <w:sz w:val="3"/>
                <w:szCs w:val="3"/>
                <w:color w:val="auto"/>
              </w:rPr>
            </w:pPr>
          </w:p>
        </w:tc>
        <w:tc>
          <w:tcPr>
            <w:tcW w:w="920" w:type="dxa"/>
            <w:vAlign w:val="bottom"/>
            <w:tcBorders>
              <w:top w:val="single" w:sz="8" w:color="E3E3E3"/>
            </w:tcBorders>
            <w:shd w:val="clear" w:color="auto" w:fill="E3E3E3"/>
          </w:tcPr>
          <w:p>
            <w:pPr>
              <w:spacing w:after="0"/>
              <w:rPr>
                <w:sz w:val="3"/>
                <w:szCs w:val="3"/>
                <w:color w:val="auto"/>
              </w:rPr>
            </w:pPr>
          </w:p>
        </w:tc>
        <w:tc>
          <w:tcPr>
            <w:tcW w:w="160" w:type="dxa"/>
            <w:vAlign w:val="bottom"/>
            <w:tcBorders>
              <w:top w:val="single" w:sz="8" w:color="E3E3E3"/>
            </w:tcBorders>
            <w:shd w:val="clear" w:color="auto" w:fill="E3E3E3"/>
          </w:tcPr>
          <w:p>
            <w:pPr>
              <w:spacing w:after="0"/>
              <w:rPr>
                <w:sz w:val="3"/>
                <w:szCs w:val="3"/>
                <w:color w:val="auto"/>
              </w:rPr>
            </w:pPr>
          </w:p>
        </w:tc>
        <w:tc>
          <w:tcPr>
            <w:tcW w:w="220" w:type="dxa"/>
            <w:vAlign w:val="bottom"/>
            <w:tcBorders>
              <w:top w:val="single" w:sz="8" w:color="E3E3E3"/>
            </w:tcBorders>
            <w:shd w:val="clear" w:color="auto" w:fill="E3E3E3"/>
          </w:tcPr>
          <w:p>
            <w:pPr>
              <w:spacing w:after="0"/>
              <w:rPr>
                <w:sz w:val="3"/>
                <w:szCs w:val="3"/>
                <w:color w:val="auto"/>
              </w:rPr>
            </w:pPr>
          </w:p>
        </w:tc>
        <w:tc>
          <w:tcPr>
            <w:tcW w:w="780" w:type="dxa"/>
            <w:vAlign w:val="bottom"/>
            <w:tcBorders>
              <w:top w:val="single" w:sz="8" w:color="E3E3E3"/>
            </w:tcBorders>
            <w:shd w:val="clear" w:color="auto" w:fill="E3E3E3"/>
          </w:tcPr>
          <w:p>
            <w:pPr>
              <w:spacing w:after="0"/>
              <w:rPr>
                <w:sz w:val="3"/>
                <w:szCs w:val="3"/>
                <w:color w:val="auto"/>
              </w:rPr>
            </w:pPr>
          </w:p>
        </w:tc>
        <w:tc>
          <w:tcPr>
            <w:tcW w:w="1000" w:type="dxa"/>
            <w:vAlign w:val="bottom"/>
            <w:tcBorders>
              <w:top w:val="single" w:sz="8" w:color="E3E3E3"/>
            </w:tcBorders>
            <w:shd w:val="clear" w:color="auto" w:fill="E3E3E3"/>
          </w:tcPr>
          <w:p>
            <w:pPr>
              <w:spacing w:after="0"/>
              <w:rPr>
                <w:sz w:val="3"/>
                <w:szCs w:val="3"/>
                <w:color w:val="auto"/>
              </w:rPr>
            </w:pPr>
          </w:p>
        </w:tc>
        <w:tc>
          <w:tcPr>
            <w:tcW w:w="280" w:type="dxa"/>
            <w:vAlign w:val="bottom"/>
            <w:tcBorders>
              <w:top w:val="single" w:sz="8" w:color="E3E3E3"/>
            </w:tcBorders>
            <w:shd w:val="clear" w:color="auto" w:fill="E3E3E3"/>
          </w:tcPr>
          <w:p>
            <w:pPr>
              <w:spacing w:after="0"/>
              <w:rPr>
                <w:sz w:val="3"/>
                <w:szCs w:val="3"/>
                <w:color w:val="auto"/>
              </w:rPr>
            </w:pPr>
          </w:p>
        </w:tc>
        <w:tc>
          <w:tcPr>
            <w:tcW w:w="60" w:type="dxa"/>
            <w:vAlign w:val="bottom"/>
            <w:tcBorders>
              <w:top w:val="single" w:sz="8" w:color="E3E3E3"/>
            </w:tcBorders>
            <w:shd w:val="clear" w:color="auto" w:fill="E3E3E3"/>
          </w:tcPr>
          <w:p>
            <w:pPr>
              <w:spacing w:after="0"/>
              <w:rPr>
                <w:sz w:val="3"/>
                <w:szCs w:val="3"/>
                <w:color w:val="auto"/>
              </w:rPr>
            </w:pPr>
          </w:p>
        </w:tc>
        <w:tc>
          <w:tcPr>
            <w:tcW w:w="36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6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60" w:type="dxa"/>
            <w:vAlign w:val="bottom"/>
            <w:tcBorders>
              <w:top w:val="single" w:sz="8" w:color="E3E3E3"/>
            </w:tcBorders>
            <w:shd w:val="clear" w:color="auto" w:fill="E3E3E3"/>
          </w:tcPr>
          <w:p>
            <w:pPr>
              <w:spacing w:after="0"/>
              <w:rPr>
                <w:sz w:val="3"/>
                <w:szCs w:val="3"/>
                <w:color w:val="auto"/>
              </w:rPr>
            </w:pPr>
          </w:p>
        </w:tc>
        <w:tc>
          <w:tcPr>
            <w:tcW w:w="120" w:type="dxa"/>
            <w:vAlign w:val="bottom"/>
            <w:tcBorders>
              <w:top w:val="single" w:sz="8" w:color="E3E3E3"/>
            </w:tcBorders>
            <w:shd w:val="clear" w:color="auto" w:fill="E3E3E3"/>
          </w:tcPr>
          <w:p>
            <w:pPr>
              <w:spacing w:after="0"/>
              <w:rPr>
                <w:sz w:val="3"/>
                <w:szCs w:val="3"/>
                <w:color w:val="auto"/>
              </w:rPr>
            </w:pPr>
          </w:p>
        </w:tc>
        <w:tc>
          <w:tcPr>
            <w:tcW w:w="1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10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4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c>
          <w:tcPr>
            <w:tcW w:w="20" w:type="dxa"/>
            <w:vAlign w:val="bottom"/>
            <w:tcBorders>
              <w:top w:val="single" w:sz="8" w:color="E3E3E3"/>
            </w:tcBorders>
            <w:shd w:val="clear" w:color="auto" w:fill="E3E3E3"/>
          </w:tcPr>
          <w:p>
            <w:pPr>
              <w:spacing w:after="0"/>
              <w:rPr>
                <w:sz w:val="3"/>
                <w:szCs w:val="3"/>
                <w:color w:val="auto"/>
              </w:rPr>
            </w:pPr>
          </w:p>
        </w:tc>
      </w:tr>
      <w:tr>
        <w:trPr>
          <w:trHeight w:val="211"/>
        </w:trPr>
        <w:tc>
          <w:tcPr>
            <w:tcW w:w="98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31.2</w:t>
            </w:r>
          </w:p>
        </w:tc>
        <w:tc>
          <w:tcPr>
            <w:tcW w:w="9680" w:type="dxa"/>
            <w:vAlign w:val="bottom"/>
            <w:gridSpan w:val="41"/>
          </w:tcPr>
          <w:p>
            <w:pPr>
              <w:spacing w:after="0" w:line="211" w:lineRule="exact"/>
              <w:rPr>
                <w:sz w:val="20"/>
                <w:szCs w:val="20"/>
                <w:color w:val="auto"/>
              </w:rPr>
            </w:pPr>
            <w:r>
              <w:rPr>
                <w:rFonts w:ascii="Times New Roman" w:cs="Times New Roman" w:eastAsia="Times New Roman" w:hAnsi="Times New Roman"/>
                <w:sz w:val="20"/>
                <w:szCs w:val="20"/>
                <w:color w:val="auto"/>
                <w:w w:val="98"/>
              </w:rPr>
              <w:t>Certification of Principal Financial Officer pursuant to Rule 13a-14 of the Securities Exchange Act of 1934, as amended.*</w:t>
            </w:r>
          </w:p>
        </w:tc>
      </w:tr>
      <w:tr>
        <w:trPr>
          <w:trHeight w:val="39"/>
        </w:trPr>
        <w:tc>
          <w:tcPr>
            <w:tcW w:w="9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84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0"/>
        </w:trPr>
        <w:tc>
          <w:tcPr>
            <w:tcW w:w="980" w:type="dxa"/>
            <w:vAlign w:val="bottom"/>
            <w:tcBorders>
              <w:bottom w:val="single" w:sz="8" w:color="E3E3E3"/>
              <w:right w:val="single" w:sz="8" w:color="E3E3E3"/>
            </w:tcBorders>
            <w:shd w:val="clear" w:color="auto" w:fill="E3E3E3"/>
          </w:tcPr>
          <w:p>
            <w:pPr>
              <w:ind w:left="20"/>
              <w:spacing w:after="0" w:line="211" w:lineRule="exact"/>
              <w:rPr>
                <w:sz w:val="20"/>
                <w:szCs w:val="20"/>
                <w:color w:val="auto"/>
              </w:rPr>
            </w:pPr>
            <w:r>
              <w:rPr>
                <w:rFonts w:ascii="Times New Roman" w:cs="Times New Roman" w:eastAsia="Times New Roman" w:hAnsi="Times New Roman"/>
                <w:sz w:val="20"/>
                <w:szCs w:val="20"/>
                <w:color w:val="auto"/>
              </w:rPr>
              <w:t>32.1</w:t>
            </w:r>
          </w:p>
        </w:tc>
        <w:tc>
          <w:tcPr>
            <w:tcW w:w="8340" w:type="dxa"/>
            <w:vAlign w:val="bottom"/>
            <w:tcBorders>
              <w:bottom w:val="single" w:sz="8" w:color="auto"/>
            </w:tcBorders>
            <w:gridSpan w:val="15"/>
            <w:shd w:val="clear" w:color="auto" w:fill="E3E3E3"/>
          </w:tcPr>
          <w:p>
            <w:pPr>
              <w:spacing w:after="0" w:line="211" w:lineRule="exact"/>
              <w:rPr>
                <w:sz w:val="20"/>
                <w:szCs w:val="20"/>
                <w:color w:val="auto"/>
              </w:rPr>
            </w:pPr>
            <w:r>
              <w:rPr>
                <w:rFonts w:ascii="Times New Roman" w:cs="Times New Roman" w:eastAsia="Times New Roman" w:hAnsi="Times New Roman"/>
                <w:sz w:val="20"/>
                <w:szCs w:val="20"/>
                <w:color w:val="auto"/>
                <w:w w:val="98"/>
              </w:rPr>
              <w:t>Certification of Principal Executive Officer pursuant to Section 906 of The Sarbanes-Oxley Act of 2002.*</w:t>
            </w:r>
          </w:p>
        </w:tc>
        <w:tc>
          <w:tcPr>
            <w:tcW w:w="1340" w:type="dxa"/>
            <w:vAlign w:val="bottom"/>
            <w:tcBorders>
              <w:bottom w:val="single" w:sz="8" w:color="E3E3E3"/>
            </w:tcBorders>
            <w:gridSpan w:val="26"/>
            <w:shd w:val="clear" w:color="auto" w:fill="E3E3E3"/>
          </w:tcPr>
          <w:p>
            <w:pPr>
              <w:spacing w:after="0"/>
              <w:rPr>
                <w:sz w:val="21"/>
                <w:szCs w:val="21"/>
                <w:color w:val="auto"/>
              </w:rPr>
            </w:pPr>
          </w:p>
        </w:tc>
      </w:tr>
      <w:tr>
        <w:trPr>
          <w:trHeight w:val="211"/>
        </w:trPr>
        <w:tc>
          <w:tcPr>
            <w:tcW w:w="980" w:type="dxa"/>
            <w:vAlign w:val="bottom"/>
          </w:tcPr>
          <w:p>
            <w:pPr>
              <w:ind w:left="20"/>
              <w:spacing w:after="0" w:line="211" w:lineRule="exact"/>
              <w:rPr>
                <w:sz w:val="20"/>
                <w:szCs w:val="20"/>
                <w:color w:val="auto"/>
              </w:rPr>
            </w:pPr>
            <w:r>
              <w:rPr>
                <w:rFonts w:ascii="Times New Roman" w:cs="Times New Roman" w:eastAsia="Times New Roman" w:hAnsi="Times New Roman"/>
                <w:sz w:val="20"/>
                <w:szCs w:val="20"/>
                <w:color w:val="auto"/>
              </w:rPr>
              <w:t>32.2</w:t>
            </w:r>
          </w:p>
        </w:tc>
        <w:tc>
          <w:tcPr>
            <w:tcW w:w="9680" w:type="dxa"/>
            <w:vAlign w:val="bottom"/>
            <w:gridSpan w:val="41"/>
          </w:tcPr>
          <w:p>
            <w:pPr>
              <w:spacing w:after="0" w:line="211" w:lineRule="exact"/>
              <w:rPr>
                <w:sz w:val="20"/>
                <w:szCs w:val="20"/>
                <w:color w:val="auto"/>
              </w:rPr>
            </w:pPr>
            <w:r>
              <w:rPr>
                <w:rFonts w:ascii="Times New Roman" w:cs="Times New Roman" w:eastAsia="Times New Roman" w:hAnsi="Times New Roman"/>
                <w:sz w:val="20"/>
                <w:szCs w:val="20"/>
                <w:color w:val="auto"/>
              </w:rPr>
              <w:t>Certification of Principal Financial Officer pursuant to Section 906 of The Sarbanes-Oxley Act of 2002.*</w:t>
            </w:r>
          </w:p>
        </w:tc>
      </w:tr>
      <w:tr>
        <w:trPr>
          <w:trHeight w:val="20"/>
        </w:trPr>
        <w:tc>
          <w:tcPr>
            <w:tcW w:w="9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 w:lineRule="exact"/>
        <w:rPr>
          <w:sz w:val="20"/>
          <w:szCs w:val="20"/>
          <w:color w:val="auto"/>
        </w:rPr>
      </w:pPr>
    </w:p>
    <w:p>
      <w:pPr>
        <w:ind w:left="960" w:right="260" w:hanging="947"/>
        <w:spacing w:after="0" w:line="259" w:lineRule="auto"/>
        <w:tabs>
          <w:tab w:leader="none" w:pos="9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Chicago Atlantic Real Estate Finance, Inc. Dodd-Frank Clawback Policy.</w:t>
      </w:r>
      <w:r>
        <w:rPr>
          <w:rFonts w:ascii="Times New Roman" w:cs="Times New Roman" w:eastAsia="Times New Roman" w:hAnsi="Times New Roman"/>
          <w:sz w:val="20"/>
          <w:szCs w:val="20"/>
          <w:color w:val="auto"/>
        </w:rPr>
        <w:t xml:space="preserve"> (Incorporated by reference to the Registrant's Annual Report on Form 10-K, filed on March 12,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-302260</wp:posOffset>
                </wp:positionV>
                <wp:extent cx="6757035" cy="31559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035" cy="315595"/>
                        </a:xfrm>
                        <a:prstGeom prst="rect">
                          <a:avLst/>
                        </a:prstGeom>
                        <a:solidFill>
                          <a:srgbClr val="E3E3E3"/>
                        </a:solidFill>
                      </wps:spPr>
                      <wps:bodyPr/>
                    </wps:wsp>
                  </a:graphicData>
                </a:graphic>
              </wp:anchor>
            </w:drawing>
          </mc:Choice>
          <mc:Fallback>
            <w:pict>
              <v:rect id="Shape 61" o:spid="_x0000_s1086" style="position:absolute;margin-left:0pt;margin-top:-23.7999pt;width:532.05pt;height:24.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101.INS</w:t>
            </w:r>
          </w:p>
        </w:tc>
        <w:tc>
          <w:tcPr>
            <w:tcW w:w="9800" w:type="dxa"/>
            <w:vAlign w:val="bottom"/>
          </w:tcPr>
          <w:p>
            <w:pPr>
              <w:ind w:left="120"/>
              <w:spacing w:after="0" w:line="229" w:lineRule="exact"/>
              <w:rPr>
                <w:sz w:val="20"/>
                <w:szCs w:val="20"/>
                <w:color w:val="auto"/>
              </w:rPr>
            </w:pPr>
            <w:r>
              <w:rPr>
                <w:rFonts w:ascii="Times New Roman" w:cs="Times New Roman" w:eastAsia="Times New Roman" w:hAnsi="Times New Roman"/>
                <w:sz w:val="20"/>
                <w:szCs w:val="20"/>
                <w:color w:val="auto"/>
                <w:w w:val="99"/>
              </w:rPr>
              <w:t>Inline XBRL Instance Document–the instance document does not appear in the Interactive Data File as its XBRL tags are</w:t>
            </w:r>
          </w:p>
        </w:tc>
      </w:tr>
      <w:tr>
        <w:trPr>
          <w:trHeight w:val="247"/>
        </w:trPr>
        <w:tc>
          <w:tcPr>
            <w:tcW w:w="840" w:type="dxa"/>
            <w:vAlign w:val="bottom"/>
          </w:tcPr>
          <w:p>
            <w:pPr>
              <w:spacing w:after="0"/>
              <w:rPr>
                <w:sz w:val="21"/>
                <w:szCs w:val="21"/>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embedded within the Inline XBRL document.*</w:t>
            </w:r>
          </w:p>
        </w:tc>
      </w:tr>
      <w:tr>
        <w:trPr>
          <w:trHeight w:val="227"/>
        </w:trPr>
        <w:tc>
          <w:tcPr>
            <w:tcW w:w="840" w:type="dxa"/>
            <w:vAlign w:val="bottom"/>
            <w:shd w:val="clear" w:color="auto" w:fill="E3E3E3"/>
          </w:tcPr>
          <w:p>
            <w:pPr>
              <w:spacing w:after="0" w:line="228" w:lineRule="exact"/>
              <w:rPr>
                <w:sz w:val="20"/>
                <w:szCs w:val="20"/>
                <w:color w:val="auto"/>
              </w:rPr>
            </w:pPr>
            <w:r>
              <w:rPr>
                <w:rFonts w:ascii="Times New Roman" w:cs="Times New Roman" w:eastAsia="Times New Roman" w:hAnsi="Times New Roman"/>
                <w:sz w:val="20"/>
                <w:szCs w:val="20"/>
                <w:color w:val="auto"/>
              </w:rPr>
              <w:t>101.SCH</w:t>
            </w:r>
          </w:p>
        </w:tc>
        <w:tc>
          <w:tcPr>
            <w:tcW w:w="9800" w:type="dxa"/>
            <w:vAlign w:val="bottom"/>
            <w:shd w:val="clear" w:color="auto" w:fill="E3E3E3"/>
          </w:tcPr>
          <w:p>
            <w:pPr>
              <w:ind w:left="120"/>
              <w:spacing w:after="0" w:line="228" w:lineRule="exact"/>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r>
        <w:trPr>
          <w:trHeight w:val="264"/>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Filed herewith</w:t>
      </w:r>
    </w:p>
    <w:p>
      <w:pPr>
        <w:sectPr>
          <w:pgSz w:w="12240" w:h="15840" w:orient="portrait"/>
          <w:cols w:equalWidth="0" w:num="1">
            <w:col w:w="10640"/>
          </w:cols>
          <w:pgMar w:left="800" w:top="1005" w:right="800" w:bottom="254"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640"/>
          </w:cols>
          <w:pgMar w:left="800" w:top="1005" w:right="800" w:bottom="254" w:gutter="0" w:footer="0" w:header="0"/>
          <w:type w:val="continuous"/>
        </w:sectPr>
      </w:pPr>
    </w:p>
    <w:bookmarkStart w:id="139" w:name="page140"/>
    <w:bookmarkEnd w:id="139"/>
    <w:p>
      <w:pPr>
        <w:ind w:left="1" w:right="140" w:hanging="1"/>
        <w:spacing w:after="0" w:line="308" w:lineRule="auto"/>
        <w:tabs>
          <w:tab w:leader="none" w:pos="247"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 accordance with Item 601(b)(10) of Regulation S-K, certain provisions or terms of the Agreement have been redacted. The Company will provide an unredacted copy of the exhibit on a supplemental basis to the SEC or its staff upon request.</w:t>
      </w:r>
    </w:p>
    <w:p>
      <w:pPr>
        <w:spacing w:after="0" w:line="9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99"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9" w:lineRule="exact"/>
        <w:rPr>
          <w:sz w:val="20"/>
          <w:szCs w:val="20"/>
          <w:color w:val="auto"/>
        </w:rPr>
      </w:pPr>
    </w:p>
    <w:p>
      <w:pPr>
        <w:ind w:left="1" w:right="120" w:firstLine="355"/>
        <w:spacing w:after="0" w:line="27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March 12, 2026.</w:t>
      </w:r>
    </w:p>
    <w:p>
      <w:pPr>
        <w:spacing w:after="0" w:line="15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CHICAGO ATLANTIC REAL ESTATE FINANCE, INC.</w:t>
      </w:r>
    </w:p>
    <w:p>
      <w:pPr>
        <w:spacing w:after="0" w:line="2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By: /s/ Peter Sack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202565</wp:posOffset>
                </wp:positionH>
                <wp:positionV relativeFrom="paragraph">
                  <wp:posOffset>13335</wp:posOffset>
                </wp:positionV>
                <wp:extent cx="236474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4740"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5pt,1.05pt" to="202.15pt,1.05pt" o:allowincell="f" strokecolor="#000000" strokeweight="0.4921pt"/>
            </w:pict>
          </mc:Fallback>
        </mc:AlternateContent>
      </w:r>
    </w:p>
    <w:p>
      <w:pPr>
        <w:spacing w:after="0" w:line="13"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20"/>
          <w:szCs w:val="20"/>
          <w:color w:val="auto"/>
        </w:rPr>
        <w:t>Peter Sack</w:t>
      </w:r>
    </w:p>
    <w:p>
      <w:pPr>
        <w:ind w:left="321"/>
        <w:spacing w:after="0" w:line="237" w:lineRule="auto"/>
        <w:rPr>
          <w:sz w:val="20"/>
          <w:szCs w:val="20"/>
          <w:color w:val="auto"/>
        </w:rPr>
      </w:pPr>
      <w:r>
        <w:rPr>
          <w:rFonts w:ascii="Times New Roman" w:cs="Times New Roman" w:eastAsia="Times New Roman" w:hAnsi="Times New Roman"/>
          <w:sz w:val="20"/>
          <w:szCs w:val="20"/>
          <w:color w:val="auto"/>
        </w:rPr>
        <w:t>Co-Chief Executive Officer</w:t>
      </w:r>
    </w:p>
    <w:p>
      <w:pPr>
        <w:ind w:left="321"/>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197" w:lineRule="exact"/>
        <w:rPr>
          <w:sz w:val="20"/>
          <w:szCs w:val="20"/>
          <w:color w:val="auto"/>
        </w:rPr>
      </w:pPr>
    </w:p>
    <w:p>
      <w:pPr>
        <w:ind w:left="1" w:firstLine="355"/>
        <w:spacing w:after="0" w:line="27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2240" w:h="15840" w:orient="portrait"/>
          <w:cols w:equalWidth="0" w:num="1">
            <w:col w:w="10501"/>
          </w:cols>
          <w:pgMar w:left="799" w:top="1232" w:right="940" w:bottom="254" w:gutter="0" w:footer="0" w:header="0"/>
        </w:sectPr>
      </w:pPr>
    </w:p>
    <w:p>
      <w:pPr>
        <w:spacing w:after="0" w:line="15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/s/ Peter Sack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324294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2945"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255.35pt,1.05pt" o:allowincell="f" strokecolor="#000000" strokeweight="0.4921pt"/>
            </w:pict>
          </mc:Fallback>
        </mc:AlternateContent>
      </w:r>
    </w:p>
    <w:p>
      <w:pPr>
        <w:spacing w:after="0" w:line="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Peter Sack</w:t>
      </w:r>
    </w:p>
    <w:p>
      <w:pPr>
        <w:ind w:left="1"/>
        <w:spacing w:after="0"/>
        <w:rPr>
          <w:sz w:val="20"/>
          <w:szCs w:val="20"/>
          <w:color w:val="auto"/>
        </w:rPr>
      </w:pPr>
      <w:r>
        <w:rPr>
          <w:rFonts w:ascii="Times New Roman" w:cs="Times New Roman" w:eastAsia="Times New Roman" w:hAnsi="Times New Roman"/>
          <w:sz w:val="19"/>
          <w:szCs w:val="19"/>
          <w:color w:val="auto"/>
        </w:rPr>
        <w:t>Co-Chief Executive Officer and Director</w:t>
      </w:r>
    </w:p>
    <w:p>
      <w:pPr>
        <w:spacing w:after="0" w:line="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(Principal Executive Officer)</w:t>
      </w:r>
    </w:p>
    <w:p>
      <w:pPr>
        <w:ind w:left="1"/>
        <w:spacing w:after="0"/>
        <w:rPr>
          <w:sz w:val="20"/>
          <w:szCs w:val="20"/>
          <w:color w:val="auto"/>
        </w:rPr>
      </w:pPr>
      <w:r>
        <w:rPr>
          <w:rFonts w:ascii="Times New Roman" w:cs="Times New Roman" w:eastAsia="Times New Roman" w:hAnsi="Times New Roman"/>
          <w:sz w:val="20"/>
          <w:szCs w:val="20"/>
          <w:color w:val="auto"/>
        </w:rPr>
        <w:t>March 12, 2026</w:t>
      </w:r>
    </w:p>
    <w:p>
      <w:pPr>
        <w:spacing w:after="0" w:line="1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/s/ John Mazarakis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324294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2945"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255.35pt,1.05pt" o:allowincell="f" strokecolor="#000000" strokeweight="0.4921pt"/>
            </w:pict>
          </mc:Fallback>
        </mc:AlternateContent>
      </w:r>
    </w:p>
    <w:p>
      <w:pPr>
        <w:spacing w:after="0" w:line="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John Mazarakis</w:t>
      </w:r>
    </w:p>
    <w:p>
      <w:pPr>
        <w:ind w:left="1"/>
        <w:spacing w:after="0" w:line="237" w:lineRule="auto"/>
        <w:rPr>
          <w:sz w:val="20"/>
          <w:szCs w:val="20"/>
          <w:color w:val="auto"/>
        </w:rPr>
      </w:pPr>
      <w:r>
        <w:rPr>
          <w:rFonts w:ascii="Times New Roman" w:cs="Times New Roman" w:eastAsia="Times New Roman" w:hAnsi="Times New Roman"/>
          <w:sz w:val="20"/>
          <w:szCs w:val="20"/>
          <w:color w:val="auto"/>
        </w:rPr>
        <w:t>Director</w:t>
      </w:r>
    </w:p>
    <w:p>
      <w:pPr>
        <w:ind w:left="1"/>
        <w:spacing w:after="0"/>
        <w:rPr>
          <w:sz w:val="20"/>
          <w:szCs w:val="20"/>
          <w:color w:val="auto"/>
        </w:rPr>
      </w:pPr>
      <w:r>
        <w:rPr>
          <w:rFonts w:ascii="Times New Roman" w:cs="Times New Roman" w:eastAsia="Times New Roman" w:hAnsi="Times New Roman"/>
          <w:sz w:val="20"/>
          <w:szCs w:val="20"/>
          <w:color w:val="auto"/>
        </w:rPr>
        <w:t>March 12, 2026</w:t>
      </w:r>
    </w:p>
    <w:p>
      <w:pPr>
        <w:spacing w:after="0" w:line="1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/s/ Anthony Cappell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324294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2945"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255.35pt,1.05pt" o:allowincell="f" strokecolor="#000000" strokeweight="0.4921pt"/>
            </w:pict>
          </mc:Fallback>
        </mc:AlternateContent>
      </w:r>
    </w:p>
    <w:p>
      <w:pPr>
        <w:spacing w:after="0" w:line="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Anthony Cappell</w:t>
      </w:r>
    </w:p>
    <w:p>
      <w:pPr>
        <w:ind w:left="1"/>
        <w:spacing w:after="0"/>
        <w:rPr>
          <w:sz w:val="20"/>
          <w:szCs w:val="20"/>
          <w:color w:val="auto"/>
        </w:rPr>
      </w:pPr>
      <w:r>
        <w:rPr>
          <w:rFonts w:ascii="Times New Roman" w:cs="Times New Roman" w:eastAsia="Times New Roman" w:hAnsi="Times New Roman"/>
          <w:sz w:val="19"/>
          <w:szCs w:val="19"/>
          <w:color w:val="auto"/>
        </w:rPr>
        <w:t>Co-Chief Executive Officer and Director</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March 12, 2026</w:t>
      </w:r>
    </w:p>
    <w:p>
      <w:pPr>
        <w:spacing w:after="0" w:line="197"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/s/ Elizabeth Stavola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324294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2945"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255.35pt,1.05pt" o:allowincell="f" strokecolor="#000000" strokeweight="0.4921pt"/>
            </w:pict>
          </mc:Fallback>
        </mc:AlternateContent>
      </w:r>
    </w:p>
    <w:p>
      <w:pPr>
        <w:spacing w:after="0" w:line="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Elizabeth Stavola</w:t>
      </w:r>
    </w:p>
    <w:p>
      <w:pPr>
        <w:ind w:left="1"/>
        <w:spacing w:after="0" w:line="237" w:lineRule="auto"/>
        <w:rPr>
          <w:sz w:val="20"/>
          <w:szCs w:val="20"/>
          <w:color w:val="auto"/>
        </w:rPr>
      </w:pPr>
      <w:r>
        <w:rPr>
          <w:rFonts w:ascii="Times New Roman" w:cs="Times New Roman" w:eastAsia="Times New Roman" w:hAnsi="Times New Roman"/>
          <w:sz w:val="20"/>
          <w:szCs w:val="20"/>
          <w:color w:val="auto"/>
        </w:rPr>
        <w:t>Independent Director</w:t>
      </w:r>
    </w:p>
    <w:p>
      <w:pPr>
        <w:ind w:left="1"/>
        <w:spacing w:after="0"/>
        <w:rPr>
          <w:sz w:val="20"/>
          <w:szCs w:val="20"/>
          <w:color w:val="auto"/>
        </w:rPr>
      </w:pPr>
      <w:r>
        <w:rPr>
          <w:rFonts w:ascii="Times New Roman" w:cs="Times New Roman" w:eastAsia="Times New Roman" w:hAnsi="Times New Roman"/>
          <w:sz w:val="20"/>
          <w:szCs w:val="20"/>
          <w:color w:val="auto"/>
        </w:rPr>
        <w:t>March 12, 2026</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Silverman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13335</wp:posOffset>
                </wp:positionV>
                <wp:extent cx="324294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2945"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5pt" to="255pt,1.05pt" o:allowincell="f" strokecolor="#000000" strokeweight="0.4921pt"/>
            </w:pict>
          </mc:Fallback>
        </mc:AlternateConten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Silverman</w:t>
      </w:r>
    </w:p>
    <w:p>
      <w:pPr>
        <w:spacing w:after="0" w:line="237" w:lineRule="auto"/>
        <w:rPr>
          <w:sz w:val="20"/>
          <w:szCs w:val="20"/>
          <w:color w:val="auto"/>
        </w:rPr>
      </w:pPr>
      <w:r>
        <w:rPr>
          <w:rFonts w:ascii="Times New Roman" w:cs="Times New Roman" w:eastAsia="Times New Roman" w:hAnsi="Times New Roman"/>
          <w:sz w:val="20"/>
          <w:szCs w:val="20"/>
          <w:color w:val="auto"/>
        </w:rPr>
        <w:t>Chief Financial Officer</w:t>
      </w:r>
    </w:p>
    <w:p>
      <w:pPr>
        <w:spacing w:after="0"/>
        <w:rPr>
          <w:sz w:val="20"/>
          <w:szCs w:val="20"/>
          <w:color w:val="auto"/>
        </w:rPr>
      </w:pPr>
      <w:r>
        <w:rPr>
          <w:rFonts w:ascii="Times New Roman" w:cs="Times New Roman" w:eastAsia="Times New Roman" w:hAnsi="Times New Roman"/>
          <w:sz w:val="19"/>
          <w:szCs w:val="19"/>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12,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Dr. Jason Papastavrou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13335</wp:posOffset>
                </wp:positionV>
                <wp:extent cx="324294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2945"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5pt" to="255pt,1.05pt" o:allowincell="f" strokecolor="#000000" strokeweight="0.4921pt"/>
            </w:pict>
          </mc:Fallback>
        </mc:AlternateConten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Jason Papastavrou</w:t>
      </w:r>
    </w:p>
    <w:p>
      <w:pPr>
        <w:spacing w:after="0" w:line="237" w:lineRule="auto"/>
        <w:rPr>
          <w:sz w:val="20"/>
          <w:szCs w:val="20"/>
          <w:color w:val="auto"/>
        </w:rPr>
      </w:pPr>
      <w:r>
        <w:rPr>
          <w:rFonts w:ascii="Times New Roman" w:cs="Times New Roman" w:eastAsia="Times New Roman" w:hAnsi="Times New Roman"/>
          <w:sz w:val="20"/>
          <w:szCs w:val="20"/>
          <w:color w:val="auto"/>
        </w:rPr>
        <w:t>Independent Director</w:t>
      </w:r>
    </w:p>
    <w:p>
      <w:pPr>
        <w:spacing w:after="0"/>
        <w:rPr>
          <w:sz w:val="20"/>
          <w:szCs w:val="20"/>
          <w:color w:val="auto"/>
        </w:rPr>
      </w:pPr>
      <w:r>
        <w:rPr>
          <w:rFonts w:ascii="Times New Roman" w:cs="Times New Roman" w:eastAsia="Times New Roman" w:hAnsi="Times New Roman"/>
          <w:sz w:val="20"/>
          <w:szCs w:val="20"/>
          <w:color w:val="auto"/>
        </w:rPr>
        <w:t>March 12,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Brandon Konigsberg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13335</wp:posOffset>
                </wp:positionV>
                <wp:extent cx="324294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2945"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5pt" to="255pt,1.05pt" o:allowincell="f" strokecolor="#000000" strokeweight="0.4921pt"/>
            </w:pict>
          </mc:Fallback>
        </mc:AlternateConten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Brandon Konigsberg</w:t>
      </w:r>
    </w:p>
    <w:p>
      <w:pPr>
        <w:spacing w:after="0" w:line="237" w:lineRule="auto"/>
        <w:rPr>
          <w:sz w:val="20"/>
          <w:szCs w:val="20"/>
          <w:color w:val="auto"/>
        </w:rPr>
      </w:pPr>
      <w:r>
        <w:rPr>
          <w:rFonts w:ascii="Times New Roman" w:cs="Times New Roman" w:eastAsia="Times New Roman" w:hAnsi="Times New Roman"/>
          <w:sz w:val="20"/>
          <w:szCs w:val="20"/>
          <w:color w:val="auto"/>
        </w:rPr>
        <w:t>Independent Director</w:t>
      </w:r>
    </w:p>
    <w:p>
      <w:pPr>
        <w:spacing w:after="0"/>
        <w:rPr>
          <w:sz w:val="20"/>
          <w:szCs w:val="20"/>
          <w:color w:val="auto"/>
        </w:rPr>
      </w:pPr>
      <w:r>
        <w:rPr>
          <w:rFonts w:ascii="Times New Roman" w:cs="Times New Roman" w:eastAsia="Times New Roman" w:hAnsi="Times New Roman"/>
          <w:sz w:val="20"/>
          <w:szCs w:val="20"/>
          <w:color w:val="auto"/>
        </w:rPr>
        <w:t>March 12,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Michael L. Steiner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13335</wp:posOffset>
                </wp:positionV>
                <wp:extent cx="324294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2945" cy="4763"/>
                        </a:xfrm>
                        <a:prstGeom prst="line">
                          <a:avLst/>
                        </a:prstGeom>
                        <a:solidFill>
                          <a:srgbClr val="FFFFFF"/>
                        </a:solidFill>
                        <a:ln w="625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5pt" to="255pt,1.05pt" o:allowincell="f" strokecolor="#000000" strokeweight="0.4921pt"/>
            </w:pict>
          </mc:Fallback>
        </mc:AlternateConten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L. Steiner</w:t>
      </w:r>
    </w:p>
    <w:p>
      <w:pPr>
        <w:spacing w:after="0" w:line="237" w:lineRule="auto"/>
        <w:rPr>
          <w:sz w:val="20"/>
          <w:szCs w:val="20"/>
          <w:color w:val="auto"/>
        </w:rPr>
      </w:pPr>
      <w:r>
        <w:rPr>
          <w:rFonts w:ascii="Times New Roman" w:cs="Times New Roman" w:eastAsia="Times New Roman" w:hAnsi="Times New Roman"/>
          <w:sz w:val="20"/>
          <w:szCs w:val="20"/>
          <w:color w:val="auto"/>
        </w:rPr>
        <w:t>Independent Director</w:t>
      </w:r>
    </w:p>
    <w:p>
      <w:pPr>
        <w:spacing w:after="0"/>
        <w:rPr>
          <w:sz w:val="20"/>
          <w:szCs w:val="20"/>
          <w:color w:val="auto"/>
        </w:rPr>
      </w:pPr>
      <w:r>
        <w:rPr>
          <w:rFonts w:ascii="Times New Roman" w:cs="Times New Roman" w:eastAsia="Times New Roman" w:hAnsi="Times New Roman"/>
          <w:sz w:val="20"/>
          <w:szCs w:val="20"/>
          <w:color w:val="auto"/>
        </w:rPr>
        <w:t>March 12, 2026</w:t>
      </w:r>
    </w:p>
    <w:p>
      <w:pPr>
        <w:spacing w:after="0" w:line="200" w:lineRule="exact"/>
        <w:rPr>
          <w:sz w:val="20"/>
          <w:szCs w:val="20"/>
          <w:color w:val="auto"/>
        </w:rPr>
      </w:pPr>
    </w:p>
    <w:p>
      <w:pPr>
        <w:sectPr>
          <w:pgSz w:w="12240" w:h="15840" w:orient="portrait"/>
          <w:cols w:equalWidth="0" w:num="2">
            <w:col w:w="4821" w:space="720"/>
            <w:col w:w="4960"/>
          </w:cols>
          <w:pgMar w:left="799" w:top="1232" w:right="940" w:bottom="2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501"/>
          </w:cols>
          <w:pgMar w:left="799" w:top="1232" w:right="940" w:bottom="254" w:gutter="0" w:footer="0" w:header="0"/>
          <w:type w:val="continuous"/>
        </w:sectPr>
      </w:pPr>
    </w:p>
    <w:bookmarkStart w:id="140" w:name="page141"/>
    <w:bookmarkEnd w:id="140"/>
    <w:p>
      <w:pPr>
        <w:spacing w:after="0" w:line="5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54" w:lineRule="exact"/>
        <w:rPr>
          <w:sz w:val="20"/>
          <w:szCs w:val="20"/>
          <w:color w:val="auto"/>
        </w:rPr>
      </w:pPr>
    </w:p>
    <w:p>
      <w:pPr>
        <w:ind w:left="2120"/>
        <w:spacing w:after="0"/>
        <w:rPr>
          <w:sz w:val="20"/>
          <w:szCs w:val="20"/>
          <w:color w:val="auto"/>
        </w:rPr>
      </w:pPr>
      <w:r>
        <w:rPr>
          <w:rFonts w:ascii="Trebuchet MS" w:cs="Trebuchet MS" w:eastAsia="Trebuchet MS" w:hAnsi="Trebuchet MS"/>
          <w:sz w:val="21"/>
          <w:szCs w:val="2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20" w:right="80"/>
        <w:spacing w:after="0" w:line="241" w:lineRule="auto"/>
        <w:rPr>
          <w:sz w:val="20"/>
          <w:szCs w:val="20"/>
          <w:color w:val="auto"/>
        </w:rPr>
      </w:pPr>
      <w:r>
        <w:rPr>
          <w:rFonts w:ascii="Trebuchet MS" w:cs="Trebuchet MS" w:eastAsia="Trebuchet MS" w:hAnsi="Trebuchet MS"/>
          <w:sz w:val="21"/>
          <w:szCs w:val="21"/>
          <w:color w:val="auto"/>
        </w:rPr>
        <w:t>We hereby consent to the incorporation by reference in the Registration Statement on Form S-3 (No. 333-268920) and Form S-8 (No. 333-261589 and 333-266109) of Chicago Atlantic Real Estate Finance, Inc. (the Company) of our report dated March 12, 2026, relating to the consolidated financial statements, which appear in this Form 10-K.</w:t>
      </w:r>
    </w:p>
    <w:p>
      <w:pPr>
        <w:spacing w:after="0" w:line="226" w:lineRule="exact"/>
        <w:rPr>
          <w:sz w:val="20"/>
          <w:szCs w:val="20"/>
          <w:color w:val="auto"/>
        </w:rPr>
      </w:pPr>
    </w:p>
    <w:p>
      <w:pPr>
        <w:ind w:left="420"/>
        <w:spacing w:after="0"/>
        <w:rPr>
          <w:sz w:val="20"/>
          <w:szCs w:val="20"/>
          <w:color w:val="auto"/>
        </w:rPr>
      </w:pPr>
      <w:r>
        <w:rPr>
          <w:rFonts w:ascii="Trebuchet MS" w:cs="Trebuchet MS" w:eastAsia="Trebuchet MS" w:hAnsi="Trebuchet MS"/>
          <w:sz w:val="21"/>
          <w:szCs w:val="21"/>
          <w:color w:val="auto"/>
        </w:rPr>
        <w:t>/s/ BDO USA, P.C.</w:t>
      </w:r>
    </w:p>
    <w:p>
      <w:pPr>
        <w:spacing w:after="0" w:line="238" w:lineRule="exact"/>
        <w:rPr>
          <w:sz w:val="20"/>
          <w:szCs w:val="20"/>
          <w:color w:val="auto"/>
        </w:rPr>
      </w:pPr>
    </w:p>
    <w:p>
      <w:pPr>
        <w:ind w:left="420"/>
        <w:spacing w:after="0"/>
        <w:rPr>
          <w:sz w:val="20"/>
          <w:szCs w:val="20"/>
          <w:color w:val="auto"/>
        </w:rPr>
      </w:pPr>
      <w:r>
        <w:rPr>
          <w:rFonts w:ascii="Trebuchet MS" w:cs="Trebuchet MS" w:eastAsia="Trebuchet MS" w:hAnsi="Trebuchet MS"/>
          <w:sz w:val="21"/>
          <w:szCs w:val="21"/>
          <w:color w:val="auto"/>
        </w:rPr>
        <w:t>Chicago, Illinois</w:t>
      </w:r>
    </w:p>
    <w:p>
      <w:pPr>
        <w:spacing w:after="0" w:line="238" w:lineRule="exact"/>
        <w:rPr>
          <w:sz w:val="20"/>
          <w:szCs w:val="20"/>
          <w:color w:val="auto"/>
        </w:rPr>
      </w:pPr>
    </w:p>
    <w:p>
      <w:pPr>
        <w:ind w:left="420"/>
        <w:spacing w:after="0"/>
        <w:rPr>
          <w:sz w:val="20"/>
          <w:szCs w:val="20"/>
          <w:color w:val="auto"/>
        </w:rPr>
      </w:pPr>
      <w:r>
        <w:rPr>
          <w:rFonts w:ascii="Trebuchet MS" w:cs="Trebuchet MS" w:eastAsia="Trebuchet MS" w:hAnsi="Trebuchet MS"/>
          <w:sz w:val="21"/>
          <w:szCs w:val="21"/>
          <w:color w:val="auto"/>
        </w:rPr>
        <w:t>March 12, 2026</w:t>
      </w:r>
    </w:p>
    <w:p>
      <w:pPr>
        <w:sectPr>
          <w:pgSz w:w="12240" w:h="15840" w:orient="portrait"/>
          <w:cols w:equalWidth="0" w:num="1">
            <w:col w:w="9360"/>
          </w:cols>
          <w:pgMar w:left="1440" w:top="1440"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Peter Sack, Co-Chief Executive Officer of Chicago Atlantic Real Estate Finance, Inc., certify that:</w:t>
      </w:r>
    </w:p>
    <w:p>
      <w:pPr>
        <w:spacing w:after="0" w:line="225" w:lineRule="exact"/>
        <w:rPr>
          <w:sz w:val="20"/>
          <w:szCs w:val="20"/>
          <w:color w:val="auto"/>
        </w:rPr>
      </w:pPr>
    </w:p>
    <w:p>
      <w:pPr>
        <w:ind w:left="960" w:hanging="478"/>
        <w:spacing w:after="0"/>
        <w:tabs>
          <w:tab w:leader="none" w:pos="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Chicago Atlantic Real Estate Finance, Inc.;</w:t>
      </w:r>
    </w:p>
    <w:p>
      <w:pPr>
        <w:spacing w:after="0" w:line="25" w:lineRule="exact"/>
        <w:rPr>
          <w:rFonts w:ascii="Times New Roman" w:cs="Times New Roman" w:eastAsia="Times New Roman" w:hAnsi="Times New Roman"/>
          <w:sz w:val="20"/>
          <w:szCs w:val="20"/>
          <w:color w:val="auto"/>
        </w:rPr>
      </w:pPr>
    </w:p>
    <w:p>
      <w:pPr>
        <w:jc w:val="both"/>
        <w:ind w:left="960" w:right="320" w:hanging="478"/>
        <w:spacing w:after="0" w:line="237" w:lineRule="auto"/>
        <w:tabs>
          <w:tab w:leader="none" w:pos="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60" w:hanging="478"/>
        <w:spacing w:after="0" w:line="237" w:lineRule="auto"/>
        <w:tabs>
          <w:tab w:leader="none" w:pos="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60" w:right="200" w:hanging="478"/>
        <w:spacing w:after="0" w:line="237" w:lineRule="auto"/>
        <w:tabs>
          <w:tab w:leader="none" w:pos="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440" w:right="80" w:hanging="476"/>
        <w:spacing w:after="0" w:line="237" w:lineRule="auto"/>
        <w:tabs>
          <w:tab w:leader="none" w:pos="14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1440" w:right="40" w:hanging="476"/>
        <w:spacing w:after="0" w:line="237" w:lineRule="auto"/>
        <w:tabs>
          <w:tab w:leader="none" w:pos="14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1440" w:right="40" w:hanging="476"/>
        <w:spacing w:after="0" w:line="237" w:lineRule="auto"/>
        <w:tabs>
          <w:tab w:leader="none" w:pos="14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40" w:right="220" w:hanging="476"/>
        <w:spacing w:after="0" w:line="237" w:lineRule="auto"/>
        <w:tabs>
          <w:tab w:leader="none" w:pos="14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960" w:right="120" w:hanging="478"/>
        <w:spacing w:after="0" w:line="237" w:lineRule="auto"/>
        <w:tabs>
          <w:tab w:leader="none" w:pos="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40" w:right="220" w:hanging="476"/>
        <w:spacing w:after="0" w:line="237" w:lineRule="auto"/>
        <w:tabs>
          <w:tab w:leader="none" w:pos="14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40" w:right="100" w:hanging="476"/>
        <w:spacing w:after="0" w:line="243" w:lineRule="auto"/>
        <w:tabs>
          <w:tab w:leader="none" w:pos="14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12, 2026</w:t>
      </w:r>
    </w:p>
    <w:p>
      <w:pPr>
        <w:spacing w:after="0" w:line="22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By: /s/ Peter Sack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4256405</wp:posOffset>
                </wp:positionH>
                <wp:positionV relativeFrom="paragraph">
                  <wp:posOffset>19685</wp:posOffset>
                </wp:positionV>
                <wp:extent cx="249999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9995" cy="4763"/>
                        </a:xfrm>
                        <a:prstGeom prst="line">
                          <a:avLst/>
                        </a:prstGeom>
                        <a:solidFill>
                          <a:srgbClr val="FFFFFF"/>
                        </a:solidFill>
                        <a:ln w="18764">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15pt,1.55pt" to="532pt,1.55pt" o:allowincell="f" strokecolor="#000000" strokeweight="1.4775pt"/>
            </w:pict>
          </mc:Fallback>
        </mc:AlternateContent>
      </w:r>
    </w:p>
    <w:p>
      <w:pPr>
        <w:spacing w:after="0" w:line="1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Peter Sack</w:t>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Co-Chief Executive Officer and Director</w:t>
      </w:r>
    </w:p>
    <w:p>
      <w:pPr>
        <w:ind w:left="67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2240" w:h="15840" w:orient="portrait"/>
          <w:cols w:equalWidth="0" w:num="1">
            <w:col w:w="10640"/>
          </w:cols>
          <w:pgMar w:left="800" w:top="1005" w:right="80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CERTIFICATION OF PRINICPAL FINANCIAL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Phillip Silverman, Chief Financial Officer of Chicago Atlantic Real Estate Finance, Inc., certify that:</w:t>
      </w:r>
    </w:p>
    <w:p>
      <w:pPr>
        <w:spacing w:after="0" w:line="225" w:lineRule="exact"/>
        <w:rPr>
          <w:sz w:val="20"/>
          <w:szCs w:val="20"/>
          <w:color w:val="auto"/>
        </w:rPr>
      </w:pPr>
    </w:p>
    <w:p>
      <w:pPr>
        <w:ind w:left="960" w:hanging="478"/>
        <w:spacing w:after="0"/>
        <w:tabs>
          <w:tab w:leader="none" w:pos="9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Chicago Atlantic Real Estate Finance, Inc.;</w:t>
      </w:r>
    </w:p>
    <w:p>
      <w:pPr>
        <w:spacing w:after="0" w:line="25" w:lineRule="exact"/>
        <w:rPr>
          <w:rFonts w:ascii="Times New Roman" w:cs="Times New Roman" w:eastAsia="Times New Roman" w:hAnsi="Times New Roman"/>
          <w:sz w:val="20"/>
          <w:szCs w:val="20"/>
          <w:color w:val="auto"/>
        </w:rPr>
      </w:pPr>
    </w:p>
    <w:p>
      <w:pPr>
        <w:jc w:val="both"/>
        <w:ind w:left="960" w:right="320" w:hanging="478"/>
        <w:spacing w:after="0" w:line="237" w:lineRule="auto"/>
        <w:tabs>
          <w:tab w:leader="none" w:pos="9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60" w:hanging="478"/>
        <w:spacing w:after="0" w:line="237" w:lineRule="auto"/>
        <w:tabs>
          <w:tab w:leader="none" w:pos="9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60" w:right="200" w:hanging="478"/>
        <w:spacing w:after="0" w:line="237" w:lineRule="auto"/>
        <w:tabs>
          <w:tab w:leader="none" w:pos="9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440" w:right="80" w:hanging="476"/>
        <w:spacing w:after="0" w:line="237" w:lineRule="auto"/>
        <w:tabs>
          <w:tab w:leader="none" w:pos="14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1440" w:right="40" w:hanging="476"/>
        <w:spacing w:after="0" w:line="237" w:lineRule="auto"/>
        <w:tabs>
          <w:tab w:leader="none" w:pos="14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1440" w:right="40" w:hanging="476"/>
        <w:spacing w:after="0" w:line="237" w:lineRule="auto"/>
        <w:tabs>
          <w:tab w:leader="none" w:pos="14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40" w:right="220" w:hanging="476"/>
        <w:spacing w:after="0" w:line="237" w:lineRule="auto"/>
        <w:tabs>
          <w:tab w:leader="none" w:pos="14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960" w:right="120" w:hanging="478"/>
        <w:spacing w:after="0" w:line="237" w:lineRule="auto"/>
        <w:tabs>
          <w:tab w:leader="none" w:pos="9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40" w:right="220" w:hanging="476"/>
        <w:spacing w:after="0" w:line="237" w:lineRule="auto"/>
        <w:tabs>
          <w:tab w:leader="none" w:pos="14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40" w:right="100" w:hanging="476"/>
        <w:spacing w:after="0" w:line="243" w:lineRule="auto"/>
        <w:tabs>
          <w:tab w:leader="none" w:pos="144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12, 2026</w:t>
      </w:r>
    </w:p>
    <w:p>
      <w:pPr>
        <w:spacing w:after="0" w:line="22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By: /s/ Phillip Silverman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4256405</wp:posOffset>
                </wp:positionH>
                <wp:positionV relativeFrom="paragraph">
                  <wp:posOffset>19685</wp:posOffset>
                </wp:positionV>
                <wp:extent cx="249999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9995" cy="4763"/>
                        </a:xfrm>
                        <a:prstGeom prst="line">
                          <a:avLst/>
                        </a:prstGeom>
                        <a:solidFill>
                          <a:srgbClr val="FFFFFF"/>
                        </a:solidFill>
                        <a:ln w="18764">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15pt,1.55pt" to="532pt,1.55pt" o:allowincell="f" strokecolor="#000000" strokeweight="1.4775pt"/>
            </w:pict>
          </mc:Fallback>
        </mc:AlternateContent>
      </w:r>
    </w:p>
    <w:p>
      <w:pPr>
        <w:spacing w:after="0" w:line="1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Phillip Silverman</w:t>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Chief Financial Officer</w:t>
      </w:r>
    </w:p>
    <w:p>
      <w:pPr>
        <w:ind w:left="67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ectPr>
          <w:pgSz w:w="12240" w:h="15840" w:orient="portrait"/>
          <w:cols w:equalWidth="0" w:num="1">
            <w:col w:w="10640"/>
          </w:cols>
          <w:pgMar w:left="800" w:top="1005" w:right="80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 (18 U.S.C. 1350)</w:t>
      </w:r>
    </w:p>
    <w:p>
      <w:pPr>
        <w:spacing w:after="0" w:line="197" w:lineRule="exact"/>
        <w:rPr>
          <w:sz w:val="20"/>
          <w:szCs w:val="20"/>
          <w:color w:val="auto"/>
        </w:rPr>
      </w:pPr>
    </w:p>
    <w:p>
      <w:pPr>
        <w:ind w:firstLine="709"/>
        <w:spacing w:after="0" w:line="255" w:lineRule="auto"/>
        <w:rPr>
          <w:sz w:val="20"/>
          <w:szCs w:val="20"/>
          <w:color w:val="auto"/>
        </w:rPr>
      </w:pPr>
      <w:r>
        <w:rPr>
          <w:rFonts w:ascii="Times New Roman" w:cs="Times New Roman" w:eastAsia="Times New Roman" w:hAnsi="Times New Roman"/>
          <w:sz w:val="20"/>
          <w:szCs w:val="20"/>
          <w:color w:val="auto"/>
        </w:rPr>
        <w:t>In connection with the Annual Report on Form 10-K for the year ended December 31, 2025 (the “Report”) of Chicago Atlantic Real Estate Finance, Inc. (the “Registrant”), as filed with the Securities and Exchange Commission on the date hereof, I, Peter Sack, the Co-Chief Executive Officer of the Registrant, hereby certify, to the best of my knowledge, that:</w:t>
      </w:r>
    </w:p>
    <w:p>
      <w:pPr>
        <w:spacing w:after="0" w:line="177" w:lineRule="exact"/>
        <w:rPr>
          <w:sz w:val="20"/>
          <w:szCs w:val="20"/>
          <w:color w:val="auto"/>
        </w:rPr>
      </w:pPr>
    </w:p>
    <w:p>
      <w:pPr>
        <w:ind w:left="1200" w:right="180" w:hanging="491"/>
        <w:spacing w:after="0" w:line="251" w:lineRule="auto"/>
        <w:tabs>
          <w:tab w:leader="none" w:pos="12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1" w:lineRule="exact"/>
        <w:rPr>
          <w:rFonts w:ascii="Times New Roman" w:cs="Times New Roman" w:eastAsia="Times New Roman" w:hAnsi="Times New Roman"/>
          <w:sz w:val="20"/>
          <w:szCs w:val="20"/>
          <w:color w:val="auto"/>
        </w:rPr>
      </w:pPr>
    </w:p>
    <w:p>
      <w:pPr>
        <w:ind w:left="1200" w:right="240" w:hanging="491"/>
        <w:spacing w:after="0" w:line="243" w:lineRule="auto"/>
        <w:tabs>
          <w:tab w:leader="none" w:pos="12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12, 2026</w:t>
      </w:r>
    </w:p>
    <w:p>
      <w:pPr>
        <w:spacing w:after="0" w:line="2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By:  /s/ Peter Sack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4323715</wp:posOffset>
                </wp:positionH>
                <wp:positionV relativeFrom="paragraph">
                  <wp:posOffset>1905</wp:posOffset>
                </wp:positionV>
                <wp:extent cx="243268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2685" cy="4763"/>
                        </a:xfrm>
                        <a:prstGeom prst="line">
                          <a:avLst/>
                        </a:prstGeom>
                        <a:solidFill>
                          <a:srgbClr val="FFFFFF"/>
                        </a:solidFill>
                        <a:ln w="18764">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45pt,0.15pt" to="532pt,0.15pt" o:allowincell="f" strokecolor="#000000" strokeweight="1.4775pt"/>
            </w:pict>
          </mc:Fallback>
        </mc:AlternateContent>
      </w:r>
    </w:p>
    <w:p>
      <w:pPr>
        <w:ind w:left="6800"/>
        <w:spacing w:after="0"/>
        <w:rPr>
          <w:sz w:val="20"/>
          <w:szCs w:val="20"/>
          <w:color w:val="auto"/>
        </w:rPr>
      </w:pPr>
      <w:r>
        <w:rPr>
          <w:rFonts w:ascii="Times New Roman" w:cs="Times New Roman" w:eastAsia="Times New Roman" w:hAnsi="Times New Roman"/>
          <w:sz w:val="20"/>
          <w:szCs w:val="20"/>
          <w:color w:val="auto"/>
        </w:rPr>
        <w:t>Peter Sack</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Co-Chief Executive Officer and Director</w:t>
      </w:r>
    </w:p>
    <w:p>
      <w:pPr>
        <w:ind w:left="68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2240" w:h="15840" w:orient="portrait"/>
          <w:cols w:equalWidth="0" w:num="1">
            <w:col w:w="10640"/>
          </w:cols>
          <w:pgMar w:left="800" w:top="778" w:right="800"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 (18 U.S.C. 1350)</w:t>
      </w:r>
    </w:p>
    <w:p>
      <w:pPr>
        <w:spacing w:after="0" w:line="197" w:lineRule="exact"/>
        <w:rPr>
          <w:sz w:val="20"/>
          <w:szCs w:val="20"/>
          <w:color w:val="auto"/>
        </w:rPr>
      </w:pPr>
    </w:p>
    <w:p>
      <w:pPr>
        <w:ind w:right="460" w:firstLine="709"/>
        <w:spacing w:after="0" w:line="274" w:lineRule="auto"/>
        <w:rPr>
          <w:sz w:val="20"/>
          <w:szCs w:val="20"/>
          <w:color w:val="auto"/>
        </w:rPr>
      </w:pPr>
      <w:r>
        <w:rPr>
          <w:rFonts w:ascii="Times New Roman" w:cs="Times New Roman" w:eastAsia="Times New Roman" w:hAnsi="Times New Roman"/>
          <w:sz w:val="19"/>
          <w:szCs w:val="19"/>
          <w:color w:val="auto"/>
        </w:rPr>
        <w:t>In connection with the Annual Report on Form 10-K for the year ended December 31, 2025 (the “Report”) of Chicago Atlantic Real Estate Finance, Inc. (the “Registrant”), as filed with the Securities and Exchange Commission on the date hereof, I, Phillip Silverman, the Chief Financial Officer of the Registrant, hereby certify, to the best of my knowledge, that:</w:t>
      </w:r>
    </w:p>
    <w:p>
      <w:pPr>
        <w:spacing w:after="0" w:line="161" w:lineRule="exact"/>
        <w:rPr>
          <w:sz w:val="20"/>
          <w:szCs w:val="20"/>
          <w:color w:val="auto"/>
        </w:rPr>
      </w:pPr>
    </w:p>
    <w:p>
      <w:pPr>
        <w:ind w:left="1200" w:right="180" w:hanging="491"/>
        <w:spacing w:after="0" w:line="251" w:lineRule="auto"/>
        <w:tabs>
          <w:tab w:leader="none" w:pos="12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1" w:lineRule="exact"/>
        <w:rPr>
          <w:rFonts w:ascii="Times New Roman" w:cs="Times New Roman" w:eastAsia="Times New Roman" w:hAnsi="Times New Roman"/>
          <w:sz w:val="20"/>
          <w:szCs w:val="20"/>
          <w:color w:val="auto"/>
        </w:rPr>
      </w:pPr>
    </w:p>
    <w:p>
      <w:pPr>
        <w:ind w:left="1200" w:right="240" w:hanging="491"/>
        <w:spacing w:after="0" w:line="243" w:lineRule="auto"/>
        <w:tabs>
          <w:tab w:leader="none" w:pos="12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12, 2026</w:t>
      </w:r>
    </w:p>
    <w:p>
      <w:pPr>
        <w:spacing w:after="0" w:line="2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By:  /s/ Phillip Silverman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4323715</wp:posOffset>
                </wp:positionH>
                <wp:positionV relativeFrom="paragraph">
                  <wp:posOffset>1905</wp:posOffset>
                </wp:positionV>
                <wp:extent cx="243268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2685" cy="4763"/>
                        </a:xfrm>
                        <a:prstGeom prst="line">
                          <a:avLst/>
                        </a:prstGeom>
                        <a:solidFill>
                          <a:srgbClr val="FFFFFF"/>
                        </a:solidFill>
                        <a:ln w="18764">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45pt,0.15pt" to="532pt,0.15pt" o:allowincell="f" strokecolor="#000000" strokeweight="1.4775pt"/>
            </w:pict>
          </mc:Fallback>
        </mc:AlternateContent>
      </w:r>
    </w:p>
    <w:p>
      <w:pPr>
        <w:ind w:left="6800"/>
        <w:spacing w:after="0"/>
        <w:rPr>
          <w:sz w:val="20"/>
          <w:szCs w:val="20"/>
          <w:color w:val="auto"/>
        </w:rPr>
      </w:pPr>
      <w:r>
        <w:rPr>
          <w:rFonts w:ascii="Times New Roman" w:cs="Times New Roman" w:eastAsia="Times New Roman" w:hAnsi="Times New Roman"/>
          <w:sz w:val="20"/>
          <w:szCs w:val="20"/>
          <w:color w:val="auto"/>
        </w:rPr>
        <w:t>Phillip Silverman</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color w:val="auto"/>
        </w:rPr>
        <w:t>Chief Financial Officer</w:t>
      </w:r>
    </w:p>
    <w:p>
      <w:pPr>
        <w:ind w:left="68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ectPr>
          <w:pgSz w:w="12240" w:h="15840" w:orient="portrait"/>
          <w:cols w:equalWidth="0" w:num="1">
            <w:col w:w="10640"/>
          </w:cols>
          <w:pgMar w:left="800" w:top="778" w:right="800"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This page is intentionally left blank</w:t>
      </w:r>
    </w:p>
    <w:p>
      <w:pPr>
        <w:sectPr>
          <w:pgSz w:w="12240" w:h="15840" w:orient="portrait"/>
          <w:cols w:equalWidth="0" w:num="1">
            <w:col w:w="9360"/>
          </w:cols>
          <w:pgMar w:left="1440" w:top="1440" w:right="1440" w:bottom="1440" w:gutter="0" w:footer="0" w:header="0"/>
        </w:sectPr>
      </w:pPr>
    </w:p>
    <w:bookmarkStart w:id="146" w:name="page147"/>
    <w:bookmarkEnd w:id="146"/>
    <w:p>
      <w:pPr>
        <w:spacing w:after="0"/>
        <w:rPr>
          <w:sz w:val="20"/>
          <w:szCs w:val="20"/>
          <w:color w:val="auto"/>
        </w:rPr>
      </w:pPr>
      <w:r>
        <w:rPr>
          <w:rFonts w:ascii="Arial" w:cs="Arial" w:eastAsia="Arial" w:hAnsi="Arial"/>
          <w:sz w:val="42"/>
          <w:szCs w:val="42"/>
          <w:color w:val="76C7B2"/>
        </w:rPr>
        <w:t>CORPORATE INFORMATION</w:t>
      </w:r>
    </w:p>
    <w:p>
      <w:pPr>
        <w:sectPr>
          <w:pgSz w:w="12240" w:h="15840" w:orient="portrait"/>
          <w:cols w:equalWidth="0" w:num="1">
            <w:col w:w="10260"/>
          </w:cols>
          <w:pgMar w:left="960" w:top="1378" w:right="1020" w:bottom="1091" w:gutter="0" w:footer="0" w:header="0"/>
        </w:sect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40" w:type="dxa"/>
            <w:vAlign w:val="bottom"/>
          </w:tcPr>
          <w:p>
            <w:pPr>
              <w:spacing w:after="0"/>
              <w:rPr>
                <w:sz w:val="20"/>
                <w:szCs w:val="20"/>
                <w:color w:val="auto"/>
              </w:rPr>
            </w:pPr>
            <w:r>
              <w:rPr>
                <w:rFonts w:ascii="Arial" w:cs="Arial" w:eastAsia="Arial" w:hAnsi="Arial"/>
                <w:sz w:val="16"/>
                <w:szCs w:val="16"/>
                <w:b w:val="1"/>
                <w:bCs w:val="1"/>
                <w:color w:val="00001A"/>
              </w:rPr>
              <w:t>BOARD OF DIRECTORS</w:t>
            </w:r>
          </w:p>
        </w:tc>
        <w:tc>
          <w:tcPr>
            <w:tcW w:w="3560" w:type="dxa"/>
            <w:vAlign w:val="bottom"/>
          </w:tcPr>
          <w:p>
            <w:pPr>
              <w:ind w:left="420"/>
              <w:spacing w:after="0"/>
              <w:rPr>
                <w:sz w:val="20"/>
                <w:szCs w:val="20"/>
                <w:color w:val="auto"/>
              </w:rPr>
            </w:pPr>
            <w:r>
              <w:rPr>
                <w:rFonts w:ascii="Arial" w:cs="Arial" w:eastAsia="Arial" w:hAnsi="Arial"/>
                <w:sz w:val="16"/>
                <w:szCs w:val="16"/>
                <w:b w:val="1"/>
                <w:bCs w:val="1"/>
                <w:color w:val="00001A"/>
              </w:rPr>
              <w:t>MANAGEMENT</w:t>
            </w:r>
          </w:p>
        </w:tc>
        <w:tc>
          <w:tcPr>
            <w:tcW w:w="0" w:type="dxa"/>
            <w:vAlign w:val="bottom"/>
          </w:tcPr>
          <w:p>
            <w:pPr>
              <w:spacing w:after="0"/>
              <w:rPr>
                <w:sz w:val="1"/>
                <w:szCs w:val="1"/>
                <w:color w:val="auto"/>
              </w:rPr>
            </w:pPr>
          </w:p>
        </w:tc>
      </w:tr>
      <w:tr>
        <w:trPr>
          <w:trHeight w:val="332"/>
        </w:trPr>
        <w:tc>
          <w:tcPr>
            <w:tcW w:w="3140" w:type="dxa"/>
            <w:vAlign w:val="bottom"/>
          </w:tcPr>
          <w:p>
            <w:pPr>
              <w:spacing w:after="0"/>
              <w:rPr>
                <w:sz w:val="20"/>
                <w:szCs w:val="20"/>
                <w:color w:val="auto"/>
              </w:rPr>
            </w:pPr>
            <w:r>
              <w:rPr>
                <w:rFonts w:ascii="Arial" w:cs="Arial" w:eastAsia="Arial" w:hAnsi="Arial"/>
                <w:sz w:val="16"/>
                <w:szCs w:val="16"/>
                <w:b w:val="1"/>
                <w:bCs w:val="1"/>
                <w:color w:val="00001A"/>
              </w:rPr>
              <w:t>John Mazarakis</w:t>
            </w:r>
          </w:p>
        </w:tc>
        <w:tc>
          <w:tcPr>
            <w:tcW w:w="3560" w:type="dxa"/>
            <w:vAlign w:val="bottom"/>
          </w:tcPr>
          <w:p>
            <w:pPr>
              <w:ind w:left="420"/>
              <w:spacing w:after="0"/>
              <w:rPr>
                <w:sz w:val="20"/>
                <w:szCs w:val="20"/>
                <w:color w:val="auto"/>
              </w:rPr>
            </w:pPr>
            <w:r>
              <w:rPr>
                <w:rFonts w:ascii="Arial" w:cs="Arial" w:eastAsia="Arial" w:hAnsi="Arial"/>
                <w:sz w:val="16"/>
                <w:szCs w:val="16"/>
                <w:b w:val="1"/>
                <w:bCs w:val="1"/>
                <w:color w:val="00001A"/>
              </w:rPr>
              <w:t>John Mazarakis</w:t>
            </w:r>
          </w:p>
        </w:tc>
        <w:tc>
          <w:tcPr>
            <w:tcW w:w="0" w:type="dxa"/>
            <w:vAlign w:val="bottom"/>
          </w:tcPr>
          <w:p>
            <w:pPr>
              <w:spacing w:after="0"/>
              <w:rPr>
                <w:sz w:val="1"/>
                <w:szCs w:val="1"/>
                <w:color w:val="auto"/>
              </w:rPr>
            </w:pPr>
          </w:p>
        </w:tc>
      </w:tr>
      <w:tr>
        <w:trPr>
          <w:trHeight w:val="206"/>
        </w:trPr>
        <w:tc>
          <w:tcPr>
            <w:tcW w:w="3140" w:type="dxa"/>
            <w:vAlign w:val="bottom"/>
          </w:tcPr>
          <w:p>
            <w:pPr>
              <w:spacing w:after="0"/>
              <w:rPr>
                <w:sz w:val="20"/>
                <w:szCs w:val="20"/>
                <w:color w:val="auto"/>
              </w:rPr>
            </w:pPr>
            <w:r>
              <w:rPr>
                <w:rFonts w:ascii="Arial" w:cs="Arial" w:eastAsia="Arial" w:hAnsi="Arial"/>
                <w:sz w:val="16"/>
                <w:szCs w:val="16"/>
                <w:i w:val="1"/>
                <w:iCs w:val="1"/>
                <w:color w:val="00001A"/>
              </w:rPr>
              <w:t>Executive Chairman of the Board</w:t>
            </w:r>
          </w:p>
        </w:tc>
        <w:tc>
          <w:tcPr>
            <w:tcW w:w="3560" w:type="dxa"/>
            <w:vAlign w:val="bottom"/>
          </w:tcPr>
          <w:p>
            <w:pPr>
              <w:ind w:left="420"/>
              <w:spacing w:after="0"/>
              <w:rPr>
                <w:sz w:val="20"/>
                <w:szCs w:val="20"/>
                <w:color w:val="auto"/>
              </w:rPr>
            </w:pPr>
            <w:r>
              <w:rPr>
                <w:rFonts w:ascii="Arial" w:cs="Arial" w:eastAsia="Arial" w:hAnsi="Arial"/>
                <w:sz w:val="16"/>
                <w:szCs w:val="16"/>
                <w:i w:val="1"/>
                <w:iCs w:val="1"/>
                <w:color w:val="00001A"/>
              </w:rPr>
              <w:t>Executive Chairman of the Board</w:t>
            </w:r>
          </w:p>
        </w:tc>
        <w:tc>
          <w:tcPr>
            <w:tcW w:w="0" w:type="dxa"/>
            <w:vAlign w:val="bottom"/>
          </w:tcPr>
          <w:p>
            <w:pPr>
              <w:spacing w:after="0"/>
              <w:rPr>
                <w:sz w:val="1"/>
                <w:szCs w:val="1"/>
                <w:color w:val="auto"/>
              </w:rPr>
            </w:pPr>
          </w:p>
        </w:tc>
      </w:tr>
      <w:tr>
        <w:trPr>
          <w:trHeight w:val="334"/>
        </w:trPr>
        <w:tc>
          <w:tcPr>
            <w:tcW w:w="3140" w:type="dxa"/>
            <w:vAlign w:val="bottom"/>
          </w:tcPr>
          <w:p>
            <w:pPr>
              <w:spacing w:after="0"/>
              <w:rPr>
                <w:sz w:val="20"/>
                <w:szCs w:val="20"/>
                <w:color w:val="auto"/>
              </w:rPr>
            </w:pPr>
            <w:r>
              <w:rPr>
                <w:rFonts w:ascii="Arial" w:cs="Arial" w:eastAsia="Arial" w:hAnsi="Arial"/>
                <w:sz w:val="16"/>
                <w:szCs w:val="16"/>
                <w:b w:val="1"/>
                <w:bCs w:val="1"/>
                <w:color w:val="00001A"/>
              </w:rPr>
              <w:t>Anthony Cappell</w:t>
            </w:r>
          </w:p>
        </w:tc>
        <w:tc>
          <w:tcPr>
            <w:tcW w:w="3560" w:type="dxa"/>
            <w:vAlign w:val="bottom"/>
          </w:tcPr>
          <w:p>
            <w:pPr>
              <w:ind w:left="420"/>
              <w:spacing w:after="0"/>
              <w:rPr>
                <w:sz w:val="20"/>
                <w:szCs w:val="20"/>
                <w:color w:val="auto"/>
              </w:rPr>
            </w:pPr>
            <w:r>
              <w:rPr>
                <w:rFonts w:ascii="Arial" w:cs="Arial" w:eastAsia="Arial" w:hAnsi="Arial"/>
                <w:sz w:val="16"/>
                <w:szCs w:val="16"/>
                <w:b w:val="1"/>
                <w:bCs w:val="1"/>
                <w:color w:val="00001A"/>
              </w:rPr>
              <w:t>Anthony Cappell</w:t>
            </w:r>
          </w:p>
        </w:tc>
        <w:tc>
          <w:tcPr>
            <w:tcW w:w="0" w:type="dxa"/>
            <w:vAlign w:val="bottom"/>
          </w:tcPr>
          <w:p>
            <w:pPr>
              <w:spacing w:after="0"/>
              <w:rPr>
                <w:sz w:val="1"/>
                <w:szCs w:val="1"/>
                <w:color w:val="auto"/>
              </w:rPr>
            </w:pPr>
          </w:p>
        </w:tc>
      </w:tr>
      <w:tr>
        <w:trPr>
          <w:trHeight w:val="206"/>
        </w:trPr>
        <w:tc>
          <w:tcPr>
            <w:tcW w:w="3140" w:type="dxa"/>
            <w:vAlign w:val="bottom"/>
          </w:tcPr>
          <w:p>
            <w:pPr>
              <w:spacing w:after="0"/>
              <w:rPr>
                <w:sz w:val="20"/>
                <w:szCs w:val="20"/>
                <w:color w:val="auto"/>
              </w:rPr>
            </w:pPr>
            <w:r>
              <w:rPr>
                <w:rFonts w:ascii="Arial" w:cs="Arial" w:eastAsia="Arial" w:hAnsi="Arial"/>
                <w:sz w:val="16"/>
                <w:szCs w:val="16"/>
                <w:i w:val="1"/>
                <w:iCs w:val="1"/>
                <w:color w:val="00001A"/>
              </w:rPr>
              <w:t>Co-Chief Executive Officer</w:t>
            </w:r>
          </w:p>
        </w:tc>
        <w:tc>
          <w:tcPr>
            <w:tcW w:w="3560" w:type="dxa"/>
            <w:vAlign w:val="bottom"/>
          </w:tcPr>
          <w:p>
            <w:pPr>
              <w:ind w:left="420"/>
              <w:spacing w:after="0"/>
              <w:rPr>
                <w:sz w:val="20"/>
                <w:szCs w:val="20"/>
                <w:color w:val="auto"/>
              </w:rPr>
            </w:pPr>
            <w:r>
              <w:rPr>
                <w:rFonts w:ascii="Arial" w:cs="Arial" w:eastAsia="Arial" w:hAnsi="Arial"/>
                <w:sz w:val="16"/>
                <w:szCs w:val="16"/>
                <w:i w:val="1"/>
                <w:iCs w:val="1"/>
                <w:color w:val="00001A"/>
              </w:rPr>
              <w:t>Co-Chief Executive Officer</w:t>
            </w:r>
          </w:p>
        </w:tc>
        <w:tc>
          <w:tcPr>
            <w:tcW w:w="0" w:type="dxa"/>
            <w:vAlign w:val="bottom"/>
          </w:tcPr>
          <w:p>
            <w:pPr>
              <w:spacing w:after="0"/>
              <w:rPr>
                <w:sz w:val="1"/>
                <w:szCs w:val="1"/>
                <w:color w:val="auto"/>
              </w:rPr>
            </w:pPr>
          </w:p>
        </w:tc>
      </w:tr>
      <w:tr>
        <w:trPr>
          <w:trHeight w:val="334"/>
        </w:trPr>
        <w:tc>
          <w:tcPr>
            <w:tcW w:w="3140" w:type="dxa"/>
            <w:vAlign w:val="bottom"/>
          </w:tcPr>
          <w:p>
            <w:pPr>
              <w:spacing w:after="0"/>
              <w:rPr>
                <w:sz w:val="20"/>
                <w:szCs w:val="20"/>
                <w:color w:val="auto"/>
              </w:rPr>
            </w:pPr>
            <w:r>
              <w:rPr>
                <w:rFonts w:ascii="Arial" w:cs="Arial" w:eastAsia="Arial" w:hAnsi="Arial"/>
                <w:sz w:val="16"/>
                <w:szCs w:val="16"/>
                <w:b w:val="1"/>
                <w:bCs w:val="1"/>
                <w:color w:val="00001A"/>
              </w:rPr>
              <w:t>Jason Papastavrou, Ph.D</w:t>
            </w:r>
          </w:p>
        </w:tc>
        <w:tc>
          <w:tcPr>
            <w:tcW w:w="3560" w:type="dxa"/>
            <w:vAlign w:val="bottom"/>
          </w:tcPr>
          <w:p>
            <w:pPr>
              <w:ind w:left="420"/>
              <w:spacing w:after="0"/>
              <w:rPr>
                <w:sz w:val="20"/>
                <w:szCs w:val="20"/>
                <w:color w:val="auto"/>
              </w:rPr>
            </w:pPr>
            <w:r>
              <w:rPr>
                <w:rFonts w:ascii="Arial" w:cs="Arial" w:eastAsia="Arial" w:hAnsi="Arial"/>
                <w:sz w:val="16"/>
                <w:szCs w:val="16"/>
                <w:b w:val="1"/>
                <w:bCs w:val="1"/>
                <w:color w:val="00001A"/>
              </w:rPr>
              <w:t>Peter Sack</w:t>
            </w:r>
          </w:p>
        </w:tc>
        <w:tc>
          <w:tcPr>
            <w:tcW w:w="0" w:type="dxa"/>
            <w:vAlign w:val="bottom"/>
          </w:tcPr>
          <w:p>
            <w:pPr>
              <w:spacing w:after="0"/>
              <w:rPr>
                <w:sz w:val="1"/>
                <w:szCs w:val="1"/>
                <w:color w:val="auto"/>
              </w:rPr>
            </w:pPr>
          </w:p>
        </w:tc>
      </w:tr>
      <w:tr>
        <w:trPr>
          <w:trHeight w:val="206"/>
        </w:trPr>
        <w:tc>
          <w:tcPr>
            <w:tcW w:w="3140" w:type="dxa"/>
            <w:vAlign w:val="bottom"/>
          </w:tcPr>
          <w:p>
            <w:pPr>
              <w:spacing w:after="0"/>
              <w:rPr>
                <w:sz w:val="20"/>
                <w:szCs w:val="20"/>
                <w:color w:val="auto"/>
              </w:rPr>
            </w:pPr>
            <w:r>
              <w:rPr>
                <w:rFonts w:ascii="Arial" w:cs="Arial" w:eastAsia="Arial" w:hAnsi="Arial"/>
                <w:sz w:val="16"/>
                <w:szCs w:val="16"/>
                <w:i w:val="1"/>
                <w:iCs w:val="1"/>
                <w:color w:val="00001A"/>
              </w:rPr>
              <w:t>Lead Independent Director</w:t>
            </w:r>
          </w:p>
        </w:tc>
        <w:tc>
          <w:tcPr>
            <w:tcW w:w="3560" w:type="dxa"/>
            <w:vAlign w:val="bottom"/>
          </w:tcPr>
          <w:p>
            <w:pPr>
              <w:ind w:left="420"/>
              <w:spacing w:after="0"/>
              <w:rPr>
                <w:sz w:val="20"/>
                <w:szCs w:val="20"/>
                <w:color w:val="auto"/>
              </w:rPr>
            </w:pPr>
            <w:r>
              <w:rPr>
                <w:rFonts w:ascii="Arial" w:cs="Arial" w:eastAsia="Arial" w:hAnsi="Arial"/>
                <w:sz w:val="16"/>
                <w:szCs w:val="16"/>
                <w:i w:val="1"/>
                <w:iCs w:val="1"/>
                <w:color w:val="00001A"/>
              </w:rPr>
              <w:t>Co-Chief Executive Officer</w:t>
            </w:r>
          </w:p>
        </w:tc>
        <w:tc>
          <w:tcPr>
            <w:tcW w:w="0" w:type="dxa"/>
            <w:vAlign w:val="bottom"/>
          </w:tcPr>
          <w:p>
            <w:pPr>
              <w:spacing w:after="0"/>
              <w:rPr>
                <w:sz w:val="1"/>
                <w:szCs w:val="1"/>
                <w:color w:val="auto"/>
              </w:rPr>
            </w:pPr>
          </w:p>
        </w:tc>
      </w:tr>
      <w:tr>
        <w:trPr>
          <w:trHeight w:val="334"/>
        </w:trPr>
        <w:tc>
          <w:tcPr>
            <w:tcW w:w="3140" w:type="dxa"/>
            <w:vAlign w:val="bottom"/>
          </w:tcPr>
          <w:p>
            <w:pPr>
              <w:spacing w:after="0"/>
              <w:rPr>
                <w:sz w:val="20"/>
                <w:szCs w:val="20"/>
                <w:color w:val="auto"/>
              </w:rPr>
            </w:pPr>
            <w:r>
              <w:rPr>
                <w:rFonts w:ascii="Arial" w:cs="Arial" w:eastAsia="Arial" w:hAnsi="Arial"/>
                <w:sz w:val="16"/>
                <w:szCs w:val="16"/>
                <w:b w:val="1"/>
                <w:bCs w:val="1"/>
                <w:color w:val="00001A"/>
              </w:rPr>
              <w:t>Elizabeth Stavola</w:t>
            </w:r>
          </w:p>
        </w:tc>
        <w:tc>
          <w:tcPr>
            <w:tcW w:w="3560" w:type="dxa"/>
            <w:vAlign w:val="bottom"/>
          </w:tcPr>
          <w:p>
            <w:pPr>
              <w:ind w:left="420"/>
              <w:spacing w:after="0"/>
              <w:rPr>
                <w:sz w:val="20"/>
                <w:szCs w:val="20"/>
                <w:color w:val="auto"/>
              </w:rPr>
            </w:pPr>
            <w:r>
              <w:rPr>
                <w:rFonts w:ascii="Arial" w:cs="Arial" w:eastAsia="Arial" w:hAnsi="Arial"/>
                <w:sz w:val="16"/>
                <w:szCs w:val="16"/>
                <w:b w:val="1"/>
                <w:bCs w:val="1"/>
                <w:color w:val="00001A"/>
              </w:rPr>
              <w:t>David Kite</w:t>
            </w:r>
          </w:p>
        </w:tc>
        <w:tc>
          <w:tcPr>
            <w:tcW w:w="0" w:type="dxa"/>
            <w:vAlign w:val="bottom"/>
          </w:tcPr>
          <w:p>
            <w:pPr>
              <w:spacing w:after="0"/>
              <w:rPr>
                <w:sz w:val="1"/>
                <w:szCs w:val="1"/>
                <w:color w:val="auto"/>
              </w:rPr>
            </w:pPr>
          </w:p>
        </w:tc>
      </w:tr>
      <w:tr>
        <w:trPr>
          <w:trHeight w:val="206"/>
        </w:trPr>
        <w:tc>
          <w:tcPr>
            <w:tcW w:w="3140" w:type="dxa"/>
            <w:vAlign w:val="bottom"/>
          </w:tcPr>
          <w:p>
            <w:pPr>
              <w:spacing w:after="0"/>
              <w:rPr>
                <w:sz w:val="20"/>
                <w:szCs w:val="20"/>
                <w:color w:val="auto"/>
              </w:rPr>
            </w:pPr>
            <w:r>
              <w:rPr>
                <w:rFonts w:ascii="Arial" w:cs="Arial" w:eastAsia="Arial" w:hAnsi="Arial"/>
                <w:sz w:val="16"/>
                <w:szCs w:val="16"/>
                <w:i w:val="1"/>
                <w:iCs w:val="1"/>
                <w:color w:val="00001A"/>
              </w:rPr>
              <w:t>Independent Director</w:t>
            </w:r>
          </w:p>
        </w:tc>
        <w:tc>
          <w:tcPr>
            <w:tcW w:w="3560" w:type="dxa"/>
            <w:vAlign w:val="bottom"/>
          </w:tcPr>
          <w:p>
            <w:pPr>
              <w:ind w:left="420"/>
              <w:spacing w:after="0"/>
              <w:rPr>
                <w:sz w:val="20"/>
                <w:szCs w:val="20"/>
                <w:color w:val="auto"/>
              </w:rPr>
            </w:pPr>
            <w:r>
              <w:rPr>
                <w:rFonts w:ascii="Arial" w:cs="Arial" w:eastAsia="Arial" w:hAnsi="Arial"/>
                <w:sz w:val="16"/>
                <w:szCs w:val="16"/>
                <w:i w:val="1"/>
                <w:iCs w:val="1"/>
                <w:color w:val="00001A"/>
              </w:rPr>
              <w:t>Chief Operating Officer</w:t>
            </w:r>
          </w:p>
        </w:tc>
        <w:tc>
          <w:tcPr>
            <w:tcW w:w="0" w:type="dxa"/>
            <w:vAlign w:val="bottom"/>
          </w:tcPr>
          <w:p>
            <w:pPr>
              <w:spacing w:after="0"/>
              <w:rPr>
                <w:sz w:val="1"/>
                <w:szCs w:val="1"/>
                <w:color w:val="auto"/>
              </w:rPr>
            </w:pPr>
          </w:p>
        </w:tc>
      </w:tr>
      <w:tr>
        <w:trPr>
          <w:trHeight w:val="334"/>
        </w:trPr>
        <w:tc>
          <w:tcPr>
            <w:tcW w:w="3140" w:type="dxa"/>
            <w:vAlign w:val="bottom"/>
          </w:tcPr>
          <w:p>
            <w:pPr>
              <w:spacing w:after="0"/>
              <w:rPr>
                <w:sz w:val="20"/>
                <w:szCs w:val="20"/>
                <w:color w:val="auto"/>
              </w:rPr>
            </w:pPr>
            <w:r>
              <w:rPr>
                <w:rFonts w:ascii="Arial" w:cs="Arial" w:eastAsia="Arial" w:hAnsi="Arial"/>
                <w:sz w:val="16"/>
                <w:szCs w:val="16"/>
                <w:b w:val="1"/>
                <w:bCs w:val="1"/>
                <w:color w:val="00001A"/>
              </w:rPr>
              <w:t>Brandon Konigsberg</w:t>
            </w:r>
          </w:p>
        </w:tc>
        <w:tc>
          <w:tcPr>
            <w:tcW w:w="3560" w:type="dxa"/>
            <w:vAlign w:val="bottom"/>
          </w:tcPr>
          <w:p>
            <w:pPr>
              <w:ind w:left="420"/>
              <w:spacing w:after="0"/>
              <w:rPr>
                <w:sz w:val="20"/>
                <w:szCs w:val="20"/>
                <w:color w:val="auto"/>
              </w:rPr>
            </w:pPr>
            <w:r>
              <w:rPr>
                <w:rFonts w:ascii="Arial" w:cs="Arial" w:eastAsia="Arial" w:hAnsi="Arial"/>
                <w:sz w:val="16"/>
                <w:szCs w:val="16"/>
                <w:b w:val="1"/>
                <w:bCs w:val="1"/>
                <w:color w:val="00001A"/>
              </w:rPr>
              <w:t>Phil Silverman</w:t>
            </w:r>
          </w:p>
        </w:tc>
        <w:tc>
          <w:tcPr>
            <w:tcW w:w="0" w:type="dxa"/>
            <w:vAlign w:val="bottom"/>
          </w:tcPr>
          <w:p>
            <w:pPr>
              <w:spacing w:after="0"/>
              <w:rPr>
                <w:sz w:val="1"/>
                <w:szCs w:val="1"/>
                <w:color w:val="auto"/>
              </w:rPr>
            </w:pPr>
          </w:p>
        </w:tc>
      </w:tr>
      <w:tr>
        <w:trPr>
          <w:trHeight w:val="206"/>
        </w:trPr>
        <w:tc>
          <w:tcPr>
            <w:tcW w:w="3140" w:type="dxa"/>
            <w:vAlign w:val="bottom"/>
          </w:tcPr>
          <w:p>
            <w:pPr>
              <w:spacing w:after="0"/>
              <w:rPr>
                <w:sz w:val="20"/>
                <w:szCs w:val="20"/>
                <w:color w:val="auto"/>
              </w:rPr>
            </w:pPr>
            <w:r>
              <w:rPr>
                <w:rFonts w:ascii="Arial" w:cs="Arial" w:eastAsia="Arial" w:hAnsi="Arial"/>
                <w:sz w:val="16"/>
                <w:szCs w:val="16"/>
                <w:i w:val="1"/>
                <w:iCs w:val="1"/>
                <w:color w:val="00001A"/>
              </w:rPr>
              <w:t>Independent Director</w:t>
            </w:r>
          </w:p>
        </w:tc>
        <w:tc>
          <w:tcPr>
            <w:tcW w:w="3560" w:type="dxa"/>
            <w:vAlign w:val="bottom"/>
          </w:tcPr>
          <w:p>
            <w:pPr>
              <w:ind w:left="420"/>
              <w:spacing w:after="0"/>
              <w:rPr>
                <w:sz w:val="20"/>
                <w:szCs w:val="20"/>
                <w:color w:val="auto"/>
              </w:rPr>
            </w:pPr>
            <w:r>
              <w:rPr>
                <w:rFonts w:ascii="Arial" w:cs="Arial" w:eastAsia="Arial" w:hAnsi="Arial"/>
                <w:sz w:val="16"/>
                <w:szCs w:val="16"/>
                <w:i w:val="1"/>
                <w:iCs w:val="1"/>
                <w:color w:val="00001A"/>
              </w:rPr>
              <w:t>Chief Financial Officer &amp; Secretary</w:t>
            </w:r>
          </w:p>
        </w:tc>
        <w:tc>
          <w:tcPr>
            <w:tcW w:w="0" w:type="dxa"/>
            <w:vAlign w:val="bottom"/>
          </w:tcPr>
          <w:p>
            <w:pPr>
              <w:spacing w:after="0"/>
              <w:rPr>
                <w:sz w:val="1"/>
                <w:szCs w:val="1"/>
                <w:color w:val="auto"/>
              </w:rPr>
            </w:pPr>
          </w:p>
        </w:tc>
      </w:tr>
      <w:tr>
        <w:trPr>
          <w:trHeight w:val="334"/>
        </w:trPr>
        <w:tc>
          <w:tcPr>
            <w:tcW w:w="3140" w:type="dxa"/>
            <w:vAlign w:val="bottom"/>
          </w:tcPr>
          <w:p>
            <w:pPr>
              <w:spacing w:after="0"/>
              <w:rPr>
                <w:sz w:val="20"/>
                <w:szCs w:val="20"/>
                <w:color w:val="auto"/>
              </w:rPr>
            </w:pPr>
            <w:r>
              <w:rPr>
                <w:rFonts w:ascii="Arial" w:cs="Arial" w:eastAsia="Arial" w:hAnsi="Arial"/>
                <w:sz w:val="16"/>
                <w:szCs w:val="16"/>
                <w:b w:val="1"/>
                <w:bCs w:val="1"/>
                <w:color w:val="00001A"/>
              </w:rPr>
              <w:t>Peter Sack</w:t>
            </w:r>
          </w:p>
        </w:tc>
        <w:tc>
          <w:tcPr>
            <w:tcW w:w="3560" w:type="dxa"/>
            <w:vAlign w:val="bottom"/>
            <w:vMerge w:val="restart"/>
          </w:tcPr>
          <w:p>
            <w:pPr>
              <w:ind w:left="420"/>
              <w:spacing w:after="0"/>
              <w:rPr>
                <w:sz w:val="20"/>
                <w:szCs w:val="20"/>
                <w:color w:val="auto"/>
              </w:rPr>
            </w:pPr>
            <w:r>
              <w:rPr>
                <w:rFonts w:ascii="Arial" w:cs="Arial" w:eastAsia="Arial" w:hAnsi="Arial"/>
                <w:sz w:val="16"/>
                <w:szCs w:val="16"/>
                <w:b w:val="1"/>
                <w:bCs w:val="1"/>
                <w:color w:val="00001A"/>
              </w:rPr>
              <w:t>CORPORATE HEADQUARTERS</w:t>
            </w:r>
          </w:p>
        </w:tc>
        <w:tc>
          <w:tcPr>
            <w:tcW w:w="0" w:type="dxa"/>
            <w:vAlign w:val="bottom"/>
          </w:tcPr>
          <w:p>
            <w:pPr>
              <w:spacing w:after="0"/>
              <w:rPr>
                <w:sz w:val="1"/>
                <w:szCs w:val="1"/>
                <w:color w:val="auto"/>
              </w:rPr>
            </w:pPr>
          </w:p>
        </w:tc>
      </w:tr>
      <w:tr>
        <w:trPr>
          <w:trHeight w:val="128"/>
        </w:trPr>
        <w:tc>
          <w:tcPr>
            <w:tcW w:w="3140" w:type="dxa"/>
            <w:vAlign w:val="bottom"/>
            <w:vMerge w:val="restart"/>
          </w:tcPr>
          <w:p>
            <w:pPr>
              <w:spacing w:after="0"/>
              <w:rPr>
                <w:sz w:val="20"/>
                <w:szCs w:val="20"/>
                <w:color w:val="auto"/>
              </w:rPr>
            </w:pPr>
            <w:r>
              <w:rPr>
                <w:rFonts w:ascii="Arial" w:cs="Arial" w:eastAsia="Arial" w:hAnsi="Arial"/>
                <w:sz w:val="16"/>
                <w:szCs w:val="16"/>
                <w:i w:val="1"/>
                <w:iCs w:val="1"/>
                <w:color w:val="00001A"/>
              </w:rPr>
              <w:t>Co-Chief Executive Officer</w:t>
            </w:r>
          </w:p>
        </w:tc>
        <w:tc>
          <w:tcPr>
            <w:tcW w:w="3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14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140" w:type="dxa"/>
            <w:vAlign w:val="bottom"/>
            <w:vMerge w:val="restart"/>
          </w:tcPr>
          <w:p>
            <w:pPr>
              <w:spacing w:after="0"/>
              <w:rPr>
                <w:sz w:val="20"/>
                <w:szCs w:val="20"/>
                <w:color w:val="auto"/>
              </w:rPr>
            </w:pPr>
            <w:r>
              <w:rPr>
                <w:rFonts w:ascii="Arial" w:cs="Arial" w:eastAsia="Arial" w:hAnsi="Arial"/>
                <w:sz w:val="16"/>
                <w:szCs w:val="16"/>
                <w:b w:val="1"/>
                <w:bCs w:val="1"/>
                <w:color w:val="00001A"/>
              </w:rPr>
              <w:t>Michael Steiner</w:t>
            </w:r>
          </w:p>
        </w:tc>
        <w:tc>
          <w:tcPr>
            <w:tcW w:w="3560" w:type="dxa"/>
            <w:vAlign w:val="bottom"/>
          </w:tcPr>
          <w:p>
            <w:pPr>
              <w:ind w:left="420"/>
              <w:spacing w:after="0"/>
              <w:rPr>
                <w:sz w:val="20"/>
                <w:szCs w:val="20"/>
                <w:color w:val="auto"/>
              </w:rPr>
            </w:pPr>
            <w:r>
              <w:rPr>
                <w:rFonts w:ascii="Arial" w:cs="Arial" w:eastAsia="Arial" w:hAnsi="Arial"/>
                <w:sz w:val="16"/>
                <w:szCs w:val="16"/>
                <w:color w:val="00001A"/>
              </w:rPr>
              <w:t>Chicago Atlantic Real Estate Finance, Inc.</w:t>
            </w:r>
          </w:p>
        </w:tc>
        <w:tc>
          <w:tcPr>
            <w:tcW w:w="0" w:type="dxa"/>
            <w:vAlign w:val="bottom"/>
          </w:tcPr>
          <w:p>
            <w:pPr>
              <w:spacing w:after="0"/>
              <w:rPr>
                <w:sz w:val="1"/>
                <w:szCs w:val="1"/>
                <w:color w:val="auto"/>
              </w:rPr>
            </w:pPr>
          </w:p>
        </w:tc>
      </w:tr>
      <w:tr>
        <w:trPr>
          <w:trHeight w:val="124"/>
        </w:trPr>
        <w:tc>
          <w:tcPr>
            <w:tcW w:w="3140" w:type="dxa"/>
            <w:vAlign w:val="bottom"/>
            <w:vMerge w:val="continue"/>
          </w:tcPr>
          <w:p>
            <w:pPr>
              <w:spacing w:after="0"/>
              <w:rPr>
                <w:sz w:val="10"/>
                <w:szCs w:val="10"/>
                <w:color w:val="auto"/>
              </w:rPr>
            </w:pPr>
          </w:p>
        </w:tc>
        <w:tc>
          <w:tcPr>
            <w:tcW w:w="3560" w:type="dxa"/>
            <w:vAlign w:val="bottom"/>
            <w:vMerge w:val="restart"/>
          </w:tcPr>
          <w:p>
            <w:pPr>
              <w:ind w:left="420"/>
              <w:spacing w:after="0"/>
              <w:rPr>
                <w:sz w:val="20"/>
                <w:szCs w:val="20"/>
                <w:color w:val="auto"/>
              </w:rPr>
            </w:pPr>
            <w:r>
              <w:rPr>
                <w:rFonts w:ascii="Arial" w:cs="Arial" w:eastAsia="Arial" w:hAnsi="Arial"/>
                <w:sz w:val="16"/>
                <w:szCs w:val="16"/>
                <w:color w:val="00001A"/>
              </w:rPr>
              <w:t>1680 Michigan Ave, Suite 700</w:t>
            </w:r>
          </w:p>
        </w:tc>
        <w:tc>
          <w:tcPr>
            <w:tcW w:w="0" w:type="dxa"/>
            <w:vAlign w:val="bottom"/>
          </w:tcPr>
          <w:p>
            <w:pPr>
              <w:spacing w:after="0"/>
              <w:rPr>
                <w:sz w:val="1"/>
                <w:szCs w:val="1"/>
                <w:color w:val="auto"/>
              </w:rPr>
            </w:pPr>
          </w:p>
        </w:tc>
      </w:tr>
      <w:tr>
        <w:trPr>
          <w:trHeight w:val="96"/>
        </w:trPr>
        <w:tc>
          <w:tcPr>
            <w:tcW w:w="3140" w:type="dxa"/>
            <w:vAlign w:val="bottom"/>
            <w:vMerge w:val="restart"/>
          </w:tcPr>
          <w:p>
            <w:pPr>
              <w:spacing w:after="0"/>
              <w:rPr>
                <w:sz w:val="20"/>
                <w:szCs w:val="20"/>
                <w:color w:val="auto"/>
              </w:rPr>
            </w:pPr>
            <w:r>
              <w:rPr>
                <w:rFonts w:ascii="Arial" w:cs="Arial" w:eastAsia="Arial" w:hAnsi="Arial"/>
                <w:sz w:val="16"/>
                <w:szCs w:val="16"/>
                <w:i w:val="1"/>
                <w:iCs w:val="1"/>
                <w:color w:val="00001A"/>
              </w:rPr>
              <w:t>Independent Director</w:t>
            </w:r>
          </w:p>
        </w:tc>
        <w:tc>
          <w:tcPr>
            <w:tcW w:w="3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140" w:type="dxa"/>
            <w:vAlign w:val="bottom"/>
            <w:vMerge w:val="continue"/>
          </w:tcPr>
          <w:p>
            <w:pPr>
              <w:spacing w:after="0"/>
              <w:rPr>
                <w:sz w:val="9"/>
                <w:szCs w:val="9"/>
                <w:color w:val="auto"/>
              </w:rPr>
            </w:pPr>
          </w:p>
        </w:tc>
        <w:tc>
          <w:tcPr>
            <w:tcW w:w="3560" w:type="dxa"/>
            <w:vAlign w:val="bottom"/>
            <w:vMerge w:val="restart"/>
          </w:tcPr>
          <w:p>
            <w:pPr>
              <w:ind w:left="420"/>
              <w:spacing w:after="0"/>
              <w:rPr>
                <w:sz w:val="20"/>
                <w:szCs w:val="20"/>
                <w:color w:val="auto"/>
              </w:rPr>
            </w:pPr>
            <w:r>
              <w:rPr>
                <w:rFonts w:ascii="Arial" w:cs="Arial" w:eastAsia="Arial" w:hAnsi="Arial"/>
                <w:sz w:val="16"/>
                <w:szCs w:val="16"/>
                <w:color w:val="00001A"/>
              </w:rPr>
              <w:t>Miami Beach, FL 33139</w:t>
            </w:r>
          </w:p>
        </w:tc>
        <w:tc>
          <w:tcPr>
            <w:tcW w:w="0" w:type="dxa"/>
            <w:vAlign w:val="bottom"/>
          </w:tcPr>
          <w:p>
            <w:pPr>
              <w:spacing w:after="0"/>
              <w:rPr>
                <w:sz w:val="1"/>
                <w:szCs w:val="1"/>
                <w:color w:val="auto"/>
              </w:rPr>
            </w:pPr>
          </w:p>
        </w:tc>
      </w:tr>
      <w:tr>
        <w:trPr>
          <w:trHeight w:val="110"/>
        </w:trPr>
        <w:tc>
          <w:tcPr>
            <w:tcW w:w="314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3560" w:type="dxa"/>
            <w:vAlign w:val="bottom"/>
          </w:tcPr>
          <w:p>
            <w:pPr>
              <w:ind w:left="420"/>
              <w:spacing w:after="0"/>
              <w:rPr>
                <w:sz w:val="20"/>
                <w:szCs w:val="20"/>
                <w:color w:val="auto"/>
              </w:rPr>
            </w:pPr>
            <w:r>
              <w:rPr>
                <w:rFonts w:ascii="Arial" w:cs="Arial" w:eastAsia="Arial" w:hAnsi="Arial"/>
                <w:sz w:val="16"/>
                <w:szCs w:val="16"/>
                <w:color w:val="00001A"/>
              </w:rPr>
              <w:t>IR@REFI.reit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1280"/>
        <w:spacing w:after="0" w:line="271" w:lineRule="auto"/>
        <w:rPr>
          <w:sz w:val="20"/>
          <w:szCs w:val="20"/>
          <w:color w:val="auto"/>
        </w:rPr>
      </w:pPr>
      <w:r>
        <w:rPr>
          <w:rFonts w:ascii="Arial" w:cs="Arial" w:eastAsia="Arial" w:hAnsi="Arial"/>
          <w:sz w:val="16"/>
          <w:szCs w:val="16"/>
          <w:b w:val="1"/>
          <w:bCs w:val="1"/>
          <w:color w:val="00001A"/>
        </w:rPr>
        <w:t>ANNUAL MEETING OF SHAREHOLDERS</w:t>
      </w:r>
    </w:p>
    <w:p>
      <w:pPr>
        <w:spacing w:after="0" w:line="58" w:lineRule="exact"/>
        <w:rPr>
          <w:sz w:val="20"/>
          <w:szCs w:val="20"/>
          <w:color w:val="auto"/>
        </w:rPr>
      </w:pPr>
    </w:p>
    <w:p>
      <w:pPr>
        <w:spacing w:after="0" w:line="290" w:lineRule="auto"/>
        <w:rPr>
          <w:sz w:val="20"/>
          <w:szCs w:val="20"/>
          <w:color w:val="auto"/>
        </w:rPr>
      </w:pPr>
      <w:r>
        <w:rPr>
          <w:rFonts w:ascii="Arial" w:cs="Arial" w:eastAsia="Arial" w:hAnsi="Arial"/>
          <w:sz w:val="16"/>
          <w:szCs w:val="16"/>
          <w:color w:val="00001A"/>
        </w:rPr>
        <w:t>Chicago Atlantic Real Estate Finance Inc.’s Annual Meeting of Shareholders will be held at 10:00 a.m. CST on June 11, 2026, at 420 North Wabash Avenue, Suite 500, Chicago, IL 60611. Proxy materials or a copy of the Company’s Annual Report on Form 10-K, which is filed with the Securities and Exchange Commission, are available free of charge on our website or upon written request to Investor Relations: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00001A"/>
        </w:rPr>
        <w:t>Investor Relations</w:t>
      </w:r>
    </w:p>
    <w:p>
      <w:pPr>
        <w:spacing w:after="0" w:line="40" w:lineRule="exact"/>
        <w:rPr>
          <w:sz w:val="20"/>
          <w:szCs w:val="20"/>
          <w:color w:val="auto"/>
        </w:rPr>
      </w:pPr>
    </w:p>
    <w:p>
      <w:pPr>
        <w:spacing w:after="0" w:line="286" w:lineRule="auto"/>
        <w:rPr>
          <w:sz w:val="20"/>
          <w:szCs w:val="20"/>
          <w:color w:val="auto"/>
        </w:rPr>
      </w:pPr>
      <w:r>
        <w:rPr>
          <w:rFonts w:ascii="Arial" w:cs="Arial" w:eastAsia="Arial" w:hAnsi="Arial"/>
          <w:sz w:val="16"/>
          <w:szCs w:val="16"/>
          <w:color w:val="00001A"/>
        </w:rPr>
        <w:t>Chicago Atlantic Real Estate Finance, Inc. 1680 Michigan Ave, Suite 700 Miami Beach, FL 33139</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0001A"/>
        </w:rPr>
        <w:t>Or by email request to: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00001A"/>
        </w:rPr>
        <w:t>IR@refi.reit</w:t>
      </w:r>
    </w:p>
    <w:p>
      <w:pPr>
        <w:spacing w:after="0" w:line="272" w:lineRule="exact"/>
        <w:rPr>
          <w:sz w:val="20"/>
          <w:szCs w:val="20"/>
          <w:color w:val="auto"/>
        </w:rPr>
      </w:pPr>
    </w:p>
    <w:p>
      <w:pPr>
        <w:ind w:right="740"/>
        <w:spacing w:after="0" w:line="271" w:lineRule="auto"/>
        <w:rPr>
          <w:sz w:val="20"/>
          <w:szCs w:val="20"/>
          <w:color w:val="auto"/>
        </w:rPr>
      </w:pPr>
      <w:r>
        <w:rPr>
          <w:rFonts w:ascii="Arial" w:cs="Arial" w:eastAsia="Arial" w:hAnsi="Arial"/>
          <w:sz w:val="16"/>
          <w:szCs w:val="16"/>
          <w:b w:val="1"/>
          <w:bCs w:val="1"/>
          <w:color w:val="00001A"/>
        </w:rPr>
        <w:t>INDEPENDENT REGISTERED PUBLIC ACCOUNTING FIRM</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00001A"/>
        </w:rPr>
        <w:t>BDO USA, P.C.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00001A"/>
        </w:rPr>
        <w:t>225 Randolph Street, Suite 22</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00001A"/>
        </w:rPr>
        <w:t>Chicago, IL 60606</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00001A"/>
        </w:rPr>
        <w:t>REGISTRAR AND TRANSFER AGENT</w:t>
      </w:r>
    </w:p>
    <w:p>
      <w:pPr>
        <w:spacing w:after="0" w:line="112"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00001A"/>
        </w:rPr>
        <w:t>Continental Stock Transfer &amp; Trust cstmail@continentalstock.com</w:t>
      </w:r>
    </w:p>
    <w:p>
      <w:pPr>
        <w:spacing w:after="0" w:line="2" w:lineRule="exact"/>
        <w:rPr>
          <w:sz w:val="20"/>
          <w:szCs w:val="20"/>
          <w:color w:val="auto"/>
        </w:rPr>
      </w:pPr>
    </w:p>
    <w:p>
      <w:pPr>
        <w:ind w:right="1320"/>
        <w:spacing w:after="0" w:line="283" w:lineRule="auto"/>
        <w:tabs>
          <w:tab w:leader="none" w:pos="94" w:val="left"/>
        </w:tabs>
        <w:numPr>
          <w:ilvl w:val="0"/>
          <w:numId w:val="82"/>
        </w:numPr>
        <w:rPr>
          <w:rFonts w:ascii="Arial" w:cs="Arial" w:eastAsia="Arial" w:hAnsi="Arial"/>
          <w:sz w:val="16"/>
          <w:szCs w:val="16"/>
          <w:color w:val="00001A"/>
        </w:rPr>
      </w:pPr>
      <w:r>
        <w:rPr>
          <w:rFonts w:ascii="Arial" w:cs="Arial" w:eastAsia="Arial" w:hAnsi="Arial"/>
          <w:sz w:val="16"/>
          <w:szCs w:val="16"/>
          <w:color w:val="00001A"/>
        </w:rPr>
        <w:t>State Street, 30</w:t>
      </w:r>
      <w:r>
        <w:rPr>
          <w:rFonts w:ascii="Arial" w:cs="Arial" w:eastAsia="Arial" w:hAnsi="Arial"/>
          <w:sz w:val="18"/>
          <w:szCs w:val="18"/>
          <w:color w:val="00001A"/>
          <w:vertAlign w:val="superscript"/>
        </w:rPr>
        <w:t>th</w:t>
      </w:r>
      <w:r>
        <w:rPr>
          <w:rFonts w:ascii="Arial" w:cs="Arial" w:eastAsia="Arial" w:hAnsi="Arial"/>
          <w:sz w:val="16"/>
          <w:szCs w:val="16"/>
          <w:color w:val="00001A"/>
        </w:rPr>
        <w:t xml:space="preserve"> Floor New York, NY 10004 (212) 509-4000</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00001A"/>
        </w:rPr>
        <w:t>SHAREHOLDER INQUIRIES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00001A"/>
        </w:rPr>
        <w:t>SCR Partners, LLC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00001A"/>
        </w:rPr>
        <w:t>IR@refi.reit</w:t>
      </w:r>
    </w:p>
    <w:p>
      <w:pPr>
        <w:spacing w:after="0" w:line="200" w:lineRule="exact"/>
        <w:rPr>
          <w:sz w:val="20"/>
          <w:szCs w:val="20"/>
          <w:color w:val="auto"/>
        </w:rPr>
      </w:pPr>
    </w:p>
    <w:p>
      <w:pPr>
        <w:sectPr>
          <w:pgSz w:w="12240" w:h="15840" w:orient="portrait"/>
          <w:cols w:equalWidth="0" w:num="2">
            <w:col w:w="6700" w:space="420"/>
            <w:col w:w="3140"/>
          </w:cols>
          <w:pgMar w:left="960" w:top="1378" w:right="1020" w:bottom="109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00001A"/>
        </w:rPr>
        <w:t>FORWARD LOOKING STATEMENTS</w:t>
      </w:r>
    </w:p>
    <w:p>
      <w:pPr>
        <w:spacing w:after="0" w:line="93" w:lineRule="exact"/>
        <w:rPr>
          <w:sz w:val="20"/>
          <w:szCs w:val="20"/>
          <w:color w:val="auto"/>
        </w:rPr>
      </w:pPr>
    </w:p>
    <w:p>
      <w:pPr>
        <w:spacing w:after="0" w:line="272" w:lineRule="auto"/>
        <w:rPr>
          <w:sz w:val="20"/>
          <w:szCs w:val="20"/>
          <w:color w:val="auto"/>
        </w:rPr>
      </w:pPr>
      <w:r>
        <w:rPr>
          <w:rFonts w:ascii="Arial" w:cs="Arial" w:eastAsia="Arial" w:hAnsi="Arial"/>
          <w:sz w:val="14"/>
          <w:szCs w:val="14"/>
          <w:color w:val="00001A"/>
        </w:rPr>
        <w:t>This annual report contains forward-looking statements within the meaning of the Private Securities Litigation Reform Act of 1995 that reflect our current views and projections with respect to, among other things, future events and financial performance. Words such as “believes,” “expects,” “will,” “intends,” “plans,” “guidance,” “estimates,” “projects,” “anticipates,” and “future,” or similar expressions, are intended to identify forward-looking statements. These forward-looking statements, including statements about our future growth and strategies for such growth, are subject to the inherent uncertainties in predicting future results and conditions and are not guarantees of future performance, conditions, or results. More information on these risks and other potential factors that could affect our business and financial results is included in our filings with the SEC. New risks and uncertainties arise over time, and it is not possible to predict those events or how they may affect us. We do not undertake any obligation to publicly update or revise any forward-looking statements, whether as a result of new information, future events, or otherwise, except as required by law.</w:t>
      </w:r>
    </w:p>
    <w:p>
      <w:pPr>
        <w:sectPr>
          <w:pgSz w:w="12240" w:h="15840" w:orient="portrait"/>
          <w:cols w:equalWidth="0" w:num="1">
            <w:col w:w="10260"/>
          </w:cols>
          <w:pgMar w:left="960" w:top="1378" w:right="1020" w:bottom="1091" w:gutter="0" w:footer="0" w:header="0"/>
          <w:type w:val="continuous"/>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2500" w:right="2500"/>
        <w:spacing w:after="0" w:line="332" w:lineRule="auto"/>
        <w:rPr>
          <w:sz w:val="20"/>
          <w:szCs w:val="20"/>
          <w:color w:val="auto"/>
        </w:rPr>
      </w:pPr>
      <w:r>
        <w:rPr>
          <w:rFonts w:ascii="Arial" w:cs="Arial" w:eastAsia="Arial" w:hAnsi="Arial"/>
          <w:sz w:val="20"/>
          <w:szCs w:val="20"/>
          <w:b w:val="1"/>
          <w:bCs w:val="1"/>
          <w:color w:val="00001A"/>
        </w:rPr>
        <w:t xml:space="preserve">Chicago Atlantic Real Estate Finance, Inc. </w:t>
      </w:r>
      <w:r>
        <w:rPr>
          <w:rFonts w:ascii="Arial" w:cs="Arial" w:eastAsia="Arial" w:hAnsi="Arial"/>
          <w:sz w:val="20"/>
          <w:szCs w:val="20"/>
          <w:color w:val="00001A"/>
        </w:rPr>
        <w:t>1680 Michigan Ave, Suite 700 Miami Beach, FL 33139</w:t>
      </w:r>
    </w:p>
    <w:p>
      <w:pPr>
        <w:spacing w:after="0" w:line="226"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76C7B2"/>
        </w:rPr>
        <w:t>IR@REFI.reit</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O"/>
      <w:numFmt w:val="bullet"/>
      <w:start w:val="1"/>
    </w:lvl>
  </w:abstractNum>
  <w:abstractNum w:abstractNumId="1">
    <w:nsid w:val="70A64E2A"/>
    <w:multiLevelType w:val="hybridMultilevel"/>
    <w:lvl w:ilvl="0">
      <w:lvlJc w:val="left"/>
      <w:lvlText w:val="1"/>
      <w:numFmt w:val="bullet"/>
      <w:start w:val="1"/>
    </w:lvl>
  </w:abstractNum>
  <w:abstractNum w:abstractNumId="2">
    <w:nsid w:val="6A2342EC"/>
    <w:multiLevelType w:val="hybridMultilevel"/>
    <w:lvl w:ilvl="0">
      <w:lvlJc w:val="left"/>
      <w:lvlText w:val="2"/>
      <w:numFmt w:val="bullet"/>
      <w:start w:val="1"/>
    </w:lvl>
  </w:abstractNum>
  <w:abstractNum w:abstractNumId="3">
    <w:nsid w:val="2A487CB0"/>
    <w:multiLevelType w:val="hybridMultilevel"/>
    <w:lvl w:ilvl="0">
      <w:lvlJc w:val="left"/>
      <w:lvlText w:val="3"/>
      <w:numFmt w:val="bullet"/>
      <w:start w:val="1"/>
    </w:lvl>
  </w:abstractNum>
  <w:abstractNum w:abstractNumId="4">
    <w:nsid w:val="1D4ED43B"/>
    <w:multiLevelType w:val="hybridMultilevel"/>
    <w:lvl w:ilvl="0">
      <w:lvlJc w:val="left"/>
      <w:lvlText w:val="4"/>
      <w:numFmt w:val="bullet"/>
      <w:start w:val="1"/>
    </w:lvl>
  </w:abstractNum>
  <w:abstractNum w:abstractNumId="5">
    <w:nsid w:val="725A06FB"/>
    <w:multiLevelType w:val="hybridMultilevel"/>
    <w:lvl w:ilvl="0">
      <w:lvlJc w:val="left"/>
      <w:lvlText w:val="%1"/>
      <w:numFmt w:val="upperLetter"/>
      <w:start w:val="61"/>
    </w:lvl>
  </w:abstractNum>
  <w:abstractNum w:abstractNumId="6">
    <w:nsid w:val="2CD89A32"/>
    <w:multiLevelType w:val="hybridMultilevel"/>
    <w:lvl w:ilvl="0">
      <w:lvlJc w:val="left"/>
      <w:lvlText w:val="ն"/>
      <w:numFmt w:val="bullet"/>
      <w:start w:val="1"/>
    </w:lvl>
    <w:lvl w:ilvl="1">
      <w:lvlJc w:val="left"/>
      <w:lvlText w:val="շ"/>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
      <w:numFmt w:val="bullet"/>
      <w:start w:val="1"/>
    </w:lvl>
    <w:lvl w:ilvl="1">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lvl w:ilvl="1">
      <w:lvlJc w:val="left"/>
      <w:lvlText w:val="(%2)"/>
      <w:numFmt w:val="lowerRoman"/>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1)"/>
      <w:numFmt w:val="lowerLetter"/>
      <w:start w:val="3"/>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1)"/>
      <w:numFmt w:val="lowerRoman"/>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3"/>
    </w:lvl>
  </w:abstractNum>
  <w:abstractNum w:abstractNumId="58">
    <w:nsid w:val="98A3148"/>
    <w:multiLevelType w:val="hybridMultilevel"/>
    <w:lvl w:ilvl="0">
      <w:lvlJc w:val="left"/>
      <w:lvlText w:val="•"/>
      <w:numFmt w:val="bullet"/>
      <w:start w:val="1"/>
    </w:lvl>
    <w:lvl w:ilvl="1">
      <w:lvlJc w:val="left"/>
      <w:lvlText w:val="ο"/>
      <w:numFmt w:val="bullet"/>
      <w:start w:val="1"/>
    </w:lvl>
  </w:abstractNum>
  <w:abstractNum w:abstractNumId="59">
    <w:nsid w:val="799D0247"/>
    <w:multiLevelType w:val="hybridMultilevel"/>
    <w:lvl w:ilvl="0">
      <w:lvlJc w:val="left"/>
      <w:lvlText w:val="•"/>
      <w:numFmt w:val="bullet"/>
      <w:start w:val="1"/>
    </w:lvl>
    <w:lvl w:ilvl="1">
      <w:lvlJc w:val="left"/>
      <w:lvlText w:val="ο"/>
      <w:numFmt w:val="bullet"/>
      <w:start w:val="1"/>
    </w:lvl>
  </w:abstractNum>
  <w:abstractNum w:abstractNumId="60">
    <w:nsid w:val="6B94764"/>
    <w:multiLevelType w:val="hybridMultilevel"/>
    <w:lvl w:ilvl="0">
      <w:lvlJc w:val="left"/>
      <w:lvlText w:val="(%1)"/>
      <w:numFmt w:val="lowerRoman"/>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17"/>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2"/>
    </w:lvl>
  </w:abstractNum>
  <w:abstractNum w:abstractNumId="75">
    <w:nsid w:val="1A32234B"/>
    <w:multiLevelType w:val="hybridMultilevel"/>
    <w:lvl w:ilvl="0">
      <w:lvlJc w:val="left"/>
      <w:lvlText w:val="%1"/>
      <w:numFmt w:val="decimal"/>
      <w:start w:val="97"/>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1)"/>
      <w:numFmt w:val="decimal"/>
      <w:start w:val="1"/>
    </w:lvl>
    <w:lvl w:ilvl="1">
      <w:lvlJc w:val="left"/>
      <w:lvlText w:val="%2."/>
      <w:numFmt w:val="lowerLetter"/>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2026-04-23T06:03:33Z</dcterms:created>
  <dcterms:modified xsi:type="dcterms:W3CDTF">2026-04-23T06:03:33Z</dcterms:modified>
</cp:coreProperties>
</file>