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ind w:left="0" w:right="0" w:hanging="0"/>
        <w:rPr>
          <w:caps w:val="false"/>
          <w:smallCaps w:val="false"/>
          <w:bdr w:val="single" w:sz="16" w:space="1" w:color="000000"/>
        </w:rPr>
      </w:pPr>
      <w:bookmarkStart w:id="0" w:name="f10q0322_chicagoatl.htm"/>
      <w:bookmarkStart w:id="1" w:name="ksf10q0322_chicagoatl"/>
      <w:bookmarkEnd w:id="0"/>
      <w:bookmarkEnd w:id="1"/>
      <w:r>
        <w:rPr>
          <w:caps w:val="false"/>
          <w:smallCaps w:val="false"/>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quarterly period ended March 31, 2022</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transition period from __________ to __________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u w:val="single"/>
        </w:rPr>
        <w:t>001-41123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4450" w:type="dxa"/>
        <w:jc w:val="left"/>
        <w:tblInd w:w="0" w:type="dxa"/>
        <w:tblCellMar>
          <w:top w:w="0" w:type="dxa"/>
          <w:left w:w="0" w:type="dxa"/>
          <w:bottom w:w="28" w:type="dxa"/>
          <w:right w:w="0" w:type="dxa"/>
        </w:tblCellMar>
      </w:tblPr>
      <w:tblGrid>
        <w:gridCol w:w="2495"/>
        <w:gridCol w:w="60"/>
        <w:gridCol w:w="1895"/>
      </w:tblGrid>
      <w:tr>
        <w:trPr/>
        <w:tc>
          <w:tcPr>
            <w:tcW w:w="24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Maryland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9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86-3125132</w:t>
            </w:r>
          </w:p>
        </w:tc>
      </w:tr>
      <w:tr>
        <w:trPr/>
        <w:tc>
          <w:tcPr>
            <w:tcW w:w="249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9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spacing w:before="0" w:after="0"/>
        <w:ind w:left="0" w:right="0" w:hanging="0"/>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420 North Wabash Avenue, Suite 500, </w:t>
        <w:br/>
        <w:t>Chicago, IL 60611</w:t>
      </w:r>
      <w:r>
        <w:rPr>
          <w:rFonts w:ascii="Times New Roman;Times;Serif" w:hAnsi="Times New Roman;Times;Serif"/>
          <w:b w:val="false"/>
          <w:i w:val="false"/>
          <w:caps w:val="false"/>
          <w:smallCaps w:val="false"/>
          <w:sz w:val="20"/>
        </w:rPr>
        <w:t xml:space="preserve"> (Address of principal executive offices)   (Zip Code)</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809-7002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jc w:val="center"/>
        <w:rPr>
          <w:caps w:val="false"/>
          <w:smallCaps w:val="false"/>
        </w:rPr>
      </w:pPr>
      <w:r>
        <w:rPr>
          <w:caps w:val="false"/>
          <w:smallCaps w:val="false"/>
        </w:rPr>
        <w:t> </w:t>
      </w:r>
    </w:p>
    <w:tbl>
      <w:tblPr>
        <w:tblW w:w="8850" w:type="dxa"/>
        <w:jc w:val="left"/>
        <w:tblInd w:w="0" w:type="dxa"/>
        <w:tblCellMar>
          <w:top w:w="0" w:type="dxa"/>
          <w:left w:w="0" w:type="dxa"/>
          <w:bottom w:w="28" w:type="dxa"/>
          <w:right w:w="0" w:type="dxa"/>
        </w:tblCellMar>
      </w:tblPr>
      <w:tblGrid>
        <w:gridCol w:w="3410"/>
        <w:gridCol w:w="60"/>
        <w:gridCol w:w="1610"/>
        <w:gridCol w:w="60"/>
        <w:gridCol w:w="3710"/>
      </w:tblGrid>
      <w:tr>
        <w:trPr/>
        <w:tc>
          <w:tcPr>
            <w:tcW w:w="34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41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per share</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Market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685" w:type="dxa"/>
        <w:jc w:val="left"/>
        <w:tblInd w:w="0" w:type="dxa"/>
        <w:tblCellMar>
          <w:top w:w="0" w:type="dxa"/>
          <w:left w:w="0" w:type="dxa"/>
          <w:bottom w:w="0" w:type="dxa"/>
          <w:right w:w="0" w:type="dxa"/>
        </w:tblCellMar>
      </w:tblPr>
      <w:tblGrid>
        <w:gridCol w:w="1865"/>
        <w:gridCol w:w="260"/>
        <w:gridCol w:w="2255"/>
        <w:gridCol w:w="305"/>
      </w:tblGrid>
      <w:tr>
        <w:trPr/>
        <w:tc>
          <w:tcPr>
            <w:tcW w:w="18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6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22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305" w:type="dxa"/>
            <w:tcBorders/>
            <w:shd w:fill="auto" w:val="clear"/>
            <w:vAlign w:val="center"/>
          </w:tcPr>
          <w:p>
            <w:pPr>
              <w:pStyle w:val="TableContents"/>
              <w:spacing w:before="0" w:after="283"/>
              <w:jc w:val="both"/>
              <w:rPr>
                <w:caps w:val="false"/>
                <w:smallCaps w:val="false"/>
              </w:rPr>
            </w:pPr>
            <w:r>
              <w:rPr>
                <w:caps w:val="false"/>
                <w:smallCaps w:val="false"/>
              </w:rPr>
              <w:t>☐</w:t>
            </w:r>
          </w:p>
        </w:tc>
      </w:tr>
      <w:tr>
        <w:trPr/>
        <w:tc>
          <w:tcPr>
            <w:tcW w:w="18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6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22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305" w:type="dxa"/>
            <w:tcBorders/>
            <w:shd w:fill="auto" w:val="clear"/>
            <w:vAlign w:val="center"/>
          </w:tcPr>
          <w:p>
            <w:pPr>
              <w:pStyle w:val="TableContents"/>
              <w:spacing w:before="0" w:after="283"/>
              <w:jc w:val="both"/>
              <w:rPr>
                <w:caps w:val="false"/>
                <w:smallCaps w:val="false"/>
              </w:rPr>
            </w:pPr>
            <w:r>
              <w:rPr>
                <w:caps w:val="false"/>
                <w:smallCaps w:val="false"/>
              </w:rPr>
              <w:t>☐</w:t>
            </w:r>
          </w:p>
        </w:tc>
      </w:tr>
      <w:tr>
        <w:trPr/>
        <w:tc>
          <w:tcPr>
            <w:tcW w:w="1865" w:type="dxa"/>
            <w:tcBorders/>
            <w:shd w:fill="auto" w:val="clear"/>
            <w:vAlign w:val="center"/>
          </w:tcPr>
          <w:p>
            <w:pPr>
              <w:pStyle w:val="TableContents"/>
              <w:spacing w:before="0" w:after="283"/>
              <w:rPr>
                <w:caps w:val="false"/>
                <w:smallCaps w:val="false"/>
              </w:rPr>
            </w:pPr>
            <w:r>
              <w:rPr>
                <w:caps w:val="false"/>
                <w:smallCaps w:val="false"/>
              </w:rPr>
              <w:t> </w:t>
            </w:r>
          </w:p>
        </w:tc>
        <w:tc>
          <w:tcPr>
            <w:tcW w:w="260" w:type="dxa"/>
            <w:tcBorders/>
            <w:shd w:fill="auto" w:val="clear"/>
            <w:vAlign w:val="center"/>
          </w:tcPr>
          <w:p>
            <w:pPr>
              <w:pStyle w:val="TableContents"/>
              <w:spacing w:before="0" w:after="283"/>
              <w:rPr>
                <w:caps w:val="false"/>
                <w:smallCaps w:val="false"/>
              </w:rPr>
            </w:pPr>
            <w:r>
              <w:rPr>
                <w:caps w:val="false"/>
                <w:smallCaps w:val="false"/>
              </w:rPr>
              <w:t> </w:t>
            </w:r>
          </w:p>
        </w:tc>
        <w:tc>
          <w:tcPr>
            <w:tcW w:w="225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305" w:type="dxa"/>
            <w:tcBorders/>
            <w:shd w:fill="auto" w:val="clear"/>
            <w:vAlign w:val="center"/>
          </w:tcPr>
          <w:p>
            <w:pPr>
              <w:pStyle w:val="TableContents"/>
              <w:spacing w:before="0" w:after="283"/>
              <w:jc w:val="both"/>
              <w:rPr>
                <w:caps w:val="false"/>
                <w:smallCaps w:val="false"/>
              </w:rPr>
            </w:pPr>
            <w:r>
              <w:rPr>
                <w:caps w:val="false"/>
                <w:smallCaps w:val="false"/>
              </w:rPr>
              <w: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spacing w:before="0" w:after="0"/>
        <w:ind w:left="0" w:right="0" w:hanging="0"/>
        <w:rPr>
          <w:caps w:val="false"/>
          <w:smallCaps w:val="false"/>
        </w:rPr>
      </w:pPr>
      <w:r>
        <w:rPr>
          <w:caps w:val="false"/>
          <w:smallCaps w:val="false"/>
        </w:rPr>
        <w:t> </w:t>
      </w:r>
    </w:p>
    <w:tbl>
      <w:tblPr>
        <w:tblW w:w="5155" w:type="dxa"/>
        <w:jc w:val="left"/>
        <w:tblInd w:w="0" w:type="dxa"/>
        <w:tblCellMar>
          <w:top w:w="0" w:type="dxa"/>
          <w:left w:w="0" w:type="dxa"/>
          <w:bottom w:w="28" w:type="dxa"/>
          <w:right w:w="0" w:type="dxa"/>
        </w:tblCellMar>
      </w:tblPr>
      <w:tblGrid>
        <w:gridCol w:w="2615"/>
        <w:gridCol w:w="60"/>
        <w:gridCol w:w="2480"/>
      </w:tblGrid>
      <w:tr>
        <w:trPr/>
        <w:tc>
          <w:tcPr>
            <w:tcW w:w="26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Class</w:t>
            </w:r>
          </w:p>
        </w:tc>
        <w:tc>
          <w:tcPr>
            <w:tcW w:w="60" w:type="dxa"/>
            <w:tcBorders/>
            <w:shd w:fill="auto" w:val="clear"/>
            <w:tcMar>
              <w:bottom w:w="0" w:type="dxa"/>
            </w:tcMar>
            <w:vAlign w:val="center"/>
          </w:tcPr>
          <w:p>
            <w:pPr>
              <w:pStyle w:val="TableContents"/>
              <w:spacing w:before="0" w:after="283"/>
              <w:rPr/>
            </w:pPr>
            <w:r>
              <w:rPr/>
              <w:t> </w:t>
            </w:r>
          </w:p>
        </w:tc>
        <w:tc>
          <w:tcPr>
            <w:tcW w:w="248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Outstanding at May 11, 2022</w:t>
            </w:r>
          </w:p>
        </w:tc>
      </w:tr>
      <w:tr>
        <w:trPr/>
        <w:tc>
          <w:tcPr>
            <w:tcW w:w="2615"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Common stock, $0.01 par value</w:t>
            </w:r>
          </w:p>
        </w:tc>
        <w:tc>
          <w:tcPr>
            <w:tcW w:w="60" w:type="dxa"/>
            <w:tcBorders/>
            <w:shd w:fill="CCEEFF" w:val="clear"/>
            <w:tcMar>
              <w:bottom w:w="0" w:type="dxa"/>
            </w:tcMar>
            <w:vAlign w:val="center"/>
          </w:tcPr>
          <w:p>
            <w:pPr>
              <w:pStyle w:val="TableContents"/>
              <w:spacing w:before="0" w:after="283"/>
              <w:rPr/>
            </w:pPr>
            <w:r>
              <w:rPr/>
              <w:t> </w:t>
            </w:r>
          </w:p>
        </w:tc>
        <w:tc>
          <w:tcPr>
            <w:tcW w:w="2480"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17,657,913</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ATLANTIC REAL ESTATE FINANCE,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29"/>
        <w:gridCol w:w="9430"/>
        <w:gridCol w:w="246"/>
      </w:tblGrid>
      <w:tr>
        <w:trPr/>
        <w:tc>
          <w:tcPr>
            <w:tcW w:w="529" w:type="dxa"/>
            <w:tcBorders/>
            <w:shd w:fill="CCEEFF"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9430" w:type="dxa"/>
            <w:tcBorders/>
            <w:shd w:fill="CCEEFF" w:val="clear"/>
            <w:vAlign w:val="center"/>
          </w:tcPr>
          <w:p>
            <w:pPr>
              <w:pStyle w:val="TableContents"/>
              <w:spacing w:before="0" w:after="283"/>
              <w:rPr/>
            </w:pPr>
            <w:hyperlink w:anchor="a_001">
              <w:r>
                <w:rPr>
                  <w:rStyle w:val="InternetLink"/>
                  <w:rFonts w:ascii="Times New Roman;Times;Serif" w:hAnsi="Times New Roman;Times;Serif"/>
                  <w:b w:val="false"/>
                  <w:i w:val="false"/>
                  <w:caps w:val="false"/>
                  <w:smallCaps w:val="false"/>
                  <w:sz w:val="20"/>
                </w:rPr>
                <w:t>Financial Information</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29" w:type="dxa"/>
            <w:tcBorders/>
            <w:shd w:fill="auto"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430" w:type="dxa"/>
            <w:tcBorders/>
            <w:shd w:fill="auto" w:val="clear"/>
            <w:vAlign w:val="center"/>
          </w:tcPr>
          <w:p>
            <w:pPr>
              <w:pStyle w:val="TableContents"/>
              <w:spacing w:before="0" w:after="283"/>
              <w:rPr/>
            </w:pPr>
            <w:hyperlink w:anchor="a_002">
              <w:r>
                <w:rPr>
                  <w:rStyle w:val="InternetLink"/>
                  <w:rFonts w:ascii="Times New Roman;Times;Serif" w:hAnsi="Times New Roman;Times;Serif"/>
                  <w:b w:val="false"/>
                  <w:i w:val="false"/>
                  <w:caps w:val="false"/>
                  <w:smallCaps w:val="false"/>
                  <w:sz w:val="20"/>
                </w:rPr>
                <w:t>Financial Statements</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29" w:type="dxa"/>
            <w:tcBorders/>
            <w:shd w:fill="CCEEFF" w:val="clear"/>
            <w:vAlign w:val="center"/>
          </w:tcPr>
          <w:p>
            <w:pPr>
              <w:pStyle w:val="TableContents"/>
              <w:spacing w:before="0" w:after="283"/>
              <w:ind w:left="0" w:right="0" w:hanging="180"/>
              <w:rPr>
                <w:caps w:val="false"/>
                <w:smallCaps w:val="false"/>
              </w:rPr>
            </w:pPr>
            <w:r>
              <w:rPr>
                <w:caps w:val="false"/>
                <w:smallCaps w:val="false"/>
              </w:rPr>
              <w:t> </w:t>
            </w:r>
          </w:p>
        </w:tc>
        <w:tc>
          <w:tcPr>
            <w:tcW w:w="9430" w:type="dxa"/>
            <w:tcBorders/>
            <w:shd w:fill="CCEEFF" w:val="clear"/>
            <w:vAlign w:val="center"/>
          </w:tcPr>
          <w:p>
            <w:pPr>
              <w:pStyle w:val="TableContents"/>
              <w:spacing w:before="0" w:after="283"/>
              <w:rPr/>
            </w:pPr>
            <w:hyperlink w:anchor="a_003">
              <w:r>
                <w:rPr>
                  <w:rStyle w:val="InternetLink"/>
                  <w:rFonts w:ascii="Times New Roman;Times;Serif" w:hAnsi="Times New Roman;Times;Serif"/>
                  <w:b w:val="false"/>
                  <w:i w:val="false"/>
                  <w:caps w:val="false"/>
                  <w:smallCaps w:val="false"/>
                  <w:sz w:val="20"/>
                </w:rPr>
                <w:t>Consolidated Balance Sheets as of March 31, 2022 (unaudited) and December 31, 2021</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29"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c>
          <w:tcPr>
            <w:tcW w:w="9430" w:type="dxa"/>
            <w:tcBorders/>
            <w:shd w:fill="auto" w:val="clear"/>
            <w:vAlign w:val="center"/>
          </w:tcPr>
          <w:p>
            <w:pPr>
              <w:pStyle w:val="TableContents"/>
              <w:spacing w:before="0" w:after="283"/>
              <w:rPr/>
            </w:pPr>
            <w:hyperlink w:anchor="a_004">
              <w:r>
                <w:rPr>
                  <w:rStyle w:val="InternetLink"/>
                  <w:rFonts w:ascii="Times New Roman;Times;Serif" w:hAnsi="Times New Roman;Times;Serif"/>
                  <w:b w:val="false"/>
                  <w:i w:val="false"/>
                  <w:caps w:val="false"/>
                  <w:smallCaps w:val="false"/>
                  <w:sz w:val="20"/>
                </w:rPr>
                <w:t>Consolidated Statements of Income for the three months ended March 31, 2022 (unaudited) and for the period from March 30, 2021 (inception) to March 31, 2021 (unaudited)</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29" w:type="dxa"/>
            <w:tcBorders/>
            <w:shd w:fill="CCEEFF" w:val="clear"/>
            <w:vAlign w:val="center"/>
          </w:tcPr>
          <w:p>
            <w:pPr>
              <w:pStyle w:val="TableContents"/>
              <w:spacing w:before="0" w:after="283"/>
              <w:ind w:left="0" w:right="0" w:hanging="180"/>
              <w:rPr>
                <w:caps w:val="false"/>
                <w:smallCaps w:val="false"/>
              </w:rPr>
            </w:pPr>
            <w:r>
              <w:rPr>
                <w:caps w:val="false"/>
                <w:smallCaps w:val="false"/>
              </w:rPr>
              <w:t> </w:t>
            </w:r>
          </w:p>
        </w:tc>
        <w:tc>
          <w:tcPr>
            <w:tcW w:w="9430" w:type="dxa"/>
            <w:tcBorders/>
            <w:shd w:fill="CCEEFF" w:val="clear"/>
            <w:vAlign w:val="center"/>
          </w:tcPr>
          <w:p>
            <w:pPr>
              <w:pStyle w:val="TableContents"/>
              <w:spacing w:before="0" w:after="283"/>
              <w:rPr/>
            </w:pPr>
            <w:hyperlink w:anchor="a_005">
              <w:r>
                <w:rPr>
                  <w:rStyle w:val="InternetLink"/>
                  <w:rFonts w:ascii="Times New Roman;Times;Serif" w:hAnsi="Times New Roman;Times;Serif"/>
                  <w:b w:val="false"/>
                  <w:i w:val="false"/>
                  <w:caps w:val="false"/>
                  <w:smallCaps w:val="false"/>
                  <w:sz w:val="20"/>
                </w:rPr>
                <w:t>Consolidated Statements of Equity for the three months ended March 31, 2022 (unaudited) and for the period from March 30, 2021 (inception) to March 31, 2021 (unaudited)</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29" w:type="dxa"/>
            <w:tcBorders/>
            <w:shd w:fill="auto" w:val="clear"/>
            <w:vAlign w:val="center"/>
          </w:tcPr>
          <w:p>
            <w:pPr>
              <w:pStyle w:val="TableContents"/>
              <w:spacing w:before="0" w:after="283"/>
              <w:ind w:left="0" w:right="0" w:hanging="180"/>
              <w:rPr>
                <w:caps w:val="false"/>
                <w:smallCaps w:val="false"/>
              </w:rPr>
            </w:pPr>
            <w:r>
              <w:rPr>
                <w:caps w:val="false"/>
                <w:smallCaps w:val="false"/>
              </w:rPr>
              <w:t> </w:t>
            </w:r>
          </w:p>
        </w:tc>
        <w:tc>
          <w:tcPr>
            <w:tcW w:w="9430" w:type="dxa"/>
            <w:tcBorders/>
            <w:shd w:fill="auto" w:val="clear"/>
            <w:vAlign w:val="center"/>
          </w:tcPr>
          <w:p>
            <w:pPr>
              <w:pStyle w:val="TableContents"/>
              <w:spacing w:before="0" w:after="283"/>
              <w:rPr/>
            </w:pPr>
            <w:hyperlink w:anchor="a_005">
              <w:r>
                <w:rPr>
                  <w:rStyle w:val="InternetLink"/>
                  <w:rFonts w:ascii="Times New Roman;Times;Serif" w:hAnsi="Times New Roman;Times;Serif"/>
                  <w:b w:val="false"/>
                  <w:i w:val="false"/>
                  <w:caps w:val="false"/>
                  <w:smallCaps w:val="false"/>
                  <w:sz w:val="20"/>
                </w:rPr>
                <w:t>Consolidated Statements of Cash Flows for the three months ended March 31, 2022 (unaudited) and for the period from March 30, 2021 (inception) to March 31, 2021 (unaudited)</w:t>
              </w:r>
            </w:hyperlink>
            <w:r>
              <w:rPr>
                <w:rFonts w:ascii="Times New Roman;Times;Serif" w:hAnsi="Times New Roman;Times;Serif"/>
                <w:b w:val="false"/>
                <w:i w:val="false"/>
                <w:caps w:val="false"/>
                <w:smallCaps w:val="false"/>
                <w:sz w:val="20"/>
              </w:rPr>
              <w:t xml:space="preserve"> </w:t>
            </w:r>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29" w:type="dxa"/>
            <w:tcBorders/>
            <w:shd w:fill="CCEEFF" w:val="clear"/>
            <w:vAlign w:val="center"/>
          </w:tcPr>
          <w:p>
            <w:pPr>
              <w:pStyle w:val="TableContents"/>
              <w:spacing w:before="0" w:after="283"/>
              <w:ind w:left="0" w:right="0" w:hanging="180"/>
              <w:rPr>
                <w:caps w:val="false"/>
                <w:smallCaps w:val="false"/>
              </w:rPr>
            </w:pPr>
            <w:r>
              <w:rPr>
                <w:caps w:val="false"/>
                <w:smallCaps w:val="false"/>
              </w:rPr>
              <w:t> </w:t>
            </w:r>
          </w:p>
        </w:tc>
        <w:tc>
          <w:tcPr>
            <w:tcW w:w="9430" w:type="dxa"/>
            <w:tcBorders/>
            <w:shd w:fill="CCEEFF" w:val="clear"/>
            <w:vAlign w:val="center"/>
          </w:tcPr>
          <w:p>
            <w:pPr>
              <w:pStyle w:val="TableContents"/>
              <w:spacing w:before="0" w:after="283"/>
              <w:rPr/>
            </w:pPr>
            <w:hyperlink w:anchor="a_007">
              <w:r>
                <w:rPr>
                  <w:rStyle w:val="InternetLink"/>
                  <w:rFonts w:ascii="Times New Roman;Times;Serif" w:hAnsi="Times New Roman;Times;Serif"/>
                  <w:b w:val="false"/>
                  <w:i w:val="false"/>
                  <w:caps w:val="false"/>
                  <w:smallCaps w:val="false"/>
                  <w:sz w:val="20"/>
                </w:rPr>
                <w:t>Notes to Consolidated Financial Statements (unaudited)</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29" w:type="dxa"/>
            <w:tcBorders/>
            <w:shd w:fill="auto"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430" w:type="dxa"/>
            <w:tcBorders/>
            <w:shd w:fill="auto" w:val="clear"/>
            <w:vAlign w:val="center"/>
          </w:tcPr>
          <w:p>
            <w:pPr>
              <w:pStyle w:val="TableContents"/>
              <w:spacing w:before="0" w:after="283"/>
              <w:rPr/>
            </w:pPr>
            <w:hyperlink w:anchor="a_00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29" w:type="dxa"/>
            <w:tcBorders/>
            <w:shd w:fill="CCEEFF"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430" w:type="dxa"/>
            <w:tcBorders/>
            <w:shd w:fill="CCEEFF" w:val="clear"/>
            <w:vAlign w:val="center"/>
          </w:tcPr>
          <w:p>
            <w:pPr>
              <w:pStyle w:val="TableContents"/>
              <w:spacing w:before="0" w:after="283"/>
              <w:rPr/>
            </w:pPr>
            <w:hyperlink w:anchor="a_009">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529" w:type="dxa"/>
            <w:tcBorders/>
            <w:shd w:fill="auto"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430" w:type="dxa"/>
            <w:tcBorders/>
            <w:shd w:fill="auto" w:val="clear"/>
            <w:vAlign w:val="center"/>
          </w:tcPr>
          <w:p>
            <w:pPr>
              <w:pStyle w:val="TableContents"/>
              <w:spacing w:before="0" w:after="283"/>
              <w:rPr/>
            </w:pPr>
            <w:hyperlink w:anchor="a_010">
              <w:r>
                <w:rPr>
                  <w:rStyle w:val="InternetLink"/>
                  <w:rFonts w:ascii="Times New Roman;Times;Serif" w:hAnsi="Times New Roman;Times;Serif"/>
                  <w:b w:val="false"/>
                  <w:i w:val="false"/>
                  <w:caps w:val="false"/>
                  <w:smallCaps w:val="false"/>
                  <w:sz w:val="20"/>
                </w:rPr>
                <w:t>Controls and Procedures</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529" w:type="dxa"/>
            <w:tcBorders/>
            <w:shd w:fill="CCEEFF"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9430" w:type="dxa"/>
            <w:tcBorders/>
            <w:shd w:fill="CCEEFF" w:val="clear"/>
            <w:vAlign w:val="center"/>
          </w:tcPr>
          <w:p>
            <w:pPr>
              <w:pStyle w:val="TableContents"/>
              <w:spacing w:before="0" w:after="283"/>
              <w:rPr/>
            </w:pPr>
            <w:hyperlink w:anchor="a_011">
              <w:r>
                <w:rPr>
                  <w:rStyle w:val="InternetLink"/>
                  <w:rFonts w:ascii="Times New Roman;Times;Serif" w:hAnsi="Times New Roman;Times;Serif"/>
                  <w:b w:val="false"/>
                  <w:i w:val="false"/>
                  <w:caps w:val="false"/>
                  <w:smallCaps w:val="false"/>
                  <w:sz w:val="20"/>
                </w:rPr>
                <w:t>Other Information</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29" w:type="dxa"/>
            <w:tcBorders/>
            <w:shd w:fill="auto"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430" w:type="dxa"/>
            <w:tcBorders/>
            <w:shd w:fill="auto" w:val="clear"/>
            <w:vAlign w:val="center"/>
          </w:tcPr>
          <w:p>
            <w:pPr>
              <w:pStyle w:val="TableContents"/>
              <w:spacing w:before="0" w:after="283"/>
              <w:rPr/>
            </w:pPr>
            <w:hyperlink w:anchor="a_012">
              <w:r>
                <w:rPr>
                  <w:rStyle w:val="InternetLink"/>
                  <w:rFonts w:ascii="Times New Roman;Times;Serif" w:hAnsi="Times New Roman;Times;Serif"/>
                  <w:b w:val="false"/>
                  <w:i w:val="false"/>
                  <w:caps w:val="false"/>
                  <w:smallCaps w:val="false"/>
                  <w:sz w:val="20"/>
                </w:rPr>
                <w:t>Legal Proceedings</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29" w:type="dxa"/>
            <w:tcBorders/>
            <w:shd w:fill="CCEEFF"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430" w:type="dxa"/>
            <w:tcBorders/>
            <w:shd w:fill="CCEEFF" w:val="clear"/>
            <w:vAlign w:val="center"/>
          </w:tcPr>
          <w:p>
            <w:pPr>
              <w:pStyle w:val="TableContents"/>
              <w:spacing w:before="0" w:after="283"/>
              <w:rPr/>
            </w:pPr>
            <w:hyperlink w:anchor="a_013">
              <w:r>
                <w:rPr>
                  <w:rStyle w:val="InternetLink"/>
                  <w:rFonts w:ascii="Times New Roman;Times;Serif" w:hAnsi="Times New Roman;Times;Serif"/>
                  <w:b w:val="false"/>
                  <w:i w:val="false"/>
                  <w:caps w:val="false"/>
                  <w:smallCaps w:val="false"/>
                  <w:sz w:val="20"/>
                </w:rPr>
                <w:t>Risk Factors</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29" w:type="dxa"/>
            <w:tcBorders/>
            <w:shd w:fill="auto"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430" w:type="dxa"/>
            <w:tcBorders/>
            <w:shd w:fill="auto" w:val="clear"/>
            <w:vAlign w:val="center"/>
          </w:tcPr>
          <w:p>
            <w:pPr>
              <w:pStyle w:val="TableContents"/>
              <w:spacing w:before="0" w:after="283"/>
              <w:rPr/>
            </w:pPr>
            <w:hyperlink w:anchor="a_014">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29" w:type="dxa"/>
            <w:tcBorders/>
            <w:shd w:fill="CCEEFF"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p>
        </w:tc>
        <w:tc>
          <w:tcPr>
            <w:tcW w:w="9430" w:type="dxa"/>
            <w:tcBorders/>
            <w:shd w:fill="CCEEFF" w:val="clear"/>
            <w:vAlign w:val="center"/>
          </w:tcPr>
          <w:p>
            <w:pPr>
              <w:pStyle w:val="TableContents"/>
              <w:spacing w:before="0" w:after="283"/>
              <w:rPr/>
            </w:pPr>
            <w:hyperlink w:anchor="a_017">
              <w:r>
                <w:rPr>
                  <w:rStyle w:val="InternetLink"/>
                  <w:rFonts w:ascii="Times New Roman;Times;Serif" w:hAnsi="Times New Roman;Times;Serif"/>
                  <w:b w:val="false"/>
                  <w:i w:val="false"/>
                  <w:caps w:val="false"/>
                  <w:smallCaps w:val="false"/>
                  <w:sz w:val="20"/>
                </w:rPr>
                <w:t>Defaults Upon Senior Securities</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29" w:type="dxa"/>
            <w:tcBorders/>
            <w:shd w:fill="auto"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4. </w:t>
            </w:r>
          </w:p>
        </w:tc>
        <w:tc>
          <w:tcPr>
            <w:tcW w:w="9430" w:type="dxa"/>
            <w:tcBorders/>
            <w:shd w:fill="auto" w:val="clear"/>
            <w:vAlign w:val="center"/>
          </w:tcPr>
          <w:p>
            <w:pPr>
              <w:pStyle w:val="TableContents"/>
              <w:spacing w:before="0" w:after="283"/>
              <w:rPr/>
            </w:pPr>
            <w:hyperlink w:anchor="a_018">
              <w:r>
                <w:rPr>
                  <w:rStyle w:val="InternetLink"/>
                  <w:rFonts w:ascii="Times New Roman;Times;Serif" w:hAnsi="Times New Roman;Times;Serif"/>
                  <w:b w:val="false"/>
                  <w:i w:val="false"/>
                  <w:caps w:val="false"/>
                  <w:smallCaps w:val="false"/>
                  <w:sz w:val="20"/>
                </w:rPr>
                <w:t>Mine Safety Disclosures</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29" w:type="dxa"/>
            <w:tcBorders/>
            <w:shd w:fill="CCEEFF"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430" w:type="dxa"/>
            <w:tcBorders/>
            <w:shd w:fill="CCEEFF" w:val="clear"/>
            <w:vAlign w:val="center"/>
          </w:tcPr>
          <w:p>
            <w:pPr>
              <w:pStyle w:val="TableContents"/>
              <w:spacing w:before="0" w:after="283"/>
              <w:rPr/>
            </w:pPr>
            <w:hyperlink w:anchor="a_019">
              <w:r>
                <w:rPr>
                  <w:rStyle w:val="InternetLink"/>
                  <w:rFonts w:ascii="Times New Roman;Times;Serif" w:hAnsi="Times New Roman;Times;Serif"/>
                  <w:b w:val="false"/>
                  <w:i w:val="false"/>
                  <w:caps w:val="false"/>
                  <w:smallCaps w:val="false"/>
                  <w:sz w:val="20"/>
                </w:rPr>
                <w:t>Other Information</w:t>
              </w:r>
            </w:hyperlink>
          </w:p>
        </w:tc>
        <w:tc>
          <w:tcPr>
            <w:tcW w:w="246"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529" w:type="dxa"/>
            <w:tcBorders/>
            <w:shd w:fill="auto" w:val="clear"/>
            <w:vAlign w:val="center"/>
          </w:tcPr>
          <w:p>
            <w:pPr>
              <w:pStyle w:val="TableContents"/>
              <w:spacing w:before="0" w:after="283"/>
              <w:ind w:left="0" w:right="0" w:hanging="1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430" w:type="dxa"/>
            <w:tcBorders/>
            <w:shd w:fill="auto" w:val="clear"/>
            <w:vAlign w:val="center"/>
          </w:tcPr>
          <w:p>
            <w:pPr>
              <w:pStyle w:val="TableContents"/>
              <w:spacing w:before="0" w:after="283"/>
              <w:rPr/>
            </w:pPr>
            <w:hyperlink w:anchor="a_020">
              <w:r>
                <w:rPr>
                  <w:rStyle w:val="InternetLink"/>
                  <w:rFonts w:ascii="Times New Roman;Times;Serif" w:hAnsi="Times New Roman;Times;Serif"/>
                  <w:b w:val="false"/>
                  <w:i w:val="false"/>
                  <w:caps w:val="false"/>
                  <w:smallCaps w:val="false"/>
                  <w:sz w:val="20"/>
                </w:rPr>
                <w:t>Exhibits</w:t>
              </w:r>
            </w:hyperlink>
          </w:p>
        </w:tc>
        <w:tc>
          <w:tcPr>
            <w:tcW w:w="24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r>
        <w:rPr>
          <w:rFonts w:ascii="Times New Roman;Times;Serif" w:hAnsi="Times New Roman;Times;Serif"/>
          <w:b w:val="false"/>
          <w:i w:val="false"/>
          <w:caps w:val="false"/>
          <w:smallCaps w:val="false"/>
          <w:sz w:val="2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CHICAGO ATLANTIC REAL ESTATE FINANCE,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172"/>
        <w:gridCol w:w="60"/>
        <w:gridCol w:w="140"/>
        <w:gridCol w:w="1220"/>
        <w:gridCol w:w="95"/>
        <w:gridCol w:w="60"/>
        <w:gridCol w:w="141"/>
        <w:gridCol w:w="1232"/>
        <w:gridCol w:w="85"/>
      </w:tblGrid>
      <w:tr>
        <w:trPr/>
        <w:tc>
          <w:tcPr>
            <w:tcW w:w="7172"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December 31,</w:t>
              <w:br/>
              <w:t>2021</w:t>
            </w:r>
          </w:p>
        </w:tc>
        <w:tc>
          <w:tcPr>
            <w:tcW w:w="85" w:type="dxa"/>
            <w:tcBorders/>
            <w:shd w:fill="auto" w:val="clear"/>
            <w:vAlign w:val="center"/>
          </w:tcPr>
          <w:p>
            <w:pPr>
              <w:pStyle w:val="TableContents"/>
              <w:spacing w:before="0" w:after="283"/>
              <w:rPr/>
            </w:pPr>
            <w:r>
              <w:rPr/>
              <w:t> </w:t>
            </w:r>
          </w:p>
        </w:tc>
      </w:tr>
      <w:tr>
        <w:trPr/>
        <w:tc>
          <w:tcPr>
            <w:tcW w:w="7172"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jc w:val="center"/>
              <w:rPr>
                <w:b/>
              </w:rPr>
            </w:pPr>
            <w:r>
              <w:rPr>
                <w:b/>
              </w:rPr>
              <w:t>(unaudited)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3" w:type="dxa"/>
            <w:gridSpan w:val="2"/>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7172" w:type="dxa"/>
            <w:tcBorders/>
            <w:shd w:fill="auto" w:val="clear"/>
            <w:vAlign w:val="center"/>
          </w:tcPr>
          <w:p>
            <w:pPr>
              <w:pStyle w:val="TableContents"/>
              <w:spacing w:before="0" w:after="283"/>
              <w:rPr>
                <w:b/>
              </w:rPr>
            </w:pPr>
            <w:r>
              <w:rPr>
                <w:b/>
              </w:rPr>
              <w:t>Assets</w:t>
            </w:r>
          </w:p>
        </w:tc>
        <w:tc>
          <w:tcPr>
            <w:tcW w:w="60" w:type="dxa"/>
            <w:tcBorders/>
            <w:shd w:fill="auto" w:val="clear"/>
            <w:vAlign w:val="center"/>
          </w:tcPr>
          <w:p>
            <w:pPr>
              <w:pStyle w:val="TableContents"/>
              <w:spacing w:before="0" w:after="283"/>
              <w:rPr/>
            </w:pPr>
            <w:r>
              <w:rPr/>
              <w:t> </w:t>
            </w:r>
          </w:p>
        </w:tc>
        <w:tc>
          <w:tcPr>
            <w:tcW w:w="136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3" w:type="dxa"/>
            <w:gridSpan w:val="2"/>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ind w:left="0" w:right="0" w:hanging="180"/>
              <w:rPr/>
            </w:pPr>
            <w:r>
              <w:rPr/>
              <w:t> </w:t>
            </w:r>
          </w:p>
        </w:tc>
      </w:tr>
      <w:tr>
        <w:trPr/>
        <w:tc>
          <w:tcPr>
            <w:tcW w:w="7172" w:type="dxa"/>
            <w:tcBorders/>
            <w:shd w:fill="CCEEFF" w:val="clear"/>
            <w:vAlign w:val="center"/>
          </w:tcPr>
          <w:p>
            <w:pPr>
              <w:pStyle w:val="TableContents"/>
              <w:spacing w:before="0" w:after="283"/>
              <w:jc w:val="left"/>
              <w:rPr/>
            </w:pPr>
            <w:r>
              <w:rPr/>
              <w:t>Loans held for investment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278,826,914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w:t>
            </w:r>
          </w:p>
        </w:tc>
        <w:tc>
          <w:tcPr>
            <w:tcW w:w="1232" w:type="dxa"/>
            <w:tcBorders/>
            <w:shd w:fill="CCEEFF" w:val="clear"/>
            <w:vAlign w:val="center"/>
          </w:tcPr>
          <w:p>
            <w:pPr>
              <w:pStyle w:val="TableContents"/>
              <w:spacing w:before="0" w:after="283"/>
              <w:jc w:val="right"/>
              <w:rPr/>
            </w:pPr>
            <w:r>
              <w:rPr/>
              <w:t>196,984,566</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pPr>
            <w:r>
              <w:rPr/>
              <w:t>Current expected credit loss reserve</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(182,838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auto" w:val="clear"/>
            <w:tcMar>
              <w:bottom w:w="28" w:type="dxa"/>
            </w:tcMar>
            <w:vAlign w:val="center"/>
          </w:tcPr>
          <w:p>
            <w:pPr>
              <w:pStyle w:val="TableContents"/>
              <w:spacing w:before="0" w:after="283"/>
              <w:jc w:val="right"/>
              <w:rPr/>
            </w:pPr>
            <w:r>
              <w:rPr/>
              <w:t>(134,542</w:t>
            </w:r>
          </w:p>
        </w:tc>
        <w:tc>
          <w:tcPr>
            <w:tcW w:w="85" w:type="dxa"/>
            <w:tcBorders/>
            <w:shd w:fill="auto" w:val="clear"/>
            <w:vAlign w:val="center"/>
          </w:tcPr>
          <w:p>
            <w:pPr>
              <w:pStyle w:val="TableContents"/>
              <w:spacing w:before="0" w:after="283"/>
              <w:ind w:left="0" w:right="0" w:hanging="180"/>
              <w:jc w:val="left"/>
              <w:rPr/>
            </w:pPr>
            <w:r>
              <w:rPr/>
              <w:t>)</w:t>
            </w:r>
          </w:p>
        </w:tc>
      </w:tr>
      <w:tr>
        <w:trPr/>
        <w:tc>
          <w:tcPr>
            <w:tcW w:w="7172" w:type="dxa"/>
            <w:tcBorders/>
            <w:shd w:fill="CCEEFF" w:val="clear"/>
            <w:vAlign w:val="center"/>
          </w:tcPr>
          <w:p>
            <w:pPr>
              <w:pStyle w:val="TableContents"/>
              <w:spacing w:before="0" w:after="283"/>
              <w:jc w:val="left"/>
              <w:rPr/>
            </w:pPr>
            <w:r>
              <w:rPr/>
              <w:t>Loans held for investment,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278,644,076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196,850,024</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rPr/>
            </w:pPr>
            <w:r>
              <w:rPr/>
              <w:t>Cash</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6,078,178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283"/>
              <w:jc w:val="right"/>
              <w:rPr/>
            </w:pPr>
            <w:r>
              <w:rPr/>
              <w:t>80,248,526</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jc w:val="left"/>
              <w:rPr/>
            </w:pPr>
            <w:r>
              <w:rPr/>
              <w:t>Interest receivable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373,695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197,735</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pPr>
            <w:r>
              <w:rPr/>
              <w:t>Other assets, net</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795,754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283"/>
              <w:jc w:val="right"/>
              <w:rPr/>
            </w:pPr>
            <w:r>
              <w:rPr/>
              <w:t>868,022</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jc w:val="left"/>
              <w:rPr/>
            </w:pPr>
            <w:r>
              <w:rPr/>
              <w:t>Other receivables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16,201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spacing w:before="0" w:after="283"/>
              <w:jc w:val="right"/>
              <w:rPr/>
            </w:pPr>
            <w:r>
              <w:rPr/>
              <w:t>6,148</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b/>
              </w:rPr>
            </w:pPr>
            <w:r>
              <w:rPr>
                <w:b/>
              </w:rPr>
              <w:t>Total Assets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b/>
              </w:rPr>
            </w:pPr>
            <w:r>
              <w:rPr>
                <w:b/>
              </w:rPr>
              <w:t>285,907,904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32" w:type="dxa"/>
            <w:tcBorders>
              <w:bottom w:val="double" w:sz="10" w:space="0" w:color="000000"/>
            </w:tcBorders>
            <w:shd w:fill="auto" w:val="clear"/>
            <w:tcMar>
              <w:bottom w:w="28" w:type="dxa"/>
            </w:tcMar>
            <w:vAlign w:val="center"/>
          </w:tcPr>
          <w:p>
            <w:pPr>
              <w:pStyle w:val="TableContents"/>
              <w:spacing w:before="0" w:after="283"/>
              <w:jc w:val="right"/>
              <w:rPr>
                <w:b/>
              </w:rPr>
            </w:pPr>
            <w:r>
              <w:rPr>
                <w:b/>
              </w:rPr>
              <w:t>278,170,455</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rPr>
                <w:b/>
              </w:rPr>
            </w:pPr>
            <w:r>
              <w:rPr>
                <w:b/>
              </w:rPr>
              <w:t>Liabilities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jc w:val="left"/>
              <w:rPr/>
            </w:pPr>
            <w:r>
              <w:rPr/>
              <w:t>Interest reserve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7,472,057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w:t>
            </w:r>
          </w:p>
        </w:tc>
        <w:tc>
          <w:tcPr>
            <w:tcW w:w="1232" w:type="dxa"/>
            <w:tcBorders/>
            <w:shd w:fill="CCEEFF" w:val="clear"/>
            <w:vAlign w:val="center"/>
          </w:tcPr>
          <w:p>
            <w:pPr>
              <w:pStyle w:val="TableContents"/>
              <w:spacing w:before="0" w:after="283"/>
              <w:jc w:val="right"/>
              <w:rPr/>
            </w:pPr>
            <w:r>
              <w:rPr/>
              <w:t>6,636,553</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pPr>
            <w:r>
              <w:rPr/>
              <w:t>Dividend payable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7,125,661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283"/>
              <w:jc w:val="right"/>
              <w:rPr/>
            </w:pPr>
            <w:r>
              <w:rPr/>
              <w:t>4,537,924</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jc w:val="left"/>
              <w:rPr/>
            </w:pPr>
            <w:r>
              <w:rPr/>
              <w:t>Related party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682,344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1,902,829</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pPr>
            <w:r>
              <w:rPr/>
              <w:t>Management and incentive fees payable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671,505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283"/>
              <w:jc w:val="right"/>
              <w:rPr/>
            </w:pPr>
            <w:r>
              <w:rPr/>
              <w:t>802,294</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571,821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spacing w:before="0" w:after="283"/>
              <w:jc w:val="right"/>
              <w:rPr/>
            </w:pPr>
            <w:r>
              <w:rPr/>
              <w:t>212,887</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b/>
              </w:rPr>
            </w:pPr>
            <w:r>
              <w:rPr>
                <w:b/>
              </w:rPr>
              <w:t>Total Liabilities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b/>
              </w:rPr>
            </w:pPr>
            <w:r>
              <w:rPr>
                <w:b/>
              </w:rPr>
              <w:t>16,523,388</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auto" w:val="clear"/>
            <w:tcMar>
              <w:bottom w:w="28" w:type="dxa"/>
            </w:tcMar>
            <w:vAlign w:val="center"/>
          </w:tcPr>
          <w:p>
            <w:pPr>
              <w:pStyle w:val="TableContents"/>
              <w:spacing w:before="0" w:after="283"/>
              <w:jc w:val="right"/>
              <w:rPr>
                <w:b/>
              </w:rPr>
            </w:pPr>
            <w:r>
              <w:rPr>
                <w:b/>
              </w:rPr>
              <w:t>14,092,487</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b/>
              </w:rPr>
            </w:pPr>
            <w:r>
              <w:rPr>
                <w:b/>
              </w:rPr>
              <w:t>Commitments and contingencies (Note 8)</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0"/>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0"/>
              <w:jc w:val="right"/>
              <w:rPr/>
            </w:pPr>
            <w:r>
              <w:rPr/>
              <w:t> </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b/>
              </w:rPr>
            </w:pPr>
            <w:r>
              <w:rPr>
                <w:b/>
              </w:rPr>
              <w:t>Stockholders’ equity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283"/>
              <w:jc w:val="right"/>
              <w:rPr/>
            </w:pPr>
            <w:r>
              <w:rPr/>
              <w:t> </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jc w:val="left"/>
              <w:rPr/>
            </w:pPr>
            <w:r>
              <w:rPr/>
              <w:t>Common stock, par value $0.01 per share, 100,000,000 shares authorized at March 31, 2022 and December 31, 2021, respectively, and 17,752,603 and 17,453,553 shares issued and outstanding at March 31, 2022 and December 31, 2021,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176,579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173,551</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pPr>
            <w:r>
              <w:rPr/>
              <w:t>Additional paid-in-capital</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268,681,445</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jc w:val="left"/>
              <w:rPr/>
            </w:pPr>
            <w:r>
              <w:rPr/>
              <w:t> </w:t>
            </w:r>
          </w:p>
        </w:tc>
        <w:tc>
          <w:tcPr>
            <w:tcW w:w="1232" w:type="dxa"/>
            <w:tcBorders/>
            <w:shd w:fill="auto" w:val="clear"/>
            <w:vAlign w:val="center"/>
          </w:tcPr>
          <w:p>
            <w:pPr>
              <w:pStyle w:val="TableContents"/>
              <w:spacing w:before="0" w:after="283"/>
              <w:jc w:val="right"/>
              <w:rPr/>
            </w:pPr>
            <w:r>
              <w:rPr/>
              <w:t>264,081,977</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jc w:val="left"/>
              <w:rPr/>
            </w:pPr>
            <w:r>
              <w:rPr/>
              <w:t>Accumulated earnings (deficit)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283"/>
              <w:jc w:val="right"/>
              <w:rPr/>
            </w:pPr>
            <w:r>
              <w:rPr/>
              <w:t>526,492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CCEEFF" w:val="clear"/>
            <w:tcMar>
              <w:bottom w:w="28" w:type="dxa"/>
            </w:tcMar>
            <w:vAlign w:val="center"/>
          </w:tcPr>
          <w:p>
            <w:pPr>
              <w:pStyle w:val="TableContents"/>
              <w:spacing w:before="0" w:after="283"/>
              <w:jc w:val="right"/>
              <w:rPr/>
            </w:pPr>
            <w:r>
              <w:rPr/>
              <w:t>(177,560</w:t>
            </w:r>
          </w:p>
        </w:tc>
        <w:tc>
          <w:tcPr>
            <w:tcW w:w="85" w:type="dxa"/>
            <w:tcBorders/>
            <w:shd w:fill="CCEEFF" w:val="clear"/>
            <w:vAlign w:val="center"/>
          </w:tcPr>
          <w:p>
            <w:pPr>
              <w:pStyle w:val="TableContents"/>
              <w:spacing w:before="0" w:after="283"/>
              <w:ind w:left="0" w:right="0" w:hanging="180"/>
              <w:jc w:val="left"/>
              <w:rPr/>
            </w:pPr>
            <w:r>
              <w:rPr/>
              <w:t>)</w:t>
            </w:r>
          </w:p>
        </w:tc>
      </w:tr>
      <w:tr>
        <w:trPr/>
        <w:tc>
          <w:tcPr>
            <w:tcW w:w="7172" w:type="dxa"/>
            <w:tcBorders/>
            <w:shd w:fill="auto" w:val="clear"/>
            <w:vAlign w:val="center"/>
          </w:tcPr>
          <w:p>
            <w:pPr>
              <w:pStyle w:val="TableContents"/>
              <w:spacing w:before="0" w:after="283"/>
              <w:jc w:val="left"/>
              <w:rPr>
                <w:b/>
              </w:rPr>
            </w:pPr>
            <w:r>
              <w:rPr>
                <w:b/>
              </w:rPr>
              <w:t>Total stockholders’ equity</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b/>
              </w:rPr>
            </w:pPr>
            <w:r>
              <w:rPr>
                <w:b/>
              </w:rPr>
              <w:t>269,384,516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32" w:type="dxa"/>
            <w:tcBorders>
              <w:bottom w:val="single" w:sz="12" w:space="0" w:color="000000"/>
            </w:tcBorders>
            <w:shd w:fill="auto" w:val="clear"/>
            <w:tcMar>
              <w:bottom w:w="28" w:type="dxa"/>
            </w:tcMar>
            <w:vAlign w:val="center"/>
          </w:tcPr>
          <w:p>
            <w:pPr>
              <w:pStyle w:val="TableContents"/>
              <w:spacing w:before="0" w:after="283"/>
              <w:jc w:val="right"/>
              <w:rPr>
                <w:b/>
              </w:rPr>
            </w:pPr>
            <w:r>
              <w:rPr>
                <w:b/>
              </w:rPr>
              <w:t>264,077,968</w:t>
            </w:r>
          </w:p>
        </w:tc>
        <w:tc>
          <w:tcPr>
            <w:tcW w:w="85" w:type="dxa"/>
            <w:tcBorders/>
            <w:shd w:fill="auto" w:val="clear"/>
            <w:vAlign w:val="center"/>
          </w:tcPr>
          <w:p>
            <w:pPr>
              <w:pStyle w:val="TableContents"/>
              <w:spacing w:before="0" w:after="283"/>
              <w:ind w:left="0" w:right="0" w:hanging="180"/>
              <w:jc w:val="left"/>
              <w:rPr/>
            </w:pPr>
            <w:r>
              <w:rPr/>
              <w:t> </w:t>
            </w:r>
          </w:p>
        </w:tc>
      </w:tr>
      <w:tr>
        <w:trPr/>
        <w:tc>
          <w:tcPr>
            <w:tcW w:w="7172"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jc w:val="left"/>
              <w:rPr/>
            </w:pPr>
            <w:r>
              <w:rPr/>
              <w:t> </w:t>
            </w:r>
          </w:p>
        </w:tc>
        <w:tc>
          <w:tcPr>
            <w:tcW w:w="1232" w:type="dxa"/>
            <w:tcBorders/>
            <w:shd w:fill="CCEEFF" w:val="clear"/>
            <w:vAlign w:val="center"/>
          </w:tcPr>
          <w:p>
            <w:pPr>
              <w:pStyle w:val="TableContents"/>
              <w:spacing w:before="0" w:after="283"/>
              <w:jc w:val="right"/>
              <w:rPr/>
            </w:pPr>
            <w:r>
              <w:rPr/>
              <w:t> </w:t>
            </w:r>
          </w:p>
        </w:tc>
        <w:tc>
          <w:tcPr>
            <w:tcW w:w="85" w:type="dxa"/>
            <w:tcBorders/>
            <w:shd w:fill="CCEEFF" w:val="clear"/>
            <w:vAlign w:val="center"/>
          </w:tcPr>
          <w:p>
            <w:pPr>
              <w:pStyle w:val="TableContents"/>
              <w:spacing w:before="0" w:after="283"/>
              <w:ind w:left="0" w:right="0" w:hanging="180"/>
              <w:jc w:val="left"/>
              <w:rPr/>
            </w:pPr>
            <w:r>
              <w:rPr/>
              <w:t> </w:t>
            </w:r>
          </w:p>
        </w:tc>
      </w:tr>
      <w:tr>
        <w:trPr/>
        <w:tc>
          <w:tcPr>
            <w:tcW w:w="7172" w:type="dxa"/>
            <w:tcBorders/>
            <w:shd w:fill="auto" w:val="clear"/>
            <w:vAlign w:val="center"/>
          </w:tcPr>
          <w:p>
            <w:pPr>
              <w:pStyle w:val="TableContents"/>
              <w:spacing w:before="0" w:after="283"/>
              <w:jc w:val="left"/>
              <w:rPr>
                <w:b/>
              </w:rPr>
            </w:pPr>
            <w:r>
              <w:rPr>
                <w:b/>
              </w:rPr>
              <w:t>Total liabilities and stockholders’ equity</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b/>
              </w:rPr>
            </w:pPr>
            <w:r>
              <w:rPr>
                <w:b/>
              </w:rPr>
              <w:t>285,907,904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232" w:type="dxa"/>
            <w:tcBorders>
              <w:bottom w:val="double" w:sz="10" w:space="0" w:color="000000"/>
            </w:tcBorders>
            <w:shd w:fill="auto" w:val="clear"/>
            <w:tcMar>
              <w:bottom w:w="28" w:type="dxa"/>
            </w:tcMar>
            <w:vAlign w:val="center"/>
          </w:tcPr>
          <w:p>
            <w:pPr>
              <w:pStyle w:val="TableContents"/>
              <w:spacing w:before="0" w:after="283"/>
              <w:jc w:val="right"/>
              <w:rPr>
                <w:b/>
              </w:rPr>
            </w:pPr>
            <w:r>
              <w:rPr>
                <w:b/>
              </w:rPr>
              <w:t>278,170,455</w:t>
            </w:r>
          </w:p>
        </w:tc>
        <w:tc>
          <w:tcPr>
            <w:tcW w:w="85"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CHICAGO ATLANTIC REAL ESTATE FINANCE, INC.</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INCOME</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10160" w:type="dxa"/>
        <w:jc w:val="left"/>
        <w:tblInd w:w="0" w:type="dxa"/>
        <w:tblCellMar>
          <w:top w:w="0" w:type="dxa"/>
          <w:left w:w="0" w:type="dxa"/>
          <w:bottom w:w="0" w:type="dxa"/>
          <w:right w:w="0" w:type="dxa"/>
        </w:tblCellMar>
      </w:tblPr>
      <w:tblGrid>
        <w:gridCol w:w="6995"/>
        <w:gridCol w:w="60"/>
        <w:gridCol w:w="152"/>
        <w:gridCol w:w="1203"/>
        <w:gridCol w:w="60"/>
        <w:gridCol w:w="60"/>
        <w:gridCol w:w="271"/>
        <w:gridCol w:w="1084"/>
        <w:gridCol w:w="275"/>
      </w:tblGrid>
      <w:tr>
        <w:trPr/>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 months</w:t>
              <w:br/>
              <w:t xml:space="preserve">ended </w:t>
              <w:br/>
              <w:t>March 31,</w:t>
              <w:b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Period from</w:t>
              <w:br/>
              <w:t>March 30,</w:t>
              <w:br/>
              <w:t>2021</w:t>
              <w:br/>
              <w:t>(inception) to</w:t>
              <w:br/>
              <w:t>March 31,</w:t>
              <w:br/>
              <w:t>2021</w:t>
            </w:r>
          </w:p>
        </w:tc>
        <w:tc>
          <w:tcPr>
            <w:tcW w:w="275" w:type="dxa"/>
            <w:tcBorders/>
            <w:shd w:fill="auto" w:val="clear"/>
            <w:vAlign w:val="center"/>
          </w:tcPr>
          <w:p>
            <w:pPr>
              <w:pStyle w:val="TableContents"/>
              <w:spacing w:before="0" w:after="283"/>
              <w:rPr/>
            </w:pPr>
            <w:r>
              <w:rPr/>
              <w:t> </w:t>
            </w:r>
          </w:p>
        </w:tc>
      </w:tr>
      <w:tr>
        <w:trPr/>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pPr>
            <w:r>
              <w:rPr/>
              <w:t> </w:t>
            </w:r>
          </w:p>
        </w:tc>
      </w:tr>
      <w:tr>
        <w:trPr/>
        <w:tc>
          <w:tcPr>
            <w:tcW w:w="6995" w:type="dxa"/>
            <w:tcBorders/>
            <w:shd w:fill="auto" w:val="clear"/>
            <w:vAlign w:val="center"/>
          </w:tcPr>
          <w:p>
            <w:pPr>
              <w:pStyle w:val="TableContents"/>
              <w:spacing w:before="0" w:after="283"/>
              <w:rPr>
                <w:b/>
              </w:rPr>
            </w:pPr>
            <w:r>
              <w:rPr>
                <w:b/>
              </w:rPr>
              <w:t>Revenues</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ind w:left="0" w:right="0" w:firstLine="200"/>
              <w:rPr/>
            </w:pPr>
            <w:r>
              <w:rPr/>
              <w:t> </w:t>
            </w:r>
          </w:p>
        </w:tc>
      </w:tr>
      <w:tr>
        <w:trPr/>
        <w:tc>
          <w:tcPr>
            <w:tcW w:w="6995" w:type="dxa"/>
            <w:tcBorders/>
            <w:shd w:fill="CCEEFF" w:val="clear"/>
            <w:vAlign w:val="center"/>
          </w:tcPr>
          <w:p>
            <w:pPr>
              <w:pStyle w:val="TableContents"/>
              <w:spacing w:before="0" w:after="283"/>
              <w:jc w:val="left"/>
              <w:rPr/>
            </w:pPr>
            <w:r>
              <w:rPr/>
              <w:t>Interest income</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9,833,053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084"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2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jc w:val="left"/>
              <w:rPr>
                <w:b/>
              </w:rPr>
            </w:pPr>
            <w:r>
              <w:rPr>
                <w:b/>
              </w:rPr>
              <w:t>Total revenues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9,833,053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b/>
              </w:rPr>
            </w:pPr>
            <w:r>
              <w:rPr>
                <w:b/>
              </w:rPr>
              <w:t>Expenses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ind w:left="0" w:right="0" w:firstLine="200"/>
              <w:jc w:val="left"/>
              <w:rPr/>
            </w:pPr>
            <w:r>
              <w:rPr/>
              <w:t> </w:t>
            </w:r>
          </w:p>
        </w:tc>
      </w:tr>
      <w:tr>
        <w:trPr/>
        <w:tc>
          <w:tcPr>
            <w:tcW w:w="6995" w:type="dxa"/>
            <w:tcBorders/>
            <w:shd w:fill="CCEEFF" w:val="clear"/>
            <w:vAlign w:val="center"/>
          </w:tcPr>
          <w:p>
            <w:pPr>
              <w:pStyle w:val="TableContents"/>
              <w:spacing w:before="0" w:after="283"/>
              <w:jc w:val="left"/>
              <w:rPr/>
            </w:pPr>
            <w:r>
              <w:rPr/>
              <w:t>Management and incentive fees, net</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671,505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0"/>
              <w:jc w:val="right"/>
              <w:rPr/>
            </w:pPr>
            <w:r>
              <w:rPr/>
              <w:t>-</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6995" w:type="dxa"/>
            <w:tcBorders/>
            <w:shd w:fill="auto" w:val="clear"/>
            <w:vAlign w:val="center"/>
          </w:tcPr>
          <w:p>
            <w:pPr>
              <w:pStyle w:val="TableContents"/>
              <w:spacing w:before="0" w:after="283"/>
              <w:jc w:val="left"/>
              <w:rPr/>
            </w:pPr>
            <w:r>
              <w:rPr/>
              <w:t>General and administrative expense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556,141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283"/>
              <w:ind w:left="0" w:right="0" w:firstLine="200"/>
              <w:jc w:val="left"/>
              <w:rPr/>
            </w:pPr>
            <w:r>
              <w:rPr/>
              <w:t> </w:t>
            </w:r>
          </w:p>
        </w:tc>
      </w:tr>
      <w:tr>
        <w:trPr/>
        <w:tc>
          <w:tcPr>
            <w:tcW w:w="6995" w:type="dxa"/>
            <w:tcBorders/>
            <w:shd w:fill="CCEEFF" w:val="clear"/>
            <w:vAlign w:val="center"/>
          </w:tcPr>
          <w:p>
            <w:pPr>
              <w:pStyle w:val="TableContents"/>
              <w:spacing w:before="0" w:after="283"/>
              <w:jc w:val="left"/>
              <w:rPr/>
            </w:pPr>
            <w:r>
              <w:rPr/>
              <w:t>Provision for current expected credit losses</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51,343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0"/>
              <w:jc w:val="right"/>
              <w:rPr/>
            </w:pPr>
            <w:r>
              <w:rPr/>
              <w:t>-</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6995" w:type="dxa"/>
            <w:tcBorders/>
            <w:shd w:fill="auto" w:val="clear"/>
            <w:vAlign w:val="center"/>
          </w:tcPr>
          <w:p>
            <w:pPr>
              <w:pStyle w:val="TableContents"/>
              <w:spacing w:before="0" w:after="283"/>
              <w:jc w:val="left"/>
              <w:rPr/>
            </w:pPr>
            <w:r>
              <w:rPr/>
              <w:t>Amortization of deferred debt issuance costs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72,268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283"/>
              <w:ind w:left="0" w:right="0" w:firstLine="200"/>
              <w:jc w:val="left"/>
              <w:rPr/>
            </w:pPr>
            <w:r>
              <w:rPr/>
              <w:t> </w:t>
            </w:r>
          </w:p>
        </w:tc>
      </w:tr>
      <w:tr>
        <w:trPr/>
        <w:tc>
          <w:tcPr>
            <w:tcW w:w="6995" w:type="dxa"/>
            <w:tcBorders/>
            <w:shd w:fill="CCEEFF" w:val="clear"/>
            <w:vAlign w:val="center"/>
          </w:tcPr>
          <w:p>
            <w:pPr>
              <w:pStyle w:val="TableContents"/>
              <w:spacing w:before="0" w:after="283"/>
              <w:jc w:val="left"/>
              <w:rPr/>
            </w:pPr>
            <w:r>
              <w:rPr/>
              <w:t>Professional fees</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556,904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0"/>
              <w:jc w:val="right"/>
              <w:rPr/>
            </w:pPr>
            <w:r>
              <w:rPr/>
              <w:t>-</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6995" w:type="dxa"/>
            <w:tcBorders/>
            <w:shd w:fill="auto" w:val="clear"/>
            <w:vAlign w:val="center"/>
          </w:tcPr>
          <w:p>
            <w:pPr>
              <w:pStyle w:val="TableContents"/>
              <w:spacing w:before="0" w:after="283"/>
              <w:jc w:val="left"/>
              <w:rPr/>
            </w:pPr>
            <w:r>
              <w:rPr/>
              <w:t>Stock based compensation</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pPr>
            <w:r>
              <w:rPr/>
              <w:t>120,940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84"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jc w:val="left"/>
              <w:rPr>
                <w:b/>
              </w:rPr>
            </w:pPr>
            <w:r>
              <w:rPr>
                <w:b/>
              </w:rPr>
              <w:t>Total expenses</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pPr>
            <w:r>
              <w:rPr/>
              <w:t>2,029,101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4"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2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jc w:val="left"/>
              <w:rPr>
                <w:b/>
              </w:rPr>
            </w:pPr>
            <w:r>
              <w:rPr>
                <w:b/>
              </w:rPr>
              <w:t>Net Income before income taxes</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b/>
              </w:rPr>
            </w:pPr>
            <w:r>
              <w:rPr>
                <w:b/>
              </w:rPr>
              <w:t>7,803,952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4" w:type="dxa"/>
            <w:tcBorders>
              <w:bottom w:val="single" w:sz="12" w:space="0" w:color="000000"/>
            </w:tcBorders>
            <w:shd w:fill="CCEEFF" w:val="clear"/>
            <w:tcMar>
              <w:bottom w:w="28" w:type="dxa"/>
            </w:tcMar>
            <w:vAlign w:val="center"/>
          </w:tcPr>
          <w:p>
            <w:pPr>
              <w:pStyle w:val="TableContents"/>
              <w:spacing w:before="0" w:after="0"/>
              <w:jc w:val="right"/>
              <w:rPr>
                <w:b/>
              </w:rPr>
            </w:pPr>
            <w:r>
              <w:rPr>
                <w:b/>
              </w:rPr>
              <w:t>-</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6995" w:type="dxa"/>
            <w:tcBorders/>
            <w:shd w:fill="auto" w:val="clear"/>
            <w:vAlign w:val="center"/>
          </w:tcPr>
          <w:p>
            <w:pPr>
              <w:pStyle w:val="TableContents"/>
              <w:spacing w:before="0" w:after="283"/>
              <w:jc w:val="left"/>
              <w:rPr/>
            </w:pPr>
            <w:r>
              <w:rPr/>
              <w:t>Income tax expense</w:t>
            </w:r>
          </w:p>
        </w:tc>
        <w:tc>
          <w:tcPr>
            <w:tcW w:w="60" w:type="dxa"/>
            <w:tcBorders/>
            <w:shd w:fill="auto" w:val="clear"/>
            <w:vAlign w:val="center"/>
          </w:tcPr>
          <w:p>
            <w:pPr>
              <w:pStyle w:val="TableContents"/>
              <w:spacing w:before="0" w:after="283"/>
              <w:rPr/>
            </w:pPr>
            <w:r>
              <w:rPr/>
              <w:t> </w:t>
            </w:r>
          </w:p>
        </w:tc>
        <w:tc>
          <w:tcPr>
            <w:tcW w:w="15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84"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jc w:val="left"/>
              <w:rPr>
                <w:b/>
              </w:rPr>
            </w:pPr>
            <w:r>
              <w:rPr>
                <w:b/>
              </w:rPr>
              <w:t>Net Income</w:t>
            </w:r>
          </w:p>
        </w:tc>
        <w:tc>
          <w:tcPr>
            <w:tcW w:w="60" w:type="dxa"/>
            <w:tcBorders/>
            <w:shd w:fill="CCEEFF" w:val="clear"/>
            <w:vAlign w:val="center"/>
          </w:tcPr>
          <w:p>
            <w:pPr>
              <w:pStyle w:val="TableContents"/>
              <w:spacing w:before="0" w:after="283"/>
              <w:rPr/>
            </w:pPr>
            <w:r>
              <w:rPr/>
              <w:t> </w:t>
            </w:r>
          </w:p>
        </w:tc>
        <w:tc>
          <w:tcPr>
            <w:tcW w:w="152"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203" w:type="dxa"/>
            <w:tcBorders>
              <w:bottom w:val="single" w:sz="12" w:space="0" w:color="000000"/>
            </w:tcBorders>
            <w:shd w:fill="CCEEFF" w:val="clear"/>
            <w:tcMar>
              <w:bottom w:w="28" w:type="dxa"/>
            </w:tcMar>
            <w:vAlign w:val="center"/>
          </w:tcPr>
          <w:p>
            <w:pPr>
              <w:pStyle w:val="TableContents"/>
              <w:spacing w:before="0" w:after="283"/>
              <w:jc w:val="right"/>
              <w:rPr>
                <w:b/>
              </w:rPr>
            </w:pPr>
            <w:r>
              <w:rPr>
                <w:b/>
              </w:rPr>
              <w:t>7,803,952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12" w:space="0" w:color="000000"/>
            </w:tcBorders>
            <w:shd w:fill="CCEEFF" w:val="clear"/>
            <w:tcMar>
              <w:bottom w:w="28" w:type="dxa"/>
            </w:tcMar>
            <w:vAlign w:val="center"/>
          </w:tcPr>
          <w:p>
            <w:pPr>
              <w:pStyle w:val="TableContents"/>
              <w:spacing w:before="0" w:after="283"/>
              <w:jc w:val="left"/>
              <w:rPr>
                <w:b/>
              </w:rPr>
            </w:pPr>
            <w:r>
              <w:rPr>
                <w:b/>
              </w:rPr>
              <w:t>$</w:t>
            </w:r>
          </w:p>
        </w:tc>
        <w:tc>
          <w:tcPr>
            <w:tcW w:w="1084" w:type="dxa"/>
            <w:tcBorders>
              <w:bottom w:val="single" w:sz="12" w:space="0" w:color="000000"/>
            </w:tcBorders>
            <w:shd w:fill="CCEEFF" w:val="clear"/>
            <w:tcMar>
              <w:bottom w:w="28" w:type="dxa"/>
            </w:tcMar>
            <w:vAlign w:val="center"/>
          </w:tcPr>
          <w:p>
            <w:pPr>
              <w:pStyle w:val="TableContents"/>
              <w:spacing w:before="0" w:after="0"/>
              <w:jc w:val="right"/>
              <w:rPr>
                <w:b/>
              </w:rPr>
            </w:pPr>
            <w:r>
              <w:rPr>
                <w:b/>
              </w:rPr>
              <w:t>-</w:t>
            </w:r>
          </w:p>
        </w:tc>
        <w:tc>
          <w:tcPr>
            <w:tcW w:w="2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rPr>
                <w:b/>
              </w:rPr>
            </w:pPr>
            <w:r>
              <w:rPr>
                <w:b/>
              </w:rPr>
              <w:t>Earnings per common share: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ind w:left="0" w:right="0" w:firstLine="200"/>
              <w:jc w:val="left"/>
              <w:rPr/>
            </w:pPr>
            <w:r>
              <w:rPr/>
              <w:t> </w:t>
            </w:r>
          </w:p>
        </w:tc>
      </w:tr>
      <w:tr>
        <w:trPr/>
        <w:tc>
          <w:tcPr>
            <w:tcW w:w="6995" w:type="dxa"/>
            <w:tcBorders/>
            <w:shd w:fill="auto" w:val="clear"/>
            <w:vAlign w:val="center"/>
          </w:tcPr>
          <w:p>
            <w:pPr>
              <w:pStyle w:val="TableContents"/>
              <w:spacing w:before="0" w:after="283"/>
              <w:rPr/>
            </w:pPr>
            <w:r>
              <w:rPr/>
              <w:t>Basic earnings per common share (in dollars per share)</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w:t>
            </w:r>
          </w:p>
        </w:tc>
        <w:tc>
          <w:tcPr>
            <w:tcW w:w="1203" w:type="dxa"/>
            <w:tcBorders/>
            <w:shd w:fill="auto" w:val="clear"/>
            <w:vAlign w:val="center"/>
          </w:tcPr>
          <w:p>
            <w:pPr>
              <w:pStyle w:val="TableContents"/>
              <w:spacing w:before="0" w:after="283"/>
              <w:jc w:val="right"/>
              <w:rPr/>
            </w:pPr>
            <w:r>
              <w:rPr/>
              <w:t>0.44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w:t>
            </w:r>
          </w:p>
        </w:tc>
        <w:tc>
          <w:tcPr>
            <w:tcW w:w="1084" w:type="dxa"/>
            <w:tcBorders/>
            <w:shd w:fill="auto" w:val="cle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283"/>
              <w:ind w:left="0" w:right="0" w:firstLine="200"/>
              <w:jc w:val="left"/>
              <w:rPr/>
            </w:pPr>
            <w:r>
              <w:rPr/>
              <w:t> </w:t>
            </w:r>
          </w:p>
        </w:tc>
      </w:tr>
      <w:tr>
        <w:trPr/>
        <w:tc>
          <w:tcPr>
            <w:tcW w:w="6995" w:type="dxa"/>
            <w:tcBorders/>
            <w:shd w:fill="CCEEFF" w:val="clear"/>
            <w:vAlign w:val="center"/>
          </w:tcPr>
          <w:p>
            <w:pPr>
              <w:pStyle w:val="TableContents"/>
              <w:spacing w:before="0" w:after="283"/>
              <w:rPr/>
            </w:pPr>
            <w:r>
              <w:rPr/>
              <w:t>Diluted earnings per common share (in dollars per share)</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w:t>
            </w:r>
          </w:p>
        </w:tc>
        <w:tc>
          <w:tcPr>
            <w:tcW w:w="1203" w:type="dxa"/>
            <w:tcBorders/>
            <w:shd w:fill="CCEEFF" w:val="clear"/>
            <w:vAlign w:val="center"/>
          </w:tcPr>
          <w:p>
            <w:pPr>
              <w:pStyle w:val="TableContents"/>
              <w:spacing w:before="0" w:after="283"/>
              <w:jc w:val="right"/>
              <w:rPr/>
            </w:pPr>
            <w:r>
              <w:rPr/>
              <w:t>0.44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w:t>
            </w:r>
          </w:p>
        </w:tc>
        <w:tc>
          <w:tcPr>
            <w:tcW w:w="1084" w:type="dxa"/>
            <w:tcBorders/>
            <w:shd w:fill="CCEEFF" w:val="clear"/>
            <w:vAlign w:val="center"/>
          </w:tcPr>
          <w:p>
            <w:pPr>
              <w:pStyle w:val="TableContents"/>
              <w:spacing w:before="0" w:after="0"/>
              <w:jc w:val="right"/>
              <w:rPr/>
            </w:pPr>
            <w:r>
              <w:rPr/>
              <w:t>-</w:t>
            </w:r>
          </w:p>
        </w:tc>
        <w:tc>
          <w:tcPr>
            <w:tcW w:w="2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pPr>
            <w:r>
              <w:rPr/>
              <w:t> </w:t>
            </w:r>
          </w:p>
        </w:tc>
        <w:tc>
          <w:tcPr>
            <w:tcW w:w="2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rPr>
                <w:b/>
              </w:rPr>
            </w:pPr>
            <w:r>
              <w:rPr>
                <w:b/>
              </w:rPr>
              <w:t>Weighted average number of common shares outstanding:</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 </w:t>
            </w:r>
          </w:p>
        </w:tc>
        <w:tc>
          <w:tcPr>
            <w:tcW w:w="2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pPr>
            <w:r>
              <w:rPr/>
              <w:t>Basic weighted average shares of common stock outstanding (in shares)</w:t>
            </w:r>
          </w:p>
        </w:tc>
        <w:tc>
          <w:tcPr>
            <w:tcW w:w="60" w:type="dxa"/>
            <w:tcBorders/>
            <w:shd w:fill="auto" w:val="clear"/>
            <w:vAlign w:val="center"/>
          </w:tcPr>
          <w:p>
            <w:pPr>
              <w:pStyle w:val="TableContents"/>
              <w:spacing w:before="0" w:after="283"/>
              <w:rPr/>
            </w:pPr>
            <w:r>
              <w:rPr/>
              <w:t> </w:t>
            </w:r>
          </w:p>
        </w:tc>
        <w:tc>
          <w:tcPr>
            <w:tcW w:w="152" w:type="dxa"/>
            <w:tcBorders/>
            <w:shd w:fill="auto" w:val="clear"/>
            <w:vAlign w:val="center"/>
          </w:tcPr>
          <w:p>
            <w:pPr>
              <w:pStyle w:val="TableContents"/>
              <w:spacing w:before="0" w:after="283"/>
              <w:jc w:val="left"/>
              <w:rPr/>
            </w:pPr>
            <w:r>
              <w:rPr/>
              <w:t> </w:t>
            </w:r>
          </w:p>
        </w:tc>
        <w:tc>
          <w:tcPr>
            <w:tcW w:w="1203" w:type="dxa"/>
            <w:tcBorders/>
            <w:shd w:fill="auto" w:val="clear"/>
            <w:vAlign w:val="center"/>
          </w:tcPr>
          <w:p>
            <w:pPr>
              <w:pStyle w:val="TableContents"/>
              <w:spacing w:before="0" w:after="283"/>
              <w:jc w:val="right"/>
              <w:rPr/>
            </w:pPr>
            <w:r>
              <w:rPr/>
              <w:t>17,641,090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pPr>
            <w:r>
              <w:rPr/>
              <w:t>6,427</w:t>
            </w:r>
          </w:p>
        </w:tc>
        <w:tc>
          <w:tcPr>
            <w:tcW w:w="2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rPr/>
            </w:pPr>
            <w:r>
              <w:rPr/>
              <w:t>Diluted weighted average shares of common stock outstanding (in shares)</w:t>
            </w:r>
          </w:p>
        </w:tc>
        <w:tc>
          <w:tcPr>
            <w:tcW w:w="60" w:type="dxa"/>
            <w:tcBorders/>
            <w:shd w:fill="CCEEFF" w:val="clear"/>
            <w:vAlign w:val="center"/>
          </w:tcPr>
          <w:p>
            <w:pPr>
              <w:pStyle w:val="TableContents"/>
              <w:spacing w:before="0" w:after="283"/>
              <w:rPr/>
            </w:pPr>
            <w:r>
              <w:rPr/>
              <w:t> </w:t>
            </w:r>
          </w:p>
        </w:tc>
        <w:tc>
          <w:tcPr>
            <w:tcW w:w="152" w:type="dxa"/>
            <w:tcBorders/>
            <w:shd w:fill="CCEEFF" w:val="clear"/>
            <w:vAlign w:val="center"/>
          </w:tcPr>
          <w:p>
            <w:pPr>
              <w:pStyle w:val="TableContents"/>
              <w:spacing w:before="0" w:after="283"/>
              <w:jc w:val="left"/>
              <w:rPr/>
            </w:pPr>
            <w:r>
              <w:rPr/>
              <w:t> </w:t>
            </w:r>
          </w:p>
        </w:tc>
        <w:tc>
          <w:tcPr>
            <w:tcW w:w="1203" w:type="dxa"/>
            <w:tcBorders/>
            <w:shd w:fill="CCEEFF" w:val="clear"/>
            <w:vAlign w:val="center"/>
          </w:tcPr>
          <w:p>
            <w:pPr>
              <w:pStyle w:val="TableContents"/>
              <w:spacing w:before="0" w:after="283"/>
              <w:jc w:val="right"/>
              <w:rPr/>
            </w:pPr>
            <w:r>
              <w:rPr/>
              <w:t>17,737,975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6,427</w:t>
            </w:r>
          </w:p>
        </w:tc>
        <w:tc>
          <w:tcPr>
            <w:tcW w:w="2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CHICAGO ATLANTIC REAL ESTATE FINANCE,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EQUITY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219"/>
        <w:gridCol w:w="60"/>
        <w:gridCol w:w="60"/>
        <w:gridCol w:w="950"/>
        <w:gridCol w:w="80"/>
        <w:gridCol w:w="60"/>
        <w:gridCol w:w="125"/>
        <w:gridCol w:w="695"/>
        <w:gridCol w:w="60"/>
        <w:gridCol w:w="60"/>
        <w:gridCol w:w="125"/>
        <w:gridCol w:w="1055"/>
        <w:gridCol w:w="60"/>
        <w:gridCol w:w="60"/>
        <w:gridCol w:w="137"/>
        <w:gridCol w:w="993"/>
        <w:gridCol w:w="80"/>
        <w:gridCol w:w="60"/>
        <w:gridCol w:w="125"/>
        <w:gridCol w:w="1055"/>
        <w:gridCol w:w="86"/>
      </w:tblGrid>
      <w:tr>
        <w:trPr/>
        <w:tc>
          <w:tcPr>
            <w:tcW w:w="4219" w:type="dxa"/>
            <w:tcBorders/>
            <w:shd w:fill="auto" w:val="clear"/>
            <w:vAlign w:val="center"/>
          </w:tcPr>
          <w:p>
            <w:pPr>
              <w:pStyle w:val="TableContents"/>
              <w:spacing w:before="0" w:after="283"/>
              <w:ind w:left="0" w:right="0" w:hanging="180"/>
              <w:rPr/>
            </w:pPr>
            <w:r>
              <w:rPr/>
              <w:t> </w:t>
            </w:r>
          </w:p>
        </w:tc>
        <w:tc>
          <w:tcPr>
            <w:tcW w:w="60" w:type="dxa"/>
            <w:tcBorders/>
            <w:shd w:fill="auto" w:val="clear"/>
            <w:vAlign w:val="center"/>
          </w:tcPr>
          <w:p>
            <w:pPr>
              <w:pStyle w:val="TableContents"/>
              <w:spacing w:before="0" w:after="283"/>
              <w:rPr/>
            </w:pPr>
            <w:r>
              <w:rPr/>
              <w:t> </w:t>
            </w:r>
          </w:p>
        </w:tc>
        <w:tc>
          <w:tcPr>
            <w:tcW w:w="197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Accumulated</w:t>
              <w:br/>
              <w:t>Earnings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86" w:type="dxa"/>
            <w:tcBorders/>
            <w:shd w:fill="auto" w:val="clear"/>
            <w:vAlign w:val="center"/>
          </w:tcPr>
          <w:p>
            <w:pPr>
              <w:pStyle w:val="TableContents"/>
              <w:spacing w:before="0" w:after="283"/>
              <w:ind w:left="0" w:right="0" w:hanging="180"/>
              <w:rPr/>
            </w:pPr>
            <w:r>
              <w:rPr/>
              <w:t> </w:t>
            </w:r>
          </w:p>
        </w:tc>
      </w:tr>
      <w:tr>
        <w:trPr/>
        <w:tc>
          <w:tcPr>
            <w:tcW w:w="42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6" w:type="dxa"/>
            <w:tcBorders/>
            <w:shd w:fill="auto" w:val="clear"/>
            <w:vAlign w:val="center"/>
          </w:tcPr>
          <w:p>
            <w:pPr>
              <w:pStyle w:val="TableContents"/>
              <w:spacing w:before="0" w:after="283"/>
              <w:ind w:left="0" w:right="0" w:hanging="180"/>
              <w:rPr/>
            </w:pPr>
            <w:r>
              <w:rPr/>
              <w:t> </w:t>
            </w:r>
          </w:p>
        </w:tc>
      </w:tr>
      <w:tr>
        <w:trPr/>
        <w:tc>
          <w:tcPr>
            <w:tcW w:w="42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30" w:type="dxa"/>
            <w:gridSpan w:val="2"/>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80" w:type="dxa"/>
            <w:gridSpan w:val="2"/>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ind w:left="0" w:right="0" w:hanging="180"/>
              <w:rPr/>
            </w:pPr>
            <w:r>
              <w:rPr/>
              <w:t> </w:t>
            </w:r>
          </w:p>
        </w:tc>
      </w:tr>
      <w:tr>
        <w:trPr/>
        <w:tc>
          <w:tcPr>
            <w:tcW w:w="4219" w:type="dxa"/>
            <w:tcBorders/>
            <w:shd w:fill="CCEE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Balance at March 30, 2021 (inception)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spacing w:before="0" w:after="283"/>
              <w:ind w:left="0" w:right="0" w:hanging="180"/>
              <w:rPr/>
            </w:pPr>
            <w:r>
              <w:rPr/>
              <w:t> </w:t>
            </w:r>
          </w:p>
        </w:tc>
      </w:tr>
      <w:tr>
        <w:trPr/>
        <w:tc>
          <w:tcPr>
            <w:tcW w:w="4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Issuance of common stock in connection with sale of unregistered equity securities</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6,427</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rPr/>
            </w:pPr>
            <w:r>
              <w:rPr/>
              <w:t> </w:t>
            </w:r>
          </w:p>
        </w:tc>
        <w:tc>
          <w:tcPr>
            <w:tcW w:w="105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 w:type="dxa"/>
            <w:tcBorders>
              <w:bottom w:val="single" w:sz="12" w:space="0" w:color="000000"/>
            </w:tcBorders>
            <w:shd w:fill="auto" w:val="clear"/>
            <w:tcMar>
              <w:bottom w:w="28" w:type="dxa"/>
            </w:tcMar>
            <w:vAlign w:val="center"/>
          </w:tcPr>
          <w:p>
            <w:pPr>
              <w:pStyle w:val="TableContents"/>
              <w:spacing w:before="0" w:after="283"/>
              <w:rPr/>
            </w:pPr>
            <w:r>
              <w:rPr/>
              <w:t> </w:t>
            </w:r>
          </w:p>
        </w:tc>
        <w:tc>
          <w:tcPr>
            <w:tcW w:w="993"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100,000</w:t>
            </w:r>
          </w:p>
        </w:tc>
        <w:tc>
          <w:tcPr>
            <w:tcW w:w="86" w:type="dxa"/>
            <w:tcBorders/>
            <w:shd w:fill="auto" w:val="clear"/>
            <w:vAlign w:val="center"/>
          </w:tcPr>
          <w:p>
            <w:pPr>
              <w:pStyle w:val="TableContents"/>
              <w:spacing w:before="0" w:after="283"/>
              <w:ind w:left="0" w:right="0" w:hanging="180"/>
              <w:rPr/>
            </w:pPr>
            <w:r>
              <w:rPr/>
              <w:t> </w:t>
            </w:r>
          </w:p>
        </w:tc>
      </w:tr>
      <w:tr>
        <w:trPr/>
        <w:tc>
          <w:tcPr>
            <w:tcW w:w="4219" w:type="dxa"/>
            <w:tcBorders/>
            <w:shd w:fill="CCEE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Balance at March 31, 2021</w:t>
            </w:r>
          </w:p>
        </w:tc>
        <w:tc>
          <w:tcPr>
            <w:tcW w:w="60" w:type="dxa"/>
            <w:tcBorders/>
            <w:shd w:fill="CCEEFF" w:val="clear"/>
            <w:vAlign w:val="center"/>
          </w:tcPr>
          <w:p>
            <w:pPr>
              <w:pStyle w:val="TableContents"/>
              <w:spacing w:before="0" w:after="283"/>
              <w:rPr/>
            </w:pPr>
            <w:r>
              <w:rPr/>
              <w:t> </w:t>
            </w:r>
          </w:p>
        </w:tc>
        <w:tc>
          <w:tcPr>
            <w:tcW w:w="60" w:type="dxa"/>
            <w:tcBorders>
              <w:bottom w:val="double" w:sz="12" w:space="0" w:color="000000"/>
            </w:tcBorders>
            <w:shd w:fill="CCEEFF" w:val="clear"/>
            <w:tcMar>
              <w:bottom w:w="28" w:type="dxa"/>
            </w:tcMar>
            <w:vAlign w:val="center"/>
          </w:tcPr>
          <w:p>
            <w:pPr>
              <w:pStyle w:val="TableContents"/>
              <w:spacing w:before="0" w:after="283"/>
              <w:rPr/>
            </w:pPr>
            <w:r>
              <w:rPr/>
              <w:t> </w:t>
            </w:r>
          </w:p>
        </w:tc>
        <w:tc>
          <w:tcPr>
            <w:tcW w:w="950" w:type="dxa"/>
            <w:tcBorders>
              <w:bottom w:val="doub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6,427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bottom w:val="doub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100,000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bottom w:val="doub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bottom w:val="double" w:sz="1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3" w:type="dxa"/>
            <w:tcBorders>
              <w:bottom w:val="doub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2" w:space="0" w:color="000000"/>
            </w:tcBorders>
            <w:shd w:fill="CCEE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bottom w:val="doub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100,000</w:t>
            </w:r>
          </w:p>
        </w:tc>
        <w:tc>
          <w:tcPr>
            <w:tcW w:w="86" w:type="dxa"/>
            <w:tcBorders/>
            <w:shd w:fill="CCEEFF" w:val="clear"/>
            <w:vAlign w:val="center"/>
          </w:tcPr>
          <w:p>
            <w:pPr>
              <w:pStyle w:val="TableContents"/>
              <w:spacing w:before="0" w:after="283"/>
              <w:ind w:left="0" w:right="0" w:hanging="180"/>
              <w:rPr/>
            </w:pPr>
            <w:r>
              <w:rPr/>
              <w:t> </w:t>
            </w:r>
          </w:p>
        </w:tc>
      </w:tr>
      <w:tr>
        <w:trPr/>
        <w:tc>
          <w:tcPr>
            <w:tcW w:w="421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93"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pPr>
            <w:r>
              <w:rPr/>
              <w:t> </w:t>
            </w:r>
          </w:p>
        </w:tc>
        <w:tc>
          <w:tcPr>
            <w:tcW w:w="86" w:type="dxa"/>
            <w:tcBorders/>
            <w:shd w:fill="auto" w:val="clear"/>
            <w:vAlign w:val="center"/>
          </w:tcPr>
          <w:p>
            <w:pPr>
              <w:pStyle w:val="TableContents"/>
              <w:spacing w:before="0" w:after="283"/>
              <w:ind w:left="0" w:right="0" w:hanging="180"/>
              <w:rPr/>
            </w:pPr>
            <w:r>
              <w:rPr/>
              <w:t> </w:t>
            </w:r>
          </w:p>
        </w:tc>
      </w:tr>
      <w:tr>
        <w:trPr/>
        <w:tc>
          <w:tcPr>
            <w:tcW w:w="4219" w:type="dxa"/>
            <w:tcBorders/>
            <w:shd w:fill="CCEEFF"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Balance at January 1, 2022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17,453,553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173,551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264,081,977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(177,560</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264,077,968</w:t>
            </w:r>
          </w:p>
        </w:tc>
        <w:tc>
          <w:tcPr>
            <w:tcW w:w="86" w:type="dxa"/>
            <w:tcBorders/>
            <w:shd w:fill="CCEEFF" w:val="clear"/>
            <w:vAlign w:val="center"/>
          </w:tcPr>
          <w:p>
            <w:pPr>
              <w:pStyle w:val="TableContents"/>
              <w:spacing w:before="0" w:after="283"/>
              <w:ind w:left="0" w:right="0" w:hanging="180"/>
              <w:rPr/>
            </w:pPr>
            <w:r>
              <w:rPr/>
              <w:t> </w:t>
            </w:r>
          </w:p>
        </w:tc>
      </w:tr>
      <w:tr>
        <w:trPr/>
        <w:tc>
          <w:tcPr>
            <w:tcW w:w="4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Issuance of common stock, net of offering costs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302,800</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4,478,528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93"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4,481,556</w:t>
            </w:r>
          </w:p>
        </w:tc>
        <w:tc>
          <w:tcPr>
            <w:tcW w:w="86" w:type="dxa"/>
            <w:tcBorders/>
            <w:shd w:fill="auto" w:val="clear"/>
            <w:vAlign w:val="center"/>
          </w:tcPr>
          <w:p>
            <w:pPr>
              <w:pStyle w:val="TableContents"/>
              <w:spacing w:before="0" w:after="283"/>
              <w:ind w:left="0" w:right="0" w:hanging="180"/>
              <w:rPr/>
            </w:pPr>
            <w:r>
              <w:rPr/>
              <w:t> </w:t>
            </w:r>
          </w:p>
        </w:tc>
      </w:tr>
      <w:tr>
        <w:trPr/>
        <w:tc>
          <w:tcPr>
            <w:tcW w:w="421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Stock 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(3,750</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120,940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shd w:fill="CCEEFF" w:val="clear"/>
            <w:vAlign w:val="center"/>
          </w:tcPr>
          <w:p>
            <w:pPr>
              <w:pStyle w:val="TableContents"/>
              <w:spacing w:before="0" w:after="283"/>
              <w:rPr/>
            </w:pPr>
            <w:r>
              <w:rPr/>
              <w:t> </w:t>
            </w:r>
          </w:p>
        </w:tc>
        <w:tc>
          <w:tcPr>
            <w:tcW w:w="993"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975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121,915</w:t>
            </w:r>
          </w:p>
        </w:tc>
        <w:tc>
          <w:tcPr>
            <w:tcW w:w="86" w:type="dxa"/>
            <w:tcBorders/>
            <w:shd w:fill="CCEEFF" w:val="clear"/>
            <w:vAlign w:val="center"/>
          </w:tcPr>
          <w:p>
            <w:pPr>
              <w:pStyle w:val="TableContents"/>
              <w:spacing w:before="0" w:after="283"/>
              <w:ind w:left="0" w:right="0" w:hanging="180"/>
              <w:rPr/>
            </w:pPr>
            <w:r>
              <w:rPr/>
              <w:t> </w:t>
            </w:r>
          </w:p>
        </w:tc>
      </w:tr>
      <w:tr>
        <w:trPr/>
        <w:tc>
          <w:tcPr>
            <w:tcW w:w="4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Dividends declared on common 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283"/>
              <w:rPr/>
            </w:pPr>
            <w:r>
              <w:rPr/>
              <w:t> </w:t>
            </w:r>
          </w:p>
        </w:tc>
        <w:tc>
          <w:tcPr>
            <w:tcW w:w="993"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(7,100,875</w:t>
            </w:r>
          </w:p>
        </w:tc>
        <w:tc>
          <w:tcPr>
            <w:tcW w:w="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(7,100,875</w:t>
            </w:r>
          </w:p>
        </w:tc>
        <w:tc>
          <w:tcPr>
            <w:tcW w:w="86" w:type="dxa"/>
            <w:tcBorders/>
            <w:shd w:fill="auto" w:val="clear"/>
            <w:vAlign w:val="center"/>
          </w:tcPr>
          <w:p>
            <w:pPr>
              <w:pStyle w:val="TableContents"/>
              <w:spacing w:before="0" w:after="283"/>
              <w:ind w:left="0" w:right="0" w:hanging="180"/>
              <w:rPr>
                <w:rFonts w:ascii="Times New Roman;Times;Serif" w:hAnsi="Times New Roman;Times;Serif"/>
                <w:sz w:val="20"/>
              </w:rPr>
            </w:pPr>
            <w:r>
              <w:rPr>
                <w:rFonts w:ascii="Times New Roman;Times;Serif" w:hAnsi="Times New Roman;Times;Serif"/>
                <w:sz w:val="20"/>
              </w:rPr>
              <w:t>)</w:t>
            </w:r>
          </w:p>
        </w:tc>
      </w:tr>
      <w:tr>
        <w:trPr/>
        <w:tc>
          <w:tcPr>
            <w:tcW w:w="4219"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spacing w:before="0" w:after="283"/>
              <w:rPr/>
            </w:pPr>
            <w:r>
              <w:rPr/>
              <w:t> </w:t>
            </w:r>
          </w:p>
        </w:tc>
        <w:tc>
          <w:tcPr>
            <w:tcW w:w="60"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9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7"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9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7,803,952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7,803,952</w:t>
            </w:r>
          </w:p>
        </w:tc>
        <w:tc>
          <w:tcPr>
            <w:tcW w:w="86" w:type="dxa"/>
            <w:tcBorders/>
            <w:shd w:fill="CCEEFF" w:val="clear"/>
            <w:vAlign w:val="center"/>
          </w:tcPr>
          <w:p>
            <w:pPr>
              <w:pStyle w:val="TableContents"/>
              <w:spacing w:before="0" w:after="283"/>
              <w:ind w:left="0" w:right="0" w:hanging="180"/>
              <w:rPr/>
            </w:pPr>
            <w:r>
              <w:rPr/>
              <w:t> </w:t>
            </w:r>
          </w:p>
        </w:tc>
      </w:tr>
      <w:tr>
        <w:trPr/>
        <w:tc>
          <w:tcPr>
            <w:tcW w:w="4219"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Balance at March 31, 2022</w:t>
            </w:r>
          </w:p>
        </w:tc>
        <w:tc>
          <w:tcPr>
            <w:tcW w:w="60" w:type="dxa"/>
            <w:tcBorders/>
            <w:shd w:fill="auto" w:val="clear"/>
            <w:vAlign w:val="center"/>
          </w:tcPr>
          <w:p>
            <w:pPr>
              <w:pStyle w:val="TableContents"/>
              <w:spacing w:before="0" w:after="283"/>
              <w:rPr/>
            </w:pPr>
            <w:r>
              <w:rPr/>
              <w:t> </w:t>
            </w:r>
          </w:p>
        </w:tc>
        <w:tc>
          <w:tcPr>
            <w:tcW w:w="60" w:type="dxa"/>
            <w:tcBorders>
              <w:bottom w:val="double" w:sz="12" w:space="0" w:color="000000"/>
            </w:tcBorders>
            <w:shd w:fill="auto" w:val="clear"/>
            <w:tcMar>
              <w:bottom w:w="28" w:type="dxa"/>
            </w:tcMar>
            <w:vAlign w:val="center"/>
          </w:tcPr>
          <w:p>
            <w:pPr>
              <w:pStyle w:val="TableContents"/>
              <w:spacing w:before="0" w:after="283"/>
              <w:rPr/>
            </w:pPr>
            <w:r>
              <w:rPr/>
              <w:t> </w:t>
            </w:r>
          </w:p>
        </w:tc>
        <w:tc>
          <w:tcPr>
            <w:tcW w:w="950"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17,752,603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176,579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268,681,445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 w:type="dxa"/>
            <w:tcBorders>
              <w:bottom w:val="doub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93"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526,492</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269,384,516</w:t>
            </w:r>
          </w:p>
        </w:tc>
        <w:tc>
          <w:tcPr>
            <w:tcW w:w="86" w:type="dxa"/>
            <w:tcBorders/>
            <w:shd w:fill="auto"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CHICAGO ATLANTIC REAL ESTATE FINANCE,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617"/>
        <w:gridCol w:w="60"/>
        <w:gridCol w:w="143"/>
        <w:gridCol w:w="1201"/>
        <w:gridCol w:w="95"/>
        <w:gridCol w:w="60"/>
        <w:gridCol w:w="259"/>
        <w:gridCol w:w="1493"/>
        <w:gridCol w:w="277"/>
      </w:tblGrid>
      <w:tr>
        <w:trPr/>
        <w:tc>
          <w:tcPr>
            <w:tcW w:w="66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 xml:space="preserve">For the </w:t>
              <w:br/>
              <w:t>three months</w:t>
              <w:br/>
              <w:t xml:space="preserve">ended </w:t>
              <w:b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2"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Period from</w:t>
              <w:br/>
              <w:t>March 30,</w:t>
              <w:br/>
              <w:t xml:space="preserve">2021 (inception) to </w:t>
              <w:br/>
              <w:t>March 31,</w:t>
              <w:br/>
              <w:t>2021</w:t>
            </w:r>
          </w:p>
        </w:tc>
        <w:tc>
          <w:tcPr>
            <w:tcW w:w="277" w:type="dxa"/>
            <w:tcBorders/>
            <w:shd w:fill="auto" w:val="clear"/>
            <w:vAlign w:val="center"/>
          </w:tcPr>
          <w:p>
            <w:pPr>
              <w:pStyle w:val="TableContents"/>
              <w:spacing w:before="0" w:after="283"/>
              <w:rPr/>
            </w:pPr>
            <w:r>
              <w:rPr/>
              <w:t> </w:t>
            </w:r>
          </w:p>
        </w:tc>
      </w:tr>
      <w:tr>
        <w:trPr/>
        <w:tc>
          <w:tcPr>
            <w:tcW w:w="66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2" w:type="dxa"/>
            <w:gridSpan w:val="2"/>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r>
      <w:tr>
        <w:trPr/>
        <w:tc>
          <w:tcPr>
            <w:tcW w:w="66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2" w:type="dxa"/>
            <w:gridSpan w:val="2"/>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r>
      <w:tr>
        <w:trPr/>
        <w:tc>
          <w:tcPr>
            <w:tcW w:w="6617" w:type="dxa"/>
            <w:tcBorders/>
            <w:shd w:fill="auto" w:val="clear"/>
            <w:vAlign w:val="center"/>
          </w:tcPr>
          <w:p>
            <w:pPr>
              <w:pStyle w:val="TableContents"/>
              <w:spacing w:before="0" w:after="283"/>
              <w:rPr>
                <w:b/>
              </w:rPr>
            </w:pPr>
            <w:r>
              <w:rPr>
                <w:b/>
              </w:rPr>
              <w:t>Operating activities</w:t>
            </w:r>
          </w:p>
        </w:tc>
        <w:tc>
          <w:tcPr>
            <w:tcW w:w="60" w:type="dxa"/>
            <w:tcBorders/>
            <w:shd w:fill="auto" w:val="clear"/>
            <w:vAlign w:val="center"/>
          </w:tcPr>
          <w:p>
            <w:pPr>
              <w:pStyle w:val="TableContents"/>
              <w:spacing w:before="0" w:after="283"/>
              <w:rPr/>
            </w:pPr>
            <w:r>
              <w:rPr/>
              <w:t> </w:t>
            </w:r>
          </w:p>
        </w:tc>
        <w:tc>
          <w:tcPr>
            <w:tcW w:w="1344"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52" w:type="dxa"/>
            <w:gridSpan w:val="2"/>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ind w:left="0" w:right="0" w:firstLine="200"/>
              <w:rPr/>
            </w:pPr>
            <w:r>
              <w:rPr/>
              <w:t> </w:t>
            </w:r>
          </w:p>
        </w:tc>
      </w:tr>
      <w:tr>
        <w:trPr/>
        <w:tc>
          <w:tcPr>
            <w:tcW w:w="6617"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w:t>
            </w:r>
          </w:p>
        </w:tc>
        <w:tc>
          <w:tcPr>
            <w:tcW w:w="1201" w:type="dxa"/>
            <w:tcBorders/>
            <w:shd w:fill="CCEEFF" w:val="clear"/>
            <w:vAlign w:val="center"/>
          </w:tcPr>
          <w:p>
            <w:pPr>
              <w:pStyle w:val="TableContents"/>
              <w:spacing w:before="0" w:after="283"/>
              <w:jc w:val="right"/>
              <w:rPr/>
            </w:pPr>
            <w:r>
              <w:rPr/>
              <w:t>7,803,952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w:t>
            </w:r>
          </w:p>
        </w:tc>
        <w:tc>
          <w:tcPr>
            <w:tcW w:w="1493" w:type="dxa"/>
            <w:tcBorders/>
            <w:shd w:fill="CCEEFF" w:val="cle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jc w:val="left"/>
              <w:rPr>
                <w:b/>
              </w:rPr>
            </w:pPr>
            <w:r>
              <w:rPr>
                <w:b/>
              </w:rPr>
              <w:t>Adjustments to reconcile net income to net cash provided by operating activities: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283"/>
              <w:jc w:val="right"/>
              <w:rPr/>
            </w:pPr>
            <w:r>
              <w:rPr/>
              <w:t> </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Accretion of deferred loan origination fees and other discounts</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(894,087</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0"/>
              <w:jc w:val="right"/>
              <w:rPr/>
            </w:pPr>
            <w:r>
              <w:rPr/>
              <w:t>-</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Payment-in-kind interest</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(970,569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Provision for current expected credit losses</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48,296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0"/>
              <w:jc w:val="right"/>
              <w:rPr/>
            </w:pPr>
            <w:r>
              <w:rPr/>
              <w:t>-</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Amortization of deferred debt issuance costs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72,268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Stock-based compensation</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120,940</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0"/>
              <w:jc w:val="right"/>
              <w:rPr/>
            </w:pPr>
            <w:r>
              <w:rPr/>
              <w:t>-</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283"/>
              <w:jc w:val="right"/>
              <w:rPr/>
            </w:pPr>
            <w:r>
              <w:rPr/>
              <w:t> </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jc w:val="left"/>
              <w:rPr>
                <w:b/>
              </w:rPr>
            </w:pPr>
            <w:r>
              <w:rPr>
                <w:b/>
              </w:rPr>
              <w:t>Changes in operating assets and liabilities:</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Interest receivable</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(175,960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Other receivables</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(10,053</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0"/>
              <w:jc w:val="right"/>
              <w:rPr/>
            </w:pPr>
            <w:r>
              <w:rPr/>
              <w:t>-</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Interest reserve</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(3,084,470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Management and incentive fees payable</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(233,618</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0"/>
              <w:jc w:val="right"/>
              <w:rPr/>
            </w:pPr>
            <w:r>
              <w:rPr/>
              <w:t>-</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spacing w:before="0" w:after="283"/>
              <w:jc w:val="right"/>
              <w:rPr/>
            </w:pPr>
            <w:r>
              <w:rPr/>
              <w:t>358,933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493"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jc w:val="left"/>
              <w:rPr>
                <w:b/>
              </w:rPr>
            </w:pPr>
            <w:r>
              <w:rPr>
                <w:b/>
              </w:rPr>
              <w:t>Net cash provided by operating activities</w:t>
            </w:r>
          </w:p>
        </w:tc>
        <w:tc>
          <w:tcPr>
            <w:tcW w:w="60" w:type="dxa"/>
            <w:tcBorders/>
            <w:shd w:fill="auto" w:val="clear"/>
            <w:vAlign w:val="center"/>
          </w:tcPr>
          <w:p>
            <w:pPr>
              <w:pStyle w:val="TableContents"/>
              <w:spacing w:before="0" w:after="283"/>
              <w:rPr/>
            </w:pPr>
            <w:r>
              <w:rPr/>
              <w:t> </w:t>
            </w:r>
          </w:p>
        </w:tc>
        <w:tc>
          <w:tcPr>
            <w:tcW w:w="14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1" w:type="dxa"/>
            <w:tcBorders>
              <w:bottom w:val="single" w:sz="12" w:space="0" w:color="000000"/>
            </w:tcBorders>
            <w:shd w:fill="auto" w:val="clear"/>
            <w:tcMar>
              <w:bottom w:w="28" w:type="dxa"/>
            </w:tcMar>
            <w:vAlign w:val="center"/>
          </w:tcPr>
          <w:p>
            <w:pPr>
              <w:pStyle w:val="TableContents"/>
              <w:spacing w:before="0" w:after="283"/>
              <w:jc w:val="right"/>
              <w:rPr>
                <w:b/>
              </w:rPr>
            </w:pPr>
            <w:r>
              <w:rPr>
                <w:b/>
              </w:rPr>
              <w:t>3,035,632</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493" w:type="dxa"/>
            <w:tcBorders>
              <w:bottom w:val="single" w:sz="12" w:space="0" w:color="000000"/>
            </w:tcBorders>
            <w:shd w:fill="auto" w:val="clear"/>
            <w:tcMar>
              <w:bottom w:w="28" w:type="dxa"/>
            </w:tcMar>
            <w:vAlign w:val="center"/>
          </w:tcPr>
          <w:p>
            <w:pPr>
              <w:pStyle w:val="TableContents"/>
              <w:spacing w:before="0" w:after="0"/>
              <w:jc w:val="right"/>
              <w:rPr>
                <w:b/>
              </w:rPr>
            </w:pPr>
            <w:r>
              <w:rPr>
                <w:b/>
              </w:rPr>
              <w:t>-</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283"/>
              <w:jc w:val="right"/>
              <w:rPr/>
            </w:pPr>
            <w:r>
              <w:rPr/>
              <w:t> </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jc w:val="left"/>
              <w:rPr>
                <w:b/>
              </w:rPr>
            </w:pPr>
            <w:r>
              <w:rPr>
                <w:b/>
              </w:rPr>
              <w:t>Cash flows from investing activities</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Issuance of and fundings of loans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(82,794,575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Principal repayment of loans</w:t>
            </w:r>
          </w:p>
        </w:tc>
        <w:tc>
          <w:tcPr>
            <w:tcW w:w="60" w:type="dxa"/>
            <w:tcBorders/>
            <w:shd w:fill="auto" w:val="clear"/>
            <w:vAlign w:val="center"/>
          </w:tcPr>
          <w:p>
            <w:pPr>
              <w:pStyle w:val="TableContents"/>
              <w:spacing w:before="0" w:after="283"/>
              <w:rPr/>
            </w:pPr>
            <w:r>
              <w:rPr/>
              <w:t> </w:t>
            </w:r>
          </w:p>
        </w:tc>
        <w:tc>
          <w:tcPr>
            <w:tcW w:w="14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1" w:type="dxa"/>
            <w:tcBorders>
              <w:bottom w:val="single" w:sz="12" w:space="0" w:color="000000"/>
            </w:tcBorders>
            <w:shd w:fill="auto" w:val="clear"/>
            <w:tcMar>
              <w:bottom w:w="28" w:type="dxa"/>
            </w:tcMar>
            <w:vAlign w:val="center"/>
          </w:tcPr>
          <w:p>
            <w:pPr>
              <w:pStyle w:val="TableContents"/>
              <w:spacing w:before="0" w:after="283"/>
              <w:jc w:val="right"/>
              <w:rPr/>
            </w:pPr>
            <w:r>
              <w:rPr/>
              <w:t>5,619,201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49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jc w:val="left"/>
              <w:rPr>
                <w:b/>
              </w:rPr>
            </w:pPr>
            <w:r>
              <w:rPr>
                <w:b/>
              </w:rPr>
              <w:t>Net cash used in investing activities</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spacing w:before="0" w:after="283"/>
              <w:jc w:val="right"/>
              <w:rPr>
                <w:b/>
              </w:rPr>
            </w:pPr>
            <w:r>
              <w:rPr>
                <w:b/>
              </w:rPr>
              <w:t>(77,175,374</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25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493" w:type="dxa"/>
            <w:tcBorders>
              <w:bottom w:val="single" w:sz="12" w:space="0" w:color="000000"/>
            </w:tcBorders>
            <w:shd w:fill="CCEEFF" w:val="clear"/>
            <w:tcMar>
              <w:bottom w:w="28" w:type="dxa"/>
            </w:tcMar>
            <w:vAlign w:val="center"/>
          </w:tcPr>
          <w:p>
            <w:pPr>
              <w:pStyle w:val="TableContents"/>
              <w:spacing w:before="0" w:after="0"/>
              <w:jc w:val="right"/>
              <w:rPr>
                <w:b/>
              </w:rPr>
            </w:pPr>
            <w:r>
              <w:rPr>
                <w:b/>
              </w:rPr>
              <w:t>-</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jc w:val="left"/>
              <w:rPr>
                <w:b/>
              </w:rPr>
            </w:pPr>
            <w:r>
              <w:rPr>
                <w:b/>
              </w:rPr>
              <w:t>Cash flows from financing activities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283"/>
              <w:jc w:val="right"/>
              <w:rPr/>
            </w:pPr>
            <w:r>
              <w:rPr/>
              <w:t> </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Proceeds from sale of common stock</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4,505,664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283"/>
              <w:jc w:val="right"/>
              <w:rPr/>
            </w:pPr>
            <w:r>
              <w:rPr/>
              <w:t>100,000</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Dividends paid</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(4,512,329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0"/>
              <w:jc w:val="right"/>
              <w:rPr/>
            </w:pPr>
            <w:r>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Payment of deferred offering costs</w:t>
            </w:r>
          </w:p>
        </w:tc>
        <w:tc>
          <w:tcPr>
            <w:tcW w:w="60" w:type="dxa"/>
            <w:tcBorders/>
            <w:shd w:fill="auto" w:val="clear"/>
            <w:vAlign w:val="center"/>
          </w:tcPr>
          <w:p>
            <w:pPr>
              <w:pStyle w:val="TableContents"/>
              <w:spacing w:before="0" w:after="283"/>
              <w:rPr/>
            </w:pPr>
            <w:r>
              <w:rPr/>
              <w:t> </w:t>
            </w:r>
          </w:p>
        </w:tc>
        <w:tc>
          <w:tcPr>
            <w:tcW w:w="14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1" w:type="dxa"/>
            <w:tcBorders>
              <w:bottom w:val="single" w:sz="12" w:space="0" w:color="000000"/>
            </w:tcBorders>
            <w:shd w:fill="auto" w:val="clear"/>
            <w:tcMar>
              <w:bottom w:w="28" w:type="dxa"/>
            </w:tcMar>
            <w:vAlign w:val="center"/>
          </w:tcPr>
          <w:p>
            <w:pPr>
              <w:pStyle w:val="TableContents"/>
              <w:spacing w:before="0" w:after="283"/>
              <w:jc w:val="right"/>
              <w:rPr/>
            </w:pPr>
            <w:r>
              <w:rPr/>
              <w:t>(23,941</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493"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jc w:val="left"/>
              <w:rPr>
                <w:b/>
              </w:rPr>
            </w:pPr>
            <w:r>
              <w:rPr>
                <w:b/>
              </w:rPr>
              <w:t>Net cash (used in) provided by financing activities</w:t>
            </w:r>
          </w:p>
        </w:tc>
        <w:tc>
          <w:tcPr>
            <w:tcW w:w="60" w:type="dxa"/>
            <w:tcBorders/>
            <w:shd w:fill="CCEEFF" w:val="clear"/>
            <w:vAlign w:val="center"/>
          </w:tcPr>
          <w:p>
            <w:pPr>
              <w:pStyle w:val="TableContents"/>
              <w:spacing w:before="0" w:after="283"/>
              <w:rPr/>
            </w:pPr>
            <w:r>
              <w:rPr/>
              <w:t> </w:t>
            </w:r>
          </w:p>
        </w:tc>
        <w:tc>
          <w:tcPr>
            <w:tcW w:w="14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spacing w:before="0" w:after="283"/>
              <w:jc w:val="right"/>
              <w:rPr>
                <w:b/>
              </w:rPr>
            </w:pPr>
            <w:r>
              <w:rPr>
                <w:b/>
              </w:rPr>
              <w:t>(30,606</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25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493" w:type="dxa"/>
            <w:tcBorders>
              <w:bottom w:val="single" w:sz="12" w:space="0" w:color="000000"/>
            </w:tcBorders>
            <w:shd w:fill="CCEEFF" w:val="clear"/>
            <w:tcMar>
              <w:bottom w:w="28" w:type="dxa"/>
            </w:tcMar>
            <w:vAlign w:val="center"/>
          </w:tcPr>
          <w:p>
            <w:pPr>
              <w:pStyle w:val="TableContents"/>
              <w:spacing w:before="0" w:after="283"/>
              <w:jc w:val="right"/>
              <w:rPr>
                <w:b/>
              </w:rPr>
            </w:pPr>
            <w:r>
              <w:rPr>
                <w:b/>
              </w:rPr>
              <w:t>100,000</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jc w:val="left"/>
              <w:rPr>
                <w:b/>
              </w:rPr>
            </w:pPr>
            <w:r>
              <w:rPr>
                <w:b/>
              </w:rPr>
              <w:t>Change in cash</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b/>
              </w:rPr>
            </w:pPr>
            <w:r>
              <w:rPr>
                <w:b/>
              </w:rPr>
              <w:t>(74,170,348</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283"/>
              <w:jc w:val="right"/>
              <w:rPr>
                <w:b/>
              </w:rPr>
            </w:pPr>
            <w:r>
              <w:rPr>
                <w:b/>
              </w:rPr>
              <w:t>100,000</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rPr>
                <w:b/>
              </w:rPr>
            </w:pPr>
            <w:r>
              <w:rPr>
                <w:b/>
              </w:rPr>
              <w:t>Cash, beginning of period</w:t>
            </w:r>
          </w:p>
        </w:tc>
        <w:tc>
          <w:tcPr>
            <w:tcW w:w="60" w:type="dxa"/>
            <w:tcBorders/>
            <w:shd w:fill="auto" w:val="clear"/>
            <w:vAlign w:val="center"/>
          </w:tcPr>
          <w:p>
            <w:pPr>
              <w:pStyle w:val="TableContents"/>
              <w:spacing w:before="0" w:after="283"/>
              <w:rPr/>
            </w:pPr>
            <w:r>
              <w:rPr/>
              <w:t> </w:t>
            </w:r>
          </w:p>
        </w:tc>
        <w:tc>
          <w:tcPr>
            <w:tcW w:w="14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01" w:type="dxa"/>
            <w:tcBorders>
              <w:bottom w:val="single" w:sz="12" w:space="0" w:color="000000"/>
            </w:tcBorders>
            <w:shd w:fill="auto" w:val="clear"/>
            <w:tcMar>
              <w:bottom w:w="28" w:type="dxa"/>
            </w:tcMar>
            <w:vAlign w:val="center"/>
          </w:tcPr>
          <w:p>
            <w:pPr>
              <w:pStyle w:val="TableContents"/>
              <w:spacing w:before="0" w:after="283"/>
              <w:jc w:val="right"/>
              <w:rPr>
                <w:b/>
              </w:rPr>
            </w:pPr>
            <w:r>
              <w:rPr>
                <w:b/>
              </w:rPr>
              <w:t>80,248,526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493" w:type="dxa"/>
            <w:tcBorders>
              <w:bottom w:val="single" w:sz="12" w:space="0" w:color="000000"/>
            </w:tcBorders>
            <w:shd w:fill="auto" w:val="clear"/>
            <w:tcMar>
              <w:bottom w:w="28" w:type="dxa"/>
            </w:tcMar>
            <w:vAlign w:val="center"/>
          </w:tcPr>
          <w:p>
            <w:pPr>
              <w:pStyle w:val="TableContents"/>
              <w:spacing w:before="0" w:after="0"/>
              <w:jc w:val="right"/>
              <w:rPr>
                <w:b/>
              </w:rPr>
            </w:pPr>
            <w:r>
              <w:rPr>
                <w:b/>
              </w:rPr>
              <w:t>-</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rPr>
                <w:b/>
              </w:rPr>
            </w:pPr>
            <w:r>
              <w:rPr>
                <w:b/>
              </w:rPr>
              <w:t>Cash, end of period</w:t>
            </w:r>
          </w:p>
        </w:tc>
        <w:tc>
          <w:tcPr>
            <w:tcW w:w="60" w:type="dxa"/>
            <w:tcBorders/>
            <w:shd w:fill="CCEEFF" w:val="clear"/>
            <w:vAlign w:val="center"/>
          </w:tcPr>
          <w:p>
            <w:pPr>
              <w:pStyle w:val="TableContents"/>
              <w:spacing w:before="0" w:after="283"/>
              <w:rPr/>
            </w:pPr>
            <w:r>
              <w:rPr/>
              <w:t> </w:t>
            </w:r>
          </w:p>
        </w:tc>
        <w:tc>
          <w:tcPr>
            <w:tcW w:w="143"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201" w:type="dxa"/>
            <w:tcBorders>
              <w:bottom w:val="double" w:sz="10" w:space="0" w:color="000000"/>
            </w:tcBorders>
            <w:shd w:fill="CCEEFF" w:val="clear"/>
            <w:tcMar>
              <w:bottom w:w="28" w:type="dxa"/>
            </w:tcMar>
            <w:vAlign w:val="center"/>
          </w:tcPr>
          <w:p>
            <w:pPr>
              <w:pStyle w:val="TableContents"/>
              <w:spacing w:before="0" w:after="283"/>
              <w:jc w:val="right"/>
              <w:rPr>
                <w:b/>
              </w:rPr>
            </w:pPr>
            <w:r>
              <w:rPr>
                <w:b/>
              </w:rPr>
              <w:t>6,078,178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bottom w:val="double" w:sz="10" w:space="0" w:color="000000"/>
            </w:tcBorders>
            <w:shd w:fill="CCEEFF" w:val="clear"/>
            <w:tcMar>
              <w:bottom w:w="28" w:type="dxa"/>
            </w:tcMar>
            <w:vAlign w:val="center"/>
          </w:tcPr>
          <w:p>
            <w:pPr>
              <w:pStyle w:val="TableContents"/>
              <w:spacing w:before="0" w:after="283"/>
              <w:jc w:val="left"/>
              <w:rPr>
                <w:b/>
              </w:rPr>
            </w:pPr>
            <w:r>
              <w:rPr>
                <w:b/>
              </w:rPr>
              <w:t>$</w:t>
            </w:r>
          </w:p>
        </w:tc>
        <w:tc>
          <w:tcPr>
            <w:tcW w:w="1493" w:type="dxa"/>
            <w:tcBorders>
              <w:bottom w:val="double" w:sz="10" w:space="0" w:color="000000"/>
            </w:tcBorders>
            <w:shd w:fill="CCEEFF" w:val="clear"/>
            <w:tcMar>
              <w:bottom w:w="28" w:type="dxa"/>
            </w:tcMar>
            <w:vAlign w:val="center"/>
          </w:tcPr>
          <w:p>
            <w:pPr>
              <w:pStyle w:val="TableContents"/>
              <w:spacing w:before="0" w:after="283"/>
              <w:jc w:val="right"/>
              <w:rPr>
                <w:b/>
              </w:rPr>
            </w:pPr>
            <w:r>
              <w:rPr>
                <w:b/>
              </w:rPr>
              <w:t>100,000</w:t>
            </w:r>
          </w:p>
        </w:tc>
        <w:tc>
          <w:tcPr>
            <w:tcW w:w="277" w:type="dxa"/>
            <w:tcBorders/>
            <w:shd w:fill="CCEEFF" w:val="clear"/>
            <w:vAlign w:val="center"/>
          </w:tcPr>
          <w:p>
            <w:pPr>
              <w:pStyle w:val="TableContents"/>
              <w:spacing w:before="0" w:after="283"/>
              <w:jc w:val="left"/>
              <w:rPr/>
            </w:pPr>
            <w:r>
              <w:rPr/>
              <w:t> </w:t>
            </w:r>
          </w:p>
        </w:tc>
      </w:tr>
      <w:tr>
        <w:trPr/>
        <w:tc>
          <w:tcPr>
            <w:tcW w:w="661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pPr>
            <w:r>
              <w:rPr/>
              <w:t> </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283"/>
              <w:jc w:val="right"/>
              <w:rPr/>
            </w:pPr>
            <w:r>
              <w:rPr/>
              <w:t> </w:t>
            </w:r>
          </w:p>
        </w:tc>
        <w:tc>
          <w:tcPr>
            <w:tcW w:w="277" w:type="dxa"/>
            <w:tcBorders/>
            <w:shd w:fill="auto" w:val="clear"/>
            <w:vAlign w:val="center"/>
          </w:tcPr>
          <w:p>
            <w:pPr>
              <w:pStyle w:val="TableContents"/>
              <w:spacing w:before="0" w:after="283"/>
              <w:jc w:val="left"/>
              <w:rPr/>
            </w:pPr>
            <w:r>
              <w:rPr/>
              <w:t> </w:t>
            </w:r>
          </w:p>
        </w:tc>
      </w:tr>
      <w:tr>
        <w:trPr/>
        <w:tc>
          <w:tcPr>
            <w:tcW w:w="6617" w:type="dxa"/>
            <w:tcBorders/>
            <w:shd w:fill="CCEEFF" w:val="clear"/>
            <w:vAlign w:val="center"/>
          </w:tcPr>
          <w:p>
            <w:pPr>
              <w:pStyle w:val="TableContents"/>
              <w:spacing w:before="0" w:after="283"/>
              <w:jc w:val="left"/>
              <w:rPr>
                <w:b/>
              </w:rPr>
            </w:pPr>
            <w:r>
              <w:rPr>
                <w:b/>
              </w:rPr>
              <w:t>Supplemental disclosure of non-cash financing and investing activity</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283"/>
              <w:jc w:val="right"/>
              <w:rPr/>
            </w:pPr>
            <w:r>
              <w:rPr/>
              <w:t> </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Interest reserve withheld from funding of loan</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b/>
              </w:rPr>
            </w:pPr>
            <w:r>
              <w:rPr>
                <w:b/>
              </w:rPr>
              <w:t>3,919,974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0"/>
              <w:jc w:val="right"/>
              <w:rPr>
                <w:b/>
              </w:rPr>
            </w:pPr>
            <w:r>
              <w:rPr>
                <w:b/>
              </w:rPr>
              <w:t>-</w:t>
            </w:r>
          </w:p>
        </w:tc>
        <w:tc>
          <w:tcPr>
            <w:tcW w:w="277" w:type="dxa"/>
            <w:tcBorders/>
            <w:shd w:fill="auto" w:val="clear"/>
            <w:vAlign w:val="center"/>
          </w:tcPr>
          <w:p>
            <w:pPr>
              <w:pStyle w:val="TableContents"/>
              <w:spacing w:before="0" w:after="283"/>
              <w:ind w:left="0" w:right="0" w:firstLine="200"/>
              <w:jc w:val="left"/>
              <w:rPr/>
            </w:pPr>
            <w:r>
              <w:rPr/>
              <w:t> </w:t>
            </w:r>
          </w:p>
        </w:tc>
      </w:tr>
      <w:tr>
        <w:trPr/>
        <w:tc>
          <w:tcPr>
            <w:tcW w:w="6617" w:type="dxa"/>
            <w:tcBorders/>
            <w:shd w:fill="CCEEFF" w:val="clear"/>
            <w:vAlign w:val="center"/>
          </w:tcPr>
          <w:p>
            <w:pPr>
              <w:pStyle w:val="TableContents"/>
              <w:spacing w:before="0" w:after="283"/>
              <w:jc w:val="left"/>
              <w:rPr/>
            </w:pPr>
            <w:r>
              <w:rPr/>
              <w:t>OID withheld from funding of loans</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jc w:val="left"/>
              <w:rPr/>
            </w:pPr>
            <w:r>
              <w:rPr/>
              <w:t> </w:t>
            </w:r>
          </w:p>
        </w:tc>
        <w:tc>
          <w:tcPr>
            <w:tcW w:w="1201" w:type="dxa"/>
            <w:tcBorders/>
            <w:shd w:fill="CCEEFF" w:val="clear"/>
            <w:vAlign w:val="center"/>
          </w:tcPr>
          <w:p>
            <w:pPr>
              <w:pStyle w:val="TableContents"/>
              <w:spacing w:before="0" w:after="283"/>
              <w:jc w:val="right"/>
              <w:rPr>
                <w:b/>
              </w:rPr>
            </w:pPr>
            <w:r>
              <w:rPr>
                <w:b/>
              </w:rPr>
              <w:t>1,128,415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59" w:type="dxa"/>
            <w:tcBorders/>
            <w:shd w:fill="CCEEFF" w:val="clear"/>
            <w:vAlign w:val="center"/>
          </w:tcPr>
          <w:p>
            <w:pPr>
              <w:pStyle w:val="TableContents"/>
              <w:spacing w:before="0" w:after="283"/>
              <w:jc w:val="left"/>
              <w:rPr/>
            </w:pPr>
            <w:r>
              <w:rPr/>
              <w:t> </w:t>
            </w:r>
          </w:p>
        </w:tc>
        <w:tc>
          <w:tcPr>
            <w:tcW w:w="1493" w:type="dxa"/>
            <w:tcBorders/>
            <w:shd w:fill="CCEEFF" w:val="clear"/>
            <w:vAlign w:val="center"/>
          </w:tcPr>
          <w:p>
            <w:pPr>
              <w:pStyle w:val="TableContents"/>
              <w:spacing w:before="0" w:after="0"/>
              <w:jc w:val="right"/>
              <w:rPr>
                <w:b/>
              </w:rPr>
            </w:pPr>
            <w:r>
              <w:rPr>
                <w:b/>
              </w:rPr>
              <w:t>-</w:t>
            </w:r>
          </w:p>
        </w:tc>
        <w:tc>
          <w:tcPr>
            <w:tcW w:w="277" w:type="dxa"/>
            <w:tcBorders/>
            <w:shd w:fill="CCEEFF" w:val="clear"/>
            <w:vAlign w:val="center"/>
          </w:tcPr>
          <w:p>
            <w:pPr>
              <w:pStyle w:val="TableContents"/>
              <w:spacing w:before="0" w:after="283"/>
              <w:ind w:left="0" w:right="0" w:firstLine="200"/>
              <w:jc w:val="left"/>
              <w:rPr/>
            </w:pPr>
            <w:r>
              <w:rPr/>
              <w:t> </w:t>
            </w:r>
          </w:p>
        </w:tc>
      </w:tr>
      <w:tr>
        <w:trPr/>
        <w:tc>
          <w:tcPr>
            <w:tcW w:w="6617" w:type="dxa"/>
            <w:tcBorders/>
            <w:shd w:fill="auto" w:val="clear"/>
            <w:vAlign w:val="center"/>
          </w:tcPr>
          <w:p>
            <w:pPr>
              <w:pStyle w:val="TableContents"/>
              <w:spacing w:before="0" w:after="283"/>
              <w:jc w:val="left"/>
              <w:rPr/>
            </w:pPr>
            <w:r>
              <w:rPr/>
              <w:t>Dividends declared and not yet paid</w:t>
            </w:r>
          </w:p>
        </w:tc>
        <w:tc>
          <w:tcPr>
            <w:tcW w:w="6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jc w:val="left"/>
              <w:rPr/>
            </w:pPr>
            <w:r>
              <w:rPr/>
              <w:t> </w:t>
            </w:r>
          </w:p>
        </w:tc>
        <w:tc>
          <w:tcPr>
            <w:tcW w:w="1201" w:type="dxa"/>
            <w:tcBorders/>
            <w:shd w:fill="auto" w:val="clear"/>
            <w:vAlign w:val="center"/>
          </w:tcPr>
          <w:p>
            <w:pPr>
              <w:pStyle w:val="TableContents"/>
              <w:spacing w:before="0" w:after="283"/>
              <w:jc w:val="right"/>
              <w:rPr>
                <w:b/>
              </w:rPr>
            </w:pPr>
            <w:r>
              <w:rPr>
                <w:b/>
              </w:rPr>
              <w:t>7,100,066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59" w:type="dxa"/>
            <w:tcBorders/>
            <w:shd w:fill="auto" w:val="clear"/>
            <w:vAlign w:val="center"/>
          </w:tcPr>
          <w:p>
            <w:pPr>
              <w:pStyle w:val="TableContents"/>
              <w:spacing w:before="0" w:after="283"/>
              <w:jc w:val="left"/>
              <w:rPr/>
            </w:pPr>
            <w:r>
              <w:rPr/>
              <w:t> </w:t>
            </w:r>
          </w:p>
        </w:tc>
        <w:tc>
          <w:tcPr>
            <w:tcW w:w="1493" w:type="dxa"/>
            <w:tcBorders/>
            <w:shd w:fill="auto" w:val="clear"/>
            <w:vAlign w:val="center"/>
          </w:tcPr>
          <w:p>
            <w:pPr>
              <w:pStyle w:val="TableContents"/>
              <w:spacing w:before="0" w:after="0"/>
              <w:jc w:val="right"/>
              <w:rPr>
                <w:b/>
              </w:rPr>
            </w:pPr>
            <w:r>
              <w:rPr>
                <w:b/>
              </w:rPr>
              <w:t>-</w:t>
            </w:r>
          </w:p>
        </w:tc>
        <w:tc>
          <w:tcPr>
            <w:tcW w:w="277" w:type="dxa"/>
            <w:tcBorders/>
            <w:shd w:fill="auto"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CHICAGO ATLANTIC REAL ESTATE FINANCE,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 AND DESCRIPTION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Atlantic Real Estate Finance, Inc., and its wholly owned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as long as it annually distributes to stockholders all of its REIT taxable income prior to the deduction for dividends paid and complies with various other requirements as a REIT.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externally managed by Chicago Atlantic REIT Manager, LLC (the “Manager”), a Delaware limited liability company, pursuant to the terms of the management agreement dated May 1, 2021, as amended, which extends for a three-year initial term set to expire on April 30, 2024 (the “Management Agreement”), by and among the Company and the Manager. After the initial term, the management agreement is automatically renewed for one-year periods unless the Company or the Manager elects not to renew in accordance with the terms of the Management Agreement.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LLC (the “Sponsor”).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of the Company have been prepared in accordance with generally accepted accounting principles in the United States of America (“GAAP”) for interim financial information, the instructions to Form 10-Q and Article 10 of Regulation S-X. Accordingly, they may not contain all disclosures required by generally accepted accounting principles. Reference should be made to Note 2 of the Company’s Consolidated Financial Statements included in the Company's Annual Report on Form 10-K for the period ended December 31, 2021. In the opinion of the Company, all normal recurring adjustments have been made that are necessary to present fairly the results of operations for the interim periods. Operating results for the three-month period ended March 31, 2022 is not necessarily indicative of the results that may be expected for the year ending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 in the Preparation of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General and administrative expenses reimbursements due to the Manager which were previously included in the line item, management fee payable, have been reclassified into related party payable in the consolidated balance sheet.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Cash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deposits with financial institutions. The Company’s cash held with financial institutions may at times exceed the Federal Deposit Insurance Corporation (“FDIC”) insured limits. Cash and short-term investments with an original maturity of three months or less when acquired are considered cash for the purpose of the consolidated balance sheet and consolidated statements of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Concentration of Credit Risks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may subject the Company to concentrations of credit risk consist primarily of cash, loans and interest receivable. The Company and the Manager seek to manage this credit risk relating to cash by monitoring the financial institutions and their ability to continue in business for the foreseeable future. Concentration of credit risk relating to loans and interest receivable are managed by the Company and the Manager through robust portfolio monitoring and performing due diligence prior to origination or acquisition and through the use of non-recourse financing, when and where available and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Organizational 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the organization of the Company are expensed as incurred. These expenses consist primarily of legal fees and other formation costs associated with the organization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Loans Held for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originates commercial real estate (“CRE”) loans and related debt instruments that it has both the intent and ability to hold for the foreseeable future, so they are classified as held for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that are held-for-investment are carried at their aggregate outstanding face amount, net of applicable (i) unamortized origination or acquisition premium and discounts, (ii) unamortized deferred fees and other direct loan origination costs, (iii) valuation allowance for credit losses and (iv) write-downs of uncollectible loans. The Company uses a method which approximates the effective interest method to amortize origination or acquisition premiums and discounts and deferred fees or other direct loan origination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loans are primarily collateralized by real estate, equipment, licenses and/or other collateral assets of borrowers. The extent of any credit deterioration associated with the performance and/or value of the underlying collateral property and the financial and operating capability of the borrower could impact the expected amounts received. The Company monitors performance of its portfolio of loans held for investment under the following methodology: (1) borrower review, which evaluates each borrower’s financial condition including consideration of interest and principal payment history, ability to execute its business plan, and assessment of any alleged actual, threatened, or pending litigation; (2) economic review, which contemplates the value of underlying collateral (i.e. leasing performance, unit sales and cash flow of the collateral and its ability to cover debt service, as well as the residual loan balance at maturity); (3) property review, which considers current environmental risks, changes in insurance costs or coverage, current site visibility, capital expenditures and market perception; and (4) market review, which analyzes the collateral from a supply and demand perspective of similar property types, as well as from a capital markets perspective. Changes in other observable market data may be utilized in determining the immediate recognition of expected credit losses over the life of financial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CECL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measures current expected credit losses (“CECL”) for loans held for investment based on Accounting Standards Codification (“ASC”) No. 326, </w:t>
      </w:r>
      <w:r>
        <w:rPr>
          <w:rFonts w:ascii="Times New Roman;Times;Serif" w:hAnsi="Times New Roman;Times;Serif"/>
          <w:b w:val="false"/>
          <w:i/>
          <w:caps w:val="false"/>
          <w:smallCaps w:val="false"/>
          <w:sz w:val="20"/>
        </w:rPr>
        <w:t>Financial Instruments – Credit Losses</w:t>
      </w:r>
      <w:r>
        <w:rPr>
          <w:rFonts w:ascii="Times New Roman;Times;Serif" w:hAnsi="Times New Roman;Times;Serif"/>
          <w:b w:val="false"/>
          <w:i w:val="false"/>
          <w:caps w:val="false"/>
          <w:smallCaps w:val="false"/>
          <w:sz w:val="20"/>
        </w:rPr>
        <w:t xml:space="preserve"> (“ASC 326”). The Company early adopted ASC 326 at inception. ASC 326 introduces a new allowance for credit losses methodology and requires earlier recognition of credit losses, while also providing additional transparency about credit risk. The CECL methodology utilizes a lifetime “expected credit loss” methodology for the recognition of credit losses for loans and other receivables at the time the financial asset is originated or based on historical experience and current conditions, as well as reasonable and supportable forecasts incorporating forward-looking information. The allowance for credit losses (the “CECL Reserve”) required under ASC 326 is deducted from the respective loans’ amortized cost basis on the Company’s Consolidated Balance Sheets. The CECL Reserve attributed to unfunded loan commitments is included in “Accounts payable and accrued expenses” on the Consolidated Balance Sheets. The expected credit losses are adjusted each period for changes in expected lifetime credit losses through a provision for current expected credit losses recognized on the consolidated Statements of Operations. Refer to “Note 3 – Loans Held for Investment, Net” for further information regarding the CECL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represents the price that would be received to sell an asset or paid to transfer a liability in an orderly transaction between market participants at the measurement date. Fair value measurement assumes that the transaction to sell the asset or transfer the liability takes place either in the principal market for the asset or liability, or, in the absence of a principal market, in the most advantageous market for the asset or liability. The Company discloses the fair value of its financial assets and liabilities based on observable market information where available or on market participant assumptions. These assumptions are subjective in nature and involve matters of judgment and, therefore, fair values cannot always be determined with precision. When determining fair value, the Company maximizes the use of observable inputs and minimizes the use of unobservable inputs. The three levels of the fair value hierarchy as set forth in Financial Accounting Standards Board (“FASB”) Accounting Standards Codification (“ASC”) Topic 820 – </w:t>
      </w:r>
      <w:r>
        <w:rPr>
          <w:rFonts w:ascii="Times New Roman;Times;Serif" w:hAnsi="Times New Roman;Times;Serif"/>
          <w:b w:val="false"/>
          <w:i/>
          <w:caps w:val="false"/>
          <w:smallCaps w:val="false"/>
          <w:sz w:val="20"/>
        </w:rPr>
        <w:t>Fair Value Measurement and Disclosure</w:t>
      </w:r>
      <w:r>
        <w:rPr>
          <w:rFonts w:ascii="Times New Roman;Times;Serif" w:hAnsi="Times New Roman;Times;Serif"/>
          <w:b w:val="false"/>
          <w:i w:val="false"/>
          <w:caps w:val="false"/>
          <w:smallCaps w:val="false"/>
          <w:sz w:val="20"/>
        </w:rPr>
        <w:t xml:space="preserve"> are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1—Valuations based on quoted prices in active markets for identical assets or liabilities that the Company has the ability to access.</w:t>
            </w:r>
          </w:p>
        </w:tc>
      </w:tr>
    </w:tbl>
    <w:p>
      <w:pPr>
        <w:pStyle w:val="TextBody"/>
        <w:spacing w:before="0" w:after="0"/>
        <w:ind w:left="108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2—Valuations based on quoted prices in markets that are not active or for which all significant inputs are observable, either directly or indirectly.</w:t>
            </w:r>
          </w:p>
        </w:tc>
      </w:tr>
    </w:tbl>
    <w:p>
      <w:pPr>
        <w:pStyle w:val="TextBody"/>
        <w:spacing w:before="0" w:after="0"/>
        <w:ind w:left="1080" w:right="0" w:hanging="0"/>
        <w:rPr>
          <w:caps w:val="false"/>
          <w:smallCaps w:val="false"/>
        </w:rPr>
      </w:pPr>
      <w:r>
        <w:rPr>
          <w:caps w:val="false"/>
          <w:smallCaps w:val="false"/>
        </w:rPr>
        <w:t> </w:t>
      </w:r>
    </w:p>
    <w:tbl>
      <w:tblPr>
        <w:tblW w:w="9430" w:type="dxa"/>
        <w:jc w:val="left"/>
        <w:tblInd w:w="0" w:type="dxa"/>
        <w:tblCellMar>
          <w:top w:w="0" w:type="dxa"/>
          <w:left w:w="0" w:type="dxa"/>
          <w:bottom w:w="0" w:type="dxa"/>
          <w:right w:w="0" w:type="dxa"/>
        </w:tblCellMar>
      </w:tblPr>
      <w:tblGrid>
        <w:gridCol w:w="75"/>
        <w:gridCol w:w="170"/>
        <w:gridCol w:w="91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1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3—Valuations based on inputs that are unobservable and significant to the overall fair value measurement.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inputs used to measure fair value fall into different levels of the fair value hierarchy, a loan’s level is based on the lowest level of input that is significant to the fair value measurement. The Company’s assessment of the significance of a particular input to the fair value measurement in its entirety requires judgment and considers factors specific to the instrument being measured. This includes instruments that are valued using “bid” and “ask” prices obtained from independent third-party pricing services or directly from brokers.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requires disclosure of fair value information about financial and nonfinancial assets and liabilities, whether or not recognized in the consolidated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loans held for investment is discussed in Note 3. Excluding the aforementioned assets, the carrying values of our current financial assets and current financial liabilities approximate fair values.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equity-based compensation issued to employees of the Manager and its affiliates and the members of its Board of Directors (the “Board”) pursuant to the 2021 Omnibus Incentive Plan (the “2021 Plan”) under the fair value method. This method measures compensation cost at the date of grant based on the value of the award and recognizes the cost over the service period, which is usually the vesting period. Forfeitures are recognized as they occur. The fair value of equity-based compensation awards is based on the estimated fair value of the Company’s common stock, based on the Company’s stock price on grant date, and approved by the Board. Fair values of award grants also recognize any ongoing restrictions on the sale of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 Issuance Costs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issuance costs are presented as a direct deduction from the debt liability, consistent with debt discounts or premiums unless they relate to an undrawn line of credit, in which case they are amortized on a straight-line basis over the life of the line of credit. Unamortized debt issuance costs are subsequently expensed if the associated debt is repaid prior to maturity. As of March 31, 2022 and December 31, 2021, the Company incurred debt issuance costs of $795,754 and $868,022, respectively, which are capitalized within Other Assets on the Company’s consolidated balance sheets. For the three months ended March 31, 2022, the Company recorded amortization expense of $72,268.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Formation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commenced operations on April 1, 2021. The assets and liabilities constituting its Initial Portfolio were contributed at amortized cost on April 1, 2021 (the “Formation Transaction”). The fair values of the contributed cash and accrued interest approximated their carrying values because of the short-term nature of these instruments in relation to their origination date. The amortized cost of the contributed assets described above were agreed upon by the parties that contributed assets to the Company in the Formation Transaction and used to determine the number of shares of common stock issued. Any purchase premiums or discounts are amortized over the expected life of the investment.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par values, amortized cost and purchase premiums (discounts) of the portfolio of assets contributed on April 1, 2021:</w:t>
      </w:r>
    </w:p>
    <w:p>
      <w:pPr>
        <w:pStyle w:val="TextBody"/>
        <w:spacing w:before="0" w:after="0"/>
        <w:ind w:left="0" w:right="0" w:hanging="0"/>
        <w:rPr>
          <w:caps w:val="false"/>
          <w:smallCaps w:val="false"/>
        </w:rPr>
      </w:pPr>
      <w:r>
        <w:rPr>
          <w:caps w:val="false"/>
          <w:smallCaps w:val="false"/>
        </w:rPr>
        <w:t> </w:t>
      </w:r>
    </w:p>
    <w:tbl>
      <w:tblPr>
        <w:tblW w:w="6988" w:type="dxa"/>
        <w:jc w:val="left"/>
        <w:tblInd w:w="0" w:type="dxa"/>
        <w:tblCellMar>
          <w:top w:w="0" w:type="dxa"/>
          <w:left w:w="0" w:type="dxa"/>
          <w:bottom w:w="0" w:type="dxa"/>
          <w:right w:w="0" w:type="dxa"/>
        </w:tblCellMar>
      </w:tblPr>
      <w:tblGrid>
        <w:gridCol w:w="2570"/>
        <w:gridCol w:w="60"/>
        <w:gridCol w:w="125"/>
        <w:gridCol w:w="845"/>
        <w:gridCol w:w="60"/>
        <w:gridCol w:w="60"/>
        <w:gridCol w:w="172"/>
        <w:gridCol w:w="1167"/>
        <w:gridCol w:w="60"/>
        <w:gridCol w:w="60"/>
        <w:gridCol w:w="275"/>
        <w:gridCol w:w="1439"/>
        <w:gridCol w:w="95"/>
      </w:tblGrid>
      <w:tr>
        <w:trPr/>
        <w:tc>
          <w:tcPr>
            <w:tcW w:w="257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Amortized Cost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Premium (Discount)</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7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39"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14"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57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97,976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97,976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9"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5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held-for-investment, net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9,883,211</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2"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167"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9,802,024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7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39"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(81,187</w:t>
            </w:r>
          </w:p>
        </w:tc>
        <w:tc>
          <w:tcPr>
            <w:tcW w:w="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7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contributions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9,981,187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2"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7"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9,900,000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7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39"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(81,187</w:t>
            </w:r>
          </w:p>
        </w:tc>
        <w:tc>
          <w:tcPr>
            <w:tcW w:w="9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Accounting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acquisitions of the Initial Portfolio and other loans acquired during the period from March 30, 2021 (Inception) to December 31, 2021 as asset acquisitions. Substantially all of the fair value of the assets acquired are concentrated in a group of similarly identifiable loan assets, and as such, lack physical facilities, employees, customer base, operating rights, and do not constitute businesses. The investments were contributed to the Company in non-cash transactions including the Formation Transaction described above and the cost was determined based on the amortized cost of the assets acquired. There were no such acquisitions during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is recognized on an accrual basis and is reported as an interest receivable until collected. Interest income is accrued based on the outstanding principal amount and the contractual terms of the loan. Original issue discount (“OID”), market discounts or premiums, and loan amendment fees for minor modifications (collectively, “Net Loan Fees”) are recorded as an adjustment to the amortized cost of the loan, and accreted or amortized as an adjustment to interest income over the initial term of the respective loan using a method that approximates the effective interest method. When the Company receives a loan principal payment, the unamortized Net Loan Fees related to the paid principal is accelerated and recognized in interest income.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Delayed draw loans may earn interest or unused fees on the undrawn portion of the loan, which is recognized as interest income in the period earned. Other fees, including prepayment fees and exit or success fees, are recognized as interest income when received.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loans contain a payment-in-kind interest income provision (“PIK interest”). The PIK interest, computed at the contractual rate specified in the applicable loan agreement, is added to the principal balance of the loan, rather than being paid in cash, and is generally collected upon repayment of the outstanding principal. Recognition of PIK interest includes assessments of collectability and may discontinue accrual of interest income, including PIK interest, when there is reasonable doubt that the interest income will be collected. To maintain the Company’s status as a REIT, and/or to avoid incurring an excise tax, accrued income such as this may need to be distributed to stockholders in the form of dividends for the year earned, even though the Company has not yet collected the 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are generally placed on non-accrual status when principal or interest payments are past due 90 days or more or when there is reasonable doubt that principal or interest will be collected in full. Accrued and unpaid interest is generally reversed against interest income in the period the loan is placed on non-accrual status. Interest payments received on non-accrual loans may be recognized as income or applied to principal depending upon management’s judgment regarding the borrower’s ability to make pending principal and interest payments. Non-accrual loans are restored to accrual status when principal and interest payments are brought current, the borrower demonstrates sustained repayment performance, or the loan becomes well secured and is in the process of collection. The Company may make exceptions to placing a loan on non-accrual status if the loan has sufficient collateral value and is in the process of collection.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Reserves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interest reserves on certain loans which are applied to future interest payments. Such reserves are established at the time of loan origination. The interest reserve is recorded as a liability as it represents unearned interest revenue. The interest reserve is relieved when the interest on the loan is earned, and interest income is recorded in the period when the interest is earned in accordance with the credit agreement. The interest payment is deducted from the interest reserve deposit balance on the date when the interest payment is due.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to establish an interest reserve is made during the underwriting process and considers the creditworthiness and expertise of the borrower, the feasibility of the project, and the debt coverage provided by the real estate and other pledged collateral.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Company’s policy to recognize income for this interest component as long as the borrower is progressing as originally projected and if there has been no deterioration in the financial condition of the borrower or the underlying project. The Company’s standard accounting policies for interest income recognition are applied to all loans, including those with interest reserves.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 accordance with the Company’s financing agreements, is recorded on the accrual basis. Debt issuance costs are reported as interest expense. General and administrative expenses, including professional fees, are expensed as incurred.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Maryland corporation and elected to be taxed as a REIT under the Code, commencing with its taxable year ended December 31, 2021. The Company believes that its method of operations will enable it to continue to qualify as a REIT. However, no assurances can be given that the Company’s beliefs or expectations will be fulfilled, since qualification as a REIT depends on the Company satisfying numerous asset, income and distribution tests which depends, in part, on the Company’s operating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a REIT, the Company must meet a number of organizational and operational requirements, including a requirement that the Company distributes annually to its stockholders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if the Company distributes less than the sum of 1) 85% of its ordinary income for the calendar year, 2) 95% of its capital gain net income for the calendar year, and 3) any undistributed shortfall from its prior calendar year (the “Required Distribution”) to its stockholders during any calendar year (including any distributions declared by the last day of the calendar year but paid in the subsequent year), then it is required to pay a non-deductible excise tax equal to 4% of any shortfall between the Required Distribution and the amount that was actually distributed. The 90% distribution requirement does not require the distribution of net capital gains. However, if the Company elects to retain any of its net capital gain for any tax year, it must notify its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and receive an income tax credit for such amount. Furthermore, such retained capital gain may be subject to the nondeductible 4% excise tax. If it is determined that the Company’s estimated current year taxable income will be in excess of estimated dividend distributions (including capital gain dividend) for the current year from such income, the Company accrues excise tax on estimated excess taxable income as such taxable income is earned. The annual expense is calculated in accordance with applicable tax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FASB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well documented and supported as of March 31, 2022. Based on the Company’s evaluation, the Company does not have any unrecognized tax benefits and does not expect that to change in the next 12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calculates basic earnings / (loss) per share by dividing net income / (loss) allocable to common stockholders for the period by the weighted average shares of common stock outstanding for that period. Diluted earnings / (loss) per share takes into effect any dilutive instruments, except when doing so would be anti-dilutive. As of March 31, 2022 and December 31, 2021, there were dilutive instruments relating to restricted share awards. See Note 10 included in these consolidated financial statements for the earnings per share calculations.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there are no recent accounting pronouncements that have been issued that are expected to have a significant impact on the Company’s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LOANS HELD FOR INVESTMENT,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the Company’s portfolio was comprised of 22 and 21 loans, respectively, held on the consolidated balance sheet at amortized cost. The Company’s aggregate loan commitments and outstanding principal were approximately $321.1 million and $282.7 million as of March 31, 2022, and $235.1 million and $200.6 million as of December 31, 2021. For the three months ended March 31, 2022, the Company funded approximately $86.7 million in new loan principal.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the Company did not have any loans held for investment with floating interest rates tied to the London Inter-bank Offered Rate (“LIBOR”). As of March 31, 2022 and December 31, 2021, approximately 63.4% and 53.2%, respectively, of its portfolio was comprised of floating rate loans that pay interest at the prime rate plus an applicable margin, and were subject to prime rate floors. The outstanding principal of these loans was approximately $179.2 million and $106.7 million as of March 31, 2022 and December 31, 2021,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36.6% and 46.8% of the portfolio as of March 31, 2022 and December 31, 2021, respectively, was comprised of fixed rate loans that had outstanding principal of approximately $103.5 million and $93.9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loans held for investment as of March 31, 2022 and December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46"/>
        <w:gridCol w:w="60"/>
        <w:gridCol w:w="193"/>
        <w:gridCol w:w="1630"/>
        <w:gridCol w:w="60"/>
        <w:gridCol w:w="60"/>
        <w:gridCol w:w="201"/>
        <w:gridCol w:w="1462"/>
        <w:gridCol w:w="80"/>
        <w:gridCol w:w="60"/>
        <w:gridCol w:w="155"/>
        <w:gridCol w:w="1314"/>
        <w:gridCol w:w="80"/>
        <w:gridCol w:w="60"/>
        <w:gridCol w:w="404"/>
        <w:gridCol w:w="1859"/>
        <w:gridCol w:w="81"/>
      </w:tblGrid>
      <w:tr>
        <w:trPr/>
        <w:tc>
          <w:tcPr>
            <w:tcW w:w="2446"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618"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2022</w:t>
            </w:r>
          </w:p>
        </w:tc>
        <w:tc>
          <w:tcPr>
            <w:tcW w:w="8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46"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2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Principal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6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 Discount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6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 (1)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6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Life</w:t>
              <w:br/>
              <w:t>(Years)(2)</w:t>
            </w:r>
          </w:p>
        </w:tc>
        <w:tc>
          <w:tcPr>
            <w:tcW w:w="8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4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Term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3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282,708,732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(3,881,818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278,826,914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44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loans held at carrying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63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282,708,732</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462"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(3,881,818</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314"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278,826,914</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04"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44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630" w:type="dxa"/>
            <w:tcBorders>
              <w:bottom w:val="single" w:sz="12" w:space="0" w:color="000000"/>
            </w:tcBorders>
            <w:shd w:fill="CCEEFF" w:val="clear"/>
            <w:tcMar>
              <w:bottom w:w="28" w:type="dxa"/>
            </w:tcMar>
            <w:vAlign w:val="center"/>
          </w:tcPr>
          <w:p>
            <w:pPr>
              <w:pStyle w:val="TableContents"/>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N/A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62" w:type="dxa"/>
            <w:tcBorders>
              <w:bottom w:val="single" w:sz="12" w:space="0" w:color="000000"/>
            </w:tcBorders>
            <w:shd w:fill="CCEEFF" w:val="clear"/>
            <w:tcMar>
              <w:bottom w:w="28" w:type="dxa"/>
            </w:tcMar>
            <w:vAlign w:val="center"/>
          </w:tcPr>
          <w:p>
            <w:pPr>
              <w:pStyle w:val="TableContents"/>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N/A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1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(182,838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446"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held at carrying value, net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3"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3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282,708,732</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2"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(3,881,818</w:t>
            </w:r>
          </w:p>
        </w:tc>
        <w:tc>
          <w:tcPr>
            <w:tcW w:w="80"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14"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278,644,076</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04"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81"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7"/>
        <w:gridCol w:w="9940"/>
      </w:tblGrid>
      <w:tr>
        <w:trPr/>
        <w:tc>
          <w:tcPr>
            <w:tcW w:w="3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Carrying Value and the Outstanding Principal amount of the loans consists of unaccreted original issue discount and loan origination costs</w:t>
            </w:r>
          </w:p>
        </w:tc>
      </w:tr>
    </w:tbl>
    <w:tbl>
      <w:tblPr>
        <w:tblW w:w="9063" w:type="dxa"/>
        <w:jc w:val="left"/>
        <w:tblInd w:w="0" w:type="dxa"/>
        <w:tblCellMar>
          <w:top w:w="0" w:type="dxa"/>
          <w:left w:w="0" w:type="dxa"/>
          <w:bottom w:w="0" w:type="dxa"/>
          <w:right w:w="0" w:type="dxa"/>
        </w:tblCellMar>
      </w:tblPr>
      <w:tblGrid>
        <w:gridCol w:w="38"/>
        <w:gridCol w:w="245"/>
        <w:gridCol w:w="878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7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life is calculated based on the carrying value of the loans as of March 31, 2022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46"/>
        <w:gridCol w:w="60"/>
        <w:gridCol w:w="193"/>
        <w:gridCol w:w="1630"/>
        <w:gridCol w:w="60"/>
        <w:gridCol w:w="60"/>
        <w:gridCol w:w="201"/>
        <w:gridCol w:w="1462"/>
        <w:gridCol w:w="80"/>
        <w:gridCol w:w="60"/>
        <w:gridCol w:w="155"/>
        <w:gridCol w:w="1314"/>
        <w:gridCol w:w="80"/>
        <w:gridCol w:w="60"/>
        <w:gridCol w:w="404"/>
        <w:gridCol w:w="1859"/>
        <w:gridCol w:w="81"/>
      </w:tblGrid>
      <w:tr>
        <w:trPr/>
        <w:tc>
          <w:tcPr>
            <w:tcW w:w="2446"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618"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2021</w:t>
            </w:r>
          </w:p>
        </w:tc>
        <w:tc>
          <w:tcPr>
            <w:tcW w:w="8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46"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2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Principal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6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 Discount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6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 (1)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6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Life</w:t>
              <w:br/>
              <w:t>(Years)(2)</w:t>
            </w:r>
          </w:p>
        </w:tc>
        <w:tc>
          <w:tcPr>
            <w:tcW w:w="81"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4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Term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3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200,632,056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6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(3,647,490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196,984,566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44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loans held at carrying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63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200,632,056</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462"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(3,647,490</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314"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196,984,566</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04"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1"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44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3"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630" w:type="dxa"/>
            <w:tcBorders>
              <w:bottom w:val="single" w:sz="12" w:space="0" w:color="000000"/>
            </w:tcBorders>
            <w:shd w:fill="CCEEFF" w:val="clear"/>
            <w:tcMar>
              <w:bottom w:w="28" w:type="dxa"/>
            </w:tcMar>
            <w:vAlign w:val="center"/>
          </w:tcPr>
          <w:p>
            <w:pPr>
              <w:pStyle w:val="TableContents"/>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N/A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462" w:type="dxa"/>
            <w:tcBorders>
              <w:bottom w:val="single" w:sz="12" w:space="0" w:color="000000"/>
            </w:tcBorders>
            <w:shd w:fill="CCEEFF" w:val="clear"/>
            <w:tcMar>
              <w:bottom w:w="28" w:type="dxa"/>
            </w:tcMar>
            <w:vAlign w:val="center"/>
          </w:tcPr>
          <w:p>
            <w:pPr>
              <w:pStyle w:val="TableContents"/>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N/A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1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(134,542</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0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1"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446"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held at carrying value, net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3"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3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200,632,056</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62"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(3,647,490</w:t>
            </w:r>
          </w:p>
        </w:tc>
        <w:tc>
          <w:tcPr>
            <w:tcW w:w="80"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14"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196,850,024</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04"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859"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81"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27"/>
        <w:gridCol w:w="9940"/>
      </w:tblGrid>
      <w:tr>
        <w:trPr/>
        <w:tc>
          <w:tcPr>
            <w:tcW w:w="3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Carrying Value and the Outstanding Principal amount of the loans consists of unaccreted original issue discount and loan origination costs</w:t>
            </w:r>
          </w:p>
        </w:tc>
      </w:tr>
    </w:tbl>
    <w:tbl>
      <w:tblPr>
        <w:tblW w:w="9348" w:type="dxa"/>
        <w:jc w:val="left"/>
        <w:tblInd w:w="0" w:type="dxa"/>
        <w:tblCellMar>
          <w:top w:w="0" w:type="dxa"/>
          <w:left w:w="0" w:type="dxa"/>
          <w:bottom w:w="0" w:type="dxa"/>
          <w:right w:w="0" w:type="dxa"/>
        </w:tblCellMar>
      </w:tblPr>
      <w:tblGrid>
        <w:gridCol w:w="38"/>
        <w:gridCol w:w="245"/>
        <w:gridCol w:w="9065"/>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life is calculated based on the carrying value of the loans as of December 31, 2021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presents changes in loans held at carrying value as of and for the three months ended March 31, 2022. The Company had no loans held at carrying value as of March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832"/>
        <w:gridCol w:w="60"/>
        <w:gridCol w:w="125"/>
        <w:gridCol w:w="1055"/>
        <w:gridCol w:w="80"/>
        <w:gridCol w:w="60"/>
        <w:gridCol w:w="236"/>
        <w:gridCol w:w="1716"/>
        <w:gridCol w:w="80"/>
        <w:gridCol w:w="60"/>
        <w:gridCol w:w="328"/>
        <w:gridCol w:w="1990"/>
        <w:gridCol w:w="80"/>
        <w:gridCol w:w="60"/>
        <w:gridCol w:w="142"/>
        <w:gridCol w:w="1203"/>
        <w:gridCol w:w="98"/>
      </w:tblGrid>
      <w:tr>
        <w:trPr/>
        <w:tc>
          <w:tcPr>
            <w:tcW w:w="2832"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5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 Discount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1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Allowance for Credit Losses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w:t>
            </w:r>
          </w:p>
        </w:tc>
        <w:tc>
          <w:tcPr>
            <w:tcW w:w="98"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32"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December 31, 2021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200,632,056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716"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(3,647,490</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8"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990"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(134,542</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03"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196,850,024</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83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fundings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86,725,308</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716"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(1,128,415</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8"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2"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203"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85,596,893</w:t>
            </w:r>
          </w:p>
        </w:tc>
        <w:tc>
          <w:tcPr>
            <w:tcW w:w="98"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repayment of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(5,619,201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716"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(5,619,201</w:t>
            </w:r>
          </w:p>
        </w:tc>
        <w:tc>
          <w:tcPr>
            <w:tcW w:w="9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3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Accretion of original issue discount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716"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894,087</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8"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2"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203"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894,087</w:t>
            </w:r>
          </w:p>
        </w:tc>
        <w:tc>
          <w:tcPr>
            <w:tcW w:w="98"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83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PIK Interest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970,569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716"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970,569</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83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credit losses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6"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716"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28"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99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(48,296</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2"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03"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(48,296</w:t>
            </w:r>
          </w:p>
        </w:tc>
        <w:tc>
          <w:tcPr>
            <w:tcW w:w="9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32"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at March 31, 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282,708,732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6"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716"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(3,881,818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28"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99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(182,838</w:t>
            </w:r>
          </w:p>
        </w:tc>
        <w:tc>
          <w:tcPr>
            <w:tcW w:w="80"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2"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03"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278,644,076</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detailed listing of the Company’s loans held at carrying value portfolio based on information available as of March 31, 2022, is as follows:</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5"/>
        <w:gridCol w:w="1163"/>
        <w:gridCol w:w="60"/>
        <w:gridCol w:w="60"/>
        <w:gridCol w:w="1190"/>
        <w:gridCol w:w="60"/>
        <w:gridCol w:w="69"/>
        <w:gridCol w:w="1224"/>
        <w:gridCol w:w="60"/>
        <w:gridCol w:w="60"/>
        <w:gridCol w:w="82"/>
        <w:gridCol w:w="1240"/>
        <w:gridCol w:w="80"/>
        <w:gridCol w:w="60"/>
        <w:gridCol w:w="64"/>
        <w:gridCol w:w="1133"/>
        <w:gridCol w:w="80"/>
        <w:gridCol w:w="60"/>
        <w:gridCol w:w="1307"/>
        <w:gridCol w:w="60"/>
        <w:gridCol w:w="62"/>
        <w:gridCol w:w="839"/>
        <w:gridCol w:w="60"/>
        <w:gridCol w:w="60"/>
        <w:gridCol w:w="163"/>
        <w:gridCol w:w="753"/>
        <w:gridCol w:w="81"/>
      </w:tblGrid>
      <w:tr>
        <w:trPr/>
        <w:tc>
          <w:tcPr>
            <w:tcW w:w="1238"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119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Location</w:t>
            </w:r>
          </w:p>
        </w:tc>
        <w:tc>
          <w:tcPr>
            <w:tcW w:w="6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1293"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Principal(1)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1322"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 Premium/(Discount)</w:t>
            </w:r>
          </w:p>
        </w:tc>
        <w:tc>
          <w:tcPr>
            <w:tcW w:w="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119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Value(1)</w:t>
            </w:r>
          </w:p>
        </w:tc>
        <w:tc>
          <w:tcPr>
            <w:tcW w:w="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1307"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Interest Rate(4)</w:t>
            </w:r>
          </w:p>
        </w:tc>
        <w:tc>
          <w:tcPr>
            <w:tcW w:w="6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901"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p>
        </w:tc>
        <w:tc>
          <w:tcPr>
            <w:tcW w:w="916"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Terms(3)</w:t>
            </w:r>
          </w:p>
        </w:tc>
        <w:tc>
          <w:tcPr>
            <w:tcW w:w="81"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19,308</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556,808</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12/31/2022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(517,906</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29,482,094</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5/30/2023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Pennsylvania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6,957,500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(239,669</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6,717,831</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+ 11.00%</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1/31/2025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29,333,311</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(149,336</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29,183,975</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+ 6.65%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 xml:space="preserve">Cash, 2.5% PIK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12/31/2024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19,321,082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(583,643</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18,737,439</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13.625% Cash, 2.75%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3/31/2024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Arizona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11,061,997</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11,061,997</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4/28/2023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Massachusetts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+ 12.25%</w:t>
            </w:r>
            <w:r>
              <w:rPr>
                <w:rFonts w:ascii="Times New Roman;Times;Serif" w:hAnsi="Times New Roman;Times;Serif"/>
                <w:b w:val="false"/>
                <w:i w:val="false"/>
                <w:caps w:val="false"/>
                <w:smallCaps w:val="false"/>
                <w:position w:val="7"/>
                <w:sz w:val="16"/>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4/28/2023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Pennsylvania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13,235,127</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13,235,127</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+ 10.75%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4% PIK</w:t>
            </w:r>
            <w:r>
              <w:rPr>
                <w:rFonts w:ascii="Times New Roman;Times;Serif" w:hAnsi="Times New Roman;Times;Serif"/>
                <w:b w:val="false"/>
                <w:i w:val="false"/>
                <w:caps w:val="false"/>
                <w:smallCaps w:val="false"/>
                <w:position w:val="7"/>
                <w:sz w:val="16"/>
                <w:sz w:val="20"/>
              </w:rPr>
              <w:t>(8)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5/31/2025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(7,560</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4,492,440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+ 9.00%</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2/20/2024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19,388,944</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(238,164</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19,150,780</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Cash, 1%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8/30/2024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Virginia</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9,599,451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(153,282</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9,446,169</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+ 9.25%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2%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9/1/2024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Pennsylvania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15,263,207</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15,263,207</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+ 10.75%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3%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6/30/2024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392,009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392,009</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9/30/2024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Maryland</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20,203,076</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(500,365</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19,702,711</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+ 8.75%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2%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9/30/2024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(260,570</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11,739,430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10/31/2024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10,600,000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(89,946</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10,510,054</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+ 7.00%</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11/22/2022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Cash, 2.5%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12/27/2026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Michigan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3,646,200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(78,658</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3,567,542</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10.50% Cash, 1% to 5% PIK</w:t>
            </w:r>
            <w:r>
              <w:rPr>
                <w:rFonts w:ascii="Times New Roman;Times;Serif" w:hAnsi="Times New Roman;Times;Serif"/>
                <w:b w:val="false"/>
                <w:i w:val="false"/>
                <w:caps w:val="false"/>
                <w:smallCaps w:val="false"/>
                <w:position w:val="7"/>
                <w:sz w:val="16"/>
                <w:sz w:val="20"/>
              </w:rPr>
              <w:t>(9)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12/29/2023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Various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(68,778</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7,431,222</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+ 9.25%</w:t>
            </w:r>
            <w:r>
              <w:rPr>
                <w:rFonts w:ascii="Times New Roman;Times;Serif" w:hAnsi="Times New Roman;Times;Serif"/>
                <w:b w:val="false"/>
                <w:i w:val="false"/>
                <w:caps w:val="false"/>
                <w:smallCaps w:val="false"/>
                <w:position w:val="7"/>
                <w:sz w:val="16"/>
                <w:sz w:val="20"/>
              </w:rPr>
              <w:t xml:space="preserve">(5)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12/31/2024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(357,104</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14,642,896</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1/31/2025</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Ohio</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30,140,161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(570,026</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29,570,135</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+ 8.25%</w:t>
            </w:r>
            <w:r>
              <w:rPr>
                <w:rFonts w:ascii="Times New Roman;Times;Serif" w:hAnsi="Times New Roman;Times;Serif"/>
                <w:b w:val="false"/>
                <w:i w:val="false"/>
                <w:caps w:val="false"/>
                <w:smallCaps w:val="false"/>
                <w:position w:val="7"/>
                <w:sz w:val="16"/>
                <w:sz w:val="20"/>
              </w:rPr>
              <w:t xml:space="preserve">(5) </w:t>
            </w:r>
            <w:r>
              <w:rPr>
                <w:rFonts w:ascii="Times New Roman;Times;Serif" w:hAnsi="Times New Roman;Times;Serif"/>
                <w:b w:val="false"/>
                <w:i w:val="false"/>
                <w:caps w:val="false"/>
                <w:smallCaps w:val="false"/>
                <w:sz w:val="20"/>
              </w:rPr>
              <w:t>Cash, 3% PIK</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2/28/2025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Florida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224"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17,529,167</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240"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(86,119</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133"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17,443,048</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 Cash, 3% PIK</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8/29/2025</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40"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133"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auto"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expected credit loss reserve</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224"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240"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133"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(182,838</w:t>
            </w:r>
          </w:p>
        </w:tc>
        <w:tc>
          <w:tcPr>
            <w:tcW w:w="80"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1"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held at carry value</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9" w:type="dxa"/>
            <w:tcBorders>
              <w:bottom w:val="double" w:sz="10"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224"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282,708,732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82" w:type="dxa"/>
            <w:tcBorders>
              <w:bottom w:val="double" w:sz="10"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240"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(3,881,818</w:t>
            </w:r>
          </w:p>
        </w:tc>
        <w:tc>
          <w:tcPr>
            <w:tcW w:w="80"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bottom w:val="double" w:sz="10"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133" w:type="dxa"/>
            <w:tcBorders>
              <w:bottom w:val="double" w:sz="10" w:space="0" w:color="000000"/>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278,644,076</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7"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2"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39"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753"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Carrying Value and the Outstanding Principal amount of the loans consists of unaccreted purchase discount, deferred loan fees and loan origination costs</w:t>
            </w:r>
          </w:p>
        </w:tc>
      </w:tr>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w:t>
            </w:r>
          </w:p>
        </w:tc>
      </w:tr>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 = principal and interest. I/O = interest only.  P/I loans may include interest only periods for a portion of the loan term.</w:t>
            </w:r>
          </w:p>
        </w:tc>
      </w:tr>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 prime rate and depicts floating rate loans that pay interest at the prime rate plus a specific percentage; “PIK” = paid in kind interest.</w:t>
            </w:r>
          </w:p>
        </w:tc>
      </w:tr>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loan is subject to a 3.25% prime rate floor.</w:t>
            </w:r>
          </w:p>
        </w:tc>
      </w:tr>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loan commitment to Loan #2 includes a $4.005 million initial advance which has an interest rate of 15.25%, a second advance of $15.995 million which has an interest rate of 9.75%, and a third advance of $10.0 million which has an interest rate of 8.5%. The statistics presented reflect the weighted average of the terms under all advances for the total aggregate loan commitment.</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loan commitment to Loan #6 includes a $8.9 million initial commitment which has a base interest rate of 15.25% and PIK interest rate of 2%, and a second commitment of $2.0 million which has an interest rate of 39%. The statistics presented reflect the weighted average of the terms under both advances for the total aggregate loan commitment.</w:t>
            </w:r>
          </w:p>
        </w:tc>
      </w:tr>
      <w:tr>
        <w:trPr/>
        <w:tc>
          <w:tcPr>
            <w:tcW w:w="219"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8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not below 2% if borrower receives at least two consecutive quarters of positive cash flow after the closing date.</w:t>
            </w:r>
          </w:p>
        </w:tc>
      </w:tr>
    </w:tbl>
    <w:p>
      <w:pPr>
        <w:pStyle w:val="TextBody"/>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PIK is variable with an initial rate of five percent (5.00%) per annum, until borrower’s delivery of audited financial statements for the Fiscal Year ended December 31, 2021, at which time the PIK interest rate shall equal a rate of one percent (1.00%) if EBITDA is greater than $6,000,000; three percent (3.00%) if EBITDA is greater than $4,000,000 and less than or equal to $6,000,000; or will remain at five percent (5.00%) if EBITDA is less than $4,000,000.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all loans are current, and none have been placed on non-accrual status. The aggregate fair value of the Company’s loan portfolio was $279,085,998 and $197,901,779, with gross unrecognized holding gains of $259,084 and $917,213 as of March 31, 2022 and December 31, 2021, respectively.  The fair values, which are classified as Level 3 in the fair value hierarchy (Note 2),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Quality Indicators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the Company’s loans are rated “1” through “5,” from less risk to greater risk, which ratings are defined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05"/>
        <w:gridCol w:w="60"/>
        <w:gridCol w:w="9540"/>
      </w:tblGrid>
      <w:tr>
        <w:trPr/>
        <w:tc>
          <w:tcPr>
            <w:tcW w:w="60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Rating</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low risk</w:t>
            </w:r>
          </w:p>
        </w:tc>
      </w:tr>
      <w:tr>
        <w:trPr/>
        <w:tc>
          <w:tcPr>
            <w:tcW w:w="60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risk</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Moderate/average risk</w:t>
            </w:r>
          </w:p>
        </w:tc>
      </w:tr>
      <w:tr>
        <w:trPr/>
        <w:tc>
          <w:tcPr>
            <w:tcW w:w="60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risk/potential for loss: a loan that has a risk of realizing a principal loss</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Impaired/loss likely: a loan that has a high risk of realizing principal loss, has incurred principal loss or an impairment has been recorded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ratings are primarily based on historical data and current conditions specific to each portfolio company, as well as consideration of future economic conditions and each borrower’s estimated ability to meet debt service requirements.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the carrying value, excluding the CECL reserve, of the Company’s loans within each risk rating by year of origination is as follows:</w:t>
      </w:r>
    </w:p>
    <w:p>
      <w:pPr>
        <w:pStyle w:val="TextBody"/>
        <w:spacing w:before="0" w:after="0"/>
        <w:ind w:left="0" w:right="0" w:hanging="0"/>
        <w:rPr>
          <w:caps w:val="false"/>
          <w:smallCaps w:val="false"/>
        </w:rPr>
      </w:pPr>
      <w:r>
        <w:rPr>
          <w:caps w:val="false"/>
          <w:smallCaps w:val="false"/>
        </w:rPr>
        <w:t> </w:t>
      </w:r>
    </w:p>
    <w:tbl>
      <w:tblPr>
        <w:tblW w:w="6645" w:type="dxa"/>
        <w:jc w:val="left"/>
        <w:tblInd w:w="0" w:type="dxa"/>
        <w:tblCellMar>
          <w:top w:w="0" w:type="dxa"/>
          <w:left w:w="0" w:type="dxa"/>
          <w:bottom w:w="0" w:type="dxa"/>
          <w:right w:w="0" w:type="dxa"/>
        </w:tblCellMar>
      </w:tblPr>
      <w:tblGrid>
        <w:gridCol w:w="1025"/>
        <w:gridCol w:w="60"/>
        <w:gridCol w:w="60"/>
        <w:gridCol w:w="950"/>
        <w:gridCol w:w="60"/>
        <w:gridCol w:w="60"/>
        <w:gridCol w:w="60"/>
        <w:gridCol w:w="1055"/>
        <w:gridCol w:w="60"/>
        <w:gridCol w:w="60"/>
        <w:gridCol w:w="60"/>
        <w:gridCol w:w="950"/>
        <w:gridCol w:w="60"/>
        <w:gridCol w:w="60"/>
        <w:gridCol w:w="60"/>
        <w:gridCol w:w="695"/>
        <w:gridCol w:w="60"/>
        <w:gridCol w:w="60"/>
        <w:gridCol w:w="60"/>
        <w:gridCol w:w="1055"/>
        <w:gridCol w:w="75"/>
      </w:tblGrid>
      <w:tr>
        <w:trPr/>
        <w:tc>
          <w:tcPr>
            <w:tcW w:w="102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485" w:type="dxa"/>
            <w:gridSpan w:val="18"/>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2022</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2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Rating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122,035,698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29,482,094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556,808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152,074,600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90,840,054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29,194,429</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6,717,831</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126,752,314</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90,840,054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151,230,127</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36,199,925</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556,808</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278,826,914</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6705" w:type="dxa"/>
        <w:jc w:val="left"/>
        <w:tblInd w:w="0" w:type="dxa"/>
        <w:tblCellMar>
          <w:top w:w="0" w:type="dxa"/>
          <w:left w:w="0" w:type="dxa"/>
          <w:bottom w:w="0" w:type="dxa"/>
          <w:right w:w="0" w:type="dxa"/>
        </w:tblCellMar>
      </w:tblPr>
      <w:tblGrid>
        <w:gridCol w:w="1250"/>
        <w:gridCol w:w="60"/>
        <w:gridCol w:w="60"/>
        <w:gridCol w:w="140"/>
        <w:gridCol w:w="1220"/>
        <w:gridCol w:w="60"/>
        <w:gridCol w:w="60"/>
        <w:gridCol w:w="140"/>
        <w:gridCol w:w="1100"/>
        <w:gridCol w:w="60"/>
        <w:gridCol w:w="60"/>
        <w:gridCol w:w="140"/>
        <w:gridCol w:w="800"/>
        <w:gridCol w:w="60"/>
        <w:gridCol w:w="60"/>
        <w:gridCol w:w="140"/>
        <w:gridCol w:w="1220"/>
        <w:gridCol w:w="75"/>
      </w:tblGrid>
      <w:tr>
        <w:trPr/>
        <w:tc>
          <w:tcPr>
            <w:tcW w:w="12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260"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As of December 31, 2021</w:t>
            </w:r>
          </w:p>
        </w:tc>
        <w:tc>
          <w:tcPr>
            <w:tcW w:w="75" w:type="dxa"/>
            <w:tcBorders/>
            <w:shd w:fill="auto" w:val="clear"/>
            <w:vAlign w:val="center"/>
          </w:tcPr>
          <w:p>
            <w:pPr>
              <w:pStyle w:val="TableContents"/>
              <w:spacing w:before="0" w:after="283"/>
              <w:rPr/>
            </w:pPr>
            <w:r>
              <w:rPr/>
              <w:t> </w:t>
            </w:r>
          </w:p>
        </w:tc>
      </w:tr>
      <w:tr>
        <w:trPr/>
        <w:tc>
          <w:tcPr>
            <w:tcW w:w="1250" w:type="dxa"/>
            <w:tcBorders>
              <w:bottom w:val="single" w:sz="12" w:space="0" w:color="000000"/>
            </w:tcBorders>
            <w:shd w:fill="auto" w:val="clear"/>
            <w:tcMar>
              <w:bottom w:w="28" w:type="dxa"/>
            </w:tcMar>
            <w:vAlign w:val="center"/>
          </w:tcPr>
          <w:p>
            <w:pPr>
              <w:pStyle w:val="TableContents"/>
              <w:spacing w:before="0" w:after="283"/>
              <w:jc w:val="left"/>
              <w:rPr>
                <w:b/>
              </w:rPr>
            </w:pPr>
            <w:r>
              <w:rPr>
                <w:b/>
              </w:rPr>
              <w:t>Risk Rating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2020</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9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2019</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3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Total</w:t>
            </w:r>
          </w:p>
        </w:tc>
        <w:tc>
          <w:tcPr>
            <w:tcW w:w="75" w:type="dxa"/>
            <w:tcBorders/>
            <w:shd w:fill="auto" w:val="clear"/>
            <w:vAlign w:val="center"/>
          </w:tcPr>
          <w:p>
            <w:pPr>
              <w:pStyle w:val="TableContents"/>
              <w:spacing w:before="0" w:after="283"/>
              <w:jc w:val="center"/>
              <w:rPr/>
            </w:pPr>
            <w:r>
              <w:rPr/>
              <w:t> </w:t>
            </w:r>
          </w:p>
        </w:tc>
      </w:tr>
      <w:tr>
        <w:trPr/>
        <w:tc>
          <w:tcPr>
            <w:tcW w:w="1250" w:type="dxa"/>
            <w:tcBorders/>
            <w:shd w:fill="CCEEFF" w:val="clear"/>
            <w:vAlign w:val="center"/>
          </w:tcPr>
          <w:p>
            <w:pPr>
              <w:pStyle w:val="TableContents"/>
              <w:spacing w:before="0" w:after="283"/>
              <w:jc w:val="left"/>
              <w:rPr/>
            </w:pPr>
            <w:r>
              <w:rPr/>
              <w:t>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135,076,307</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32,242,114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800" w:type="dxa"/>
            <w:tcBorders/>
            <w:shd w:fill="CCEEFF" w:val="clear"/>
            <w:vAlign w:val="center"/>
          </w:tcPr>
          <w:p>
            <w:pPr>
              <w:pStyle w:val="TableContents"/>
              <w:spacing w:before="0" w:after="283"/>
              <w:jc w:val="right"/>
              <w:rPr/>
            </w:pPr>
            <w:r>
              <w:rPr/>
              <w:t>590,384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167,908,805</w:t>
            </w:r>
          </w:p>
        </w:tc>
        <w:tc>
          <w:tcPr>
            <w:tcW w:w="75" w:type="dxa"/>
            <w:tcBorders/>
            <w:shd w:fill="CCEEFF" w:val="clear"/>
            <w:vAlign w:val="center"/>
          </w:tcPr>
          <w:p>
            <w:pPr>
              <w:pStyle w:val="TableContents"/>
              <w:spacing w:before="0" w:after="283"/>
              <w:jc w:val="left"/>
              <w:rPr/>
            </w:pPr>
            <w:r>
              <w:rPr/>
              <w:t> </w:t>
            </w:r>
          </w:p>
        </w:tc>
      </w:tr>
      <w:tr>
        <w:trPr/>
        <w:tc>
          <w:tcPr>
            <w:tcW w:w="1250" w:type="dxa"/>
            <w:tcBorders/>
            <w:shd w:fill="auto" w:val="clear"/>
            <w:vAlign w:val="center"/>
          </w:tcPr>
          <w:p>
            <w:pPr>
              <w:pStyle w:val="TableContents"/>
              <w:spacing w:before="0" w:after="283"/>
              <w:jc w:val="left"/>
              <w:rPr/>
            </w:pPr>
            <w:r>
              <w:rPr/>
              <w:t>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29,075,761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29,075,761</w:t>
            </w:r>
          </w:p>
        </w:tc>
        <w:tc>
          <w:tcPr>
            <w:tcW w:w="75" w:type="dxa"/>
            <w:tcBorders/>
            <w:shd w:fill="auto" w:val="clear"/>
            <w:vAlign w:val="center"/>
          </w:tcPr>
          <w:p>
            <w:pPr>
              <w:pStyle w:val="TableContents"/>
              <w:spacing w:before="0" w:after="283"/>
              <w:jc w:val="left"/>
              <w:rPr/>
            </w:pPr>
            <w:r>
              <w:rPr/>
              <w:t> </w:t>
            </w:r>
          </w:p>
        </w:tc>
      </w:tr>
      <w:tr>
        <w:trPr/>
        <w:tc>
          <w:tcPr>
            <w:tcW w:w="1250" w:type="dxa"/>
            <w:tcBorders/>
            <w:shd w:fill="CCEEFF" w:val="clear"/>
            <w:vAlign w:val="center"/>
          </w:tcPr>
          <w:p>
            <w:pPr>
              <w:pStyle w:val="TableContents"/>
              <w:spacing w:before="0" w:after="283"/>
              <w:jc w:val="left"/>
              <w:rPr/>
            </w:pPr>
            <w:r>
              <w:rPr/>
              <w:t>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800" w:type="dxa"/>
            <w:tcBorders/>
            <w:shd w:fill="CCEEFF" w:val="cle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1250" w:type="dxa"/>
            <w:tcBorders/>
            <w:shd w:fill="auto" w:val="clear"/>
            <w:vAlign w:val="center"/>
          </w:tcPr>
          <w:p>
            <w:pPr>
              <w:pStyle w:val="TableContents"/>
              <w:spacing w:before="0" w:after="283"/>
              <w:jc w:val="left"/>
              <w:rPr/>
            </w:pPr>
            <w:r>
              <w:rPr/>
              <w:t>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800" w:type="dxa"/>
            <w:tcBorders/>
            <w:shd w:fill="auto" w:val="clear"/>
            <w:vAlign w:val="center"/>
          </w:tcPr>
          <w:p>
            <w:pPr>
              <w:pStyle w:val="TableContents"/>
              <w:spacing w:before="0" w:after="0"/>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283"/>
              <w:jc w:val="left"/>
              <w:rPr/>
            </w:pPr>
            <w:r>
              <w:rPr/>
              <w:t> </w:t>
            </w:r>
          </w:p>
        </w:tc>
      </w:tr>
      <w:tr>
        <w:trPr/>
        <w:tc>
          <w:tcPr>
            <w:tcW w:w="1250" w:type="dxa"/>
            <w:tcBorders/>
            <w:shd w:fill="CCEEFF" w:val="clear"/>
            <w:vAlign w:val="center"/>
          </w:tcPr>
          <w:p>
            <w:pPr>
              <w:pStyle w:val="TableContents"/>
              <w:spacing w:before="0" w:after="283"/>
              <w:jc w:val="left"/>
              <w:rPr/>
            </w:pPr>
            <w:r>
              <w:rPr/>
              <w:t>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1250" w:type="dxa"/>
            <w:tcBorders/>
            <w:shd w:fill="auto" w:val="clear"/>
            <w:vAlign w:val="center"/>
          </w:tcPr>
          <w:p>
            <w:pPr>
              <w:pStyle w:val="TableContents"/>
              <w:spacing w:before="0" w:after="283"/>
              <w:jc w:val="left"/>
              <w:rPr>
                <w:sz w:val="20"/>
              </w:rPr>
            </w:pPr>
            <w:r>
              <w:rPr>
                <w:sz w:val="20"/>
              </w:rPr>
              <w:t>Total</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164,152,068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32,242,114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800" w:type="dxa"/>
            <w:tcBorders>
              <w:bottom w:val="double" w:sz="10" w:space="0" w:color="000000"/>
            </w:tcBorders>
            <w:shd w:fill="auto" w:val="clear"/>
            <w:tcMar>
              <w:bottom w:w="28" w:type="dxa"/>
            </w:tcMar>
            <w:vAlign w:val="center"/>
          </w:tcPr>
          <w:p>
            <w:pPr>
              <w:pStyle w:val="TableContents"/>
              <w:spacing w:before="0" w:after="283"/>
              <w:jc w:val="right"/>
              <w:rPr/>
            </w:pPr>
            <w:r>
              <w:rPr/>
              <w:t>590,384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196,984,566</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collateral coverage is also a significant credit quality indicator, and real estate collateral coverage, excluding the CECL reserve, was as follows as of March 31, 2022 and December 31, 2021:</w:t>
      </w:r>
    </w:p>
    <w:p>
      <w:pPr>
        <w:pStyle w:val="TextBody"/>
        <w:spacing w:before="0" w:after="0"/>
        <w:ind w:left="0" w:right="0" w:hanging="0"/>
        <w:rPr>
          <w:caps w:val="false"/>
          <w:smallCaps w:val="false"/>
        </w:rPr>
      </w:pPr>
      <w:r>
        <w:rPr>
          <w:caps w:val="false"/>
          <w:smallCaps w:val="false"/>
        </w:rPr>
        <w:t> </w:t>
      </w:r>
    </w:p>
    <w:tbl>
      <w:tblPr>
        <w:tblW w:w="9700" w:type="dxa"/>
        <w:jc w:val="left"/>
        <w:tblInd w:w="0" w:type="dxa"/>
        <w:tblCellMar>
          <w:top w:w="0" w:type="dxa"/>
          <w:left w:w="0" w:type="dxa"/>
          <w:bottom w:w="0" w:type="dxa"/>
          <w:right w:w="0" w:type="dxa"/>
        </w:tblCellMar>
      </w:tblPr>
      <w:tblGrid>
        <w:gridCol w:w="1085"/>
        <w:gridCol w:w="60"/>
        <w:gridCol w:w="125"/>
        <w:gridCol w:w="950"/>
        <w:gridCol w:w="60"/>
        <w:gridCol w:w="60"/>
        <w:gridCol w:w="125"/>
        <w:gridCol w:w="950"/>
        <w:gridCol w:w="60"/>
        <w:gridCol w:w="60"/>
        <w:gridCol w:w="125"/>
        <w:gridCol w:w="950"/>
        <w:gridCol w:w="60"/>
        <w:gridCol w:w="60"/>
        <w:gridCol w:w="127"/>
        <w:gridCol w:w="973"/>
        <w:gridCol w:w="60"/>
        <w:gridCol w:w="60"/>
        <w:gridCol w:w="125"/>
        <w:gridCol w:w="950"/>
        <w:gridCol w:w="60"/>
        <w:gridCol w:w="60"/>
        <w:gridCol w:w="125"/>
        <w:gridCol w:w="1055"/>
        <w:gridCol w:w="60"/>
        <w:gridCol w:w="60"/>
        <w:gridCol w:w="125"/>
        <w:gridCol w:w="1055"/>
        <w:gridCol w:w="75"/>
      </w:tblGrid>
      <w:tr>
        <w:trPr/>
        <w:tc>
          <w:tcPr>
            <w:tcW w:w="9700" w:type="dxa"/>
            <w:gridSpan w:val="29"/>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2022</w:t>
            </w:r>
          </w:p>
        </w:tc>
      </w:tr>
      <w:tr>
        <w:trPr/>
        <w:tc>
          <w:tcPr>
            <w:tcW w:w="9700" w:type="dxa"/>
            <w:gridSpan w:val="29"/>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Collateral Coverage</w:t>
            </w:r>
          </w:p>
        </w:tc>
      </w:tr>
      <w:tr>
        <w:trPr/>
        <w:tc>
          <w:tcPr>
            <w:tcW w:w="108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&lt; 1.0x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1.0x - 1.25x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1.25x - 1.5x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1.50x - 1.75x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1.75x - 2.0x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&gt; 2.0x</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8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Fixed-rate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17,443,048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79,531,559</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101,974,607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0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Floating-rate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15,649,053</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15,263,207</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48,307,574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7"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73"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39,658,934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24,297,124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33,676,415</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176,852,307</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20,649,053</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15,263,207</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65,750,622</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39,658,934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24,297,124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113,207,974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278,826,914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tbl>
      <w:tblPr>
        <w:tblW w:w="9595" w:type="dxa"/>
        <w:jc w:val="left"/>
        <w:tblInd w:w="0" w:type="dxa"/>
        <w:tblCellMar>
          <w:top w:w="0" w:type="dxa"/>
          <w:left w:w="0" w:type="dxa"/>
          <w:bottom w:w="28" w:type="dxa"/>
          <w:right w:w="0" w:type="dxa"/>
        </w:tblCellMar>
      </w:tblPr>
      <w:tblGrid>
        <w:gridCol w:w="1085"/>
        <w:gridCol w:w="60"/>
        <w:gridCol w:w="125"/>
        <w:gridCol w:w="950"/>
        <w:gridCol w:w="60"/>
        <w:gridCol w:w="60"/>
        <w:gridCol w:w="125"/>
        <w:gridCol w:w="950"/>
        <w:gridCol w:w="60"/>
        <w:gridCol w:w="60"/>
        <w:gridCol w:w="125"/>
        <w:gridCol w:w="950"/>
        <w:gridCol w:w="60"/>
        <w:gridCol w:w="60"/>
        <w:gridCol w:w="127"/>
        <w:gridCol w:w="973"/>
        <w:gridCol w:w="60"/>
        <w:gridCol w:w="60"/>
        <w:gridCol w:w="125"/>
        <w:gridCol w:w="950"/>
        <w:gridCol w:w="60"/>
        <w:gridCol w:w="60"/>
        <w:gridCol w:w="125"/>
        <w:gridCol w:w="950"/>
        <w:gridCol w:w="60"/>
        <w:gridCol w:w="60"/>
        <w:gridCol w:w="125"/>
        <w:gridCol w:w="1055"/>
        <w:gridCol w:w="75"/>
      </w:tblGrid>
      <w:tr>
        <w:trPr/>
        <w:tc>
          <w:tcPr>
            <w:tcW w:w="9595" w:type="dxa"/>
            <w:gridSpan w:val="29"/>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2021</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Collateral Coverage</w:t>
            </w:r>
          </w:p>
        </w:tc>
      </w:tr>
      <w:tr>
        <w:trPr/>
        <w:tc>
          <w:tcPr>
            <w:tcW w:w="108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&lt; 1.0x</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1.0x - 1.25x</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1.25x - 1.5x</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0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1.50x - 1.75x</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1.75x - 2.0x</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&gt; 2.0x</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8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085"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Fixed-rate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7,017,793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35,836,099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3,086,298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45,373,778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91,313,968</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8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Floating-rate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8,925,068</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18,022,518</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7"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73"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30,029,953</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32,377,087</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16,315,972</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auto" w:val="cle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105,670,598</w:t>
            </w:r>
          </w:p>
        </w:tc>
        <w:tc>
          <w:tcPr>
            <w:tcW w:w="75"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85"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15,942,861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18,022,518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35,836,099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33,116,251</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32,377,087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61,689,750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shd w:fill="CCEEFF" w:val="clear"/>
            <w:tcMar>
              <w:bottom w:w="0"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196,984,566</w:t>
            </w:r>
          </w:p>
        </w:tc>
        <w:tc>
          <w:tcPr>
            <w:tcW w:w="7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spacing w:before="0" w:after="0"/>
        <w:ind w:left="0" w:right="0" w:hanging="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CECL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allowances for its loans held for investment. The allowances are deducted from the gross carrying amount of the assets to present the net carrying value of the amounts expected to be collected on such assets. The Company estimates its CECL Reserve using a probability-weighted model that considers the likelihood of default and expected loss given default for each individual loan based on the risk profile for approximately three years after which we immediately revert to use of historical loss data. In the future, we may use other acceptable methods, such as a discounted cash flow method, WARM method, or other methods permitted under the standard.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326 requires an entity to consider historical loss experience, current conditions, and a reasonable and supportable forecast of the macroeconomic environment. The Company evaluates its loans on a collective (pool) basis by aggregating on the basis of similar risk characteristics, primarily: (i) industry sector of the borrower, (ii) risk ratings, (iii) collateral type, (iv) term, among other characteristics. We make the judgment that loans to cannabis-related borrowers with risk ratings indicating very low or low risk (1 and 2, respectively) that are fully collateralized by real estate with short maturities of less than three years exhibit similar risk characteristics and are evaluated as a pool. Further, loans that are not fully collateralized by real estate, but by other forms of collateral, including equity pledges of the borrower, and otherwise have similar characteristics as those collateralized by real estate are evaluated as a pool. All other loans are analyzed individually, either because they operate in a different industry, have higher risk, or maturities that extend beyond the forecast horizon for which we are able to derive reasonable and supportable forecasts.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has had operations for the past two fiscal years and has made investments in similar loans, that have similar characteristics including; interest rate, collateral coverage, guarantees, and prepayment/make whole provisions, which fall into the pools identified above. The Sponsor has experienced prepayment on seven loans since its inception history, and in no such case was an event of loss experienced. Given the similarity of the structuring of the credit agreements for the loans in the Company’s portfolio, management considered it appropriate to consider the past repayment history of loans originated by the Sponsor in determining the extent to which a CECL reserve shall be recorded.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we forecast losses considering a variety of factors. In considering the potential current expected credit loss, the Manager primarily considered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loan-term, geographic location, and expected timing and amount of future loan fundings, (ii) performance against the underwritten business plan and the Company’s internal loan risk rating and (iii) a macro-economic forecast. Regarding real estate collateral, the Company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CapitalIQ as of March 31, 2022, to which we apply a private company discount based on our current borrower profile. These estimates may change in future periods based on available future macro-economic data and might result in a material change in the Company’s future estimates of expected credit losses for its loan portfolio.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estimate the future expected loan losses relevant to the Company’s portfolio, the Company utilizes historical market loan loss data obtained from Federal Reserve economic data for bank business loans, which the Company believes is a reasonably comparable and available data set to its type of loans. We expect the period from 2018-2021 to be representative for future credit losses during the years of 2022-2024, as the cannabis industry is maturing, consumer adoption is increasing, and demand for production and retail capacity is increasing. For periods beyond the reasonable and supportable forecast period, the Company reverts back to historical loss data. The measurement of expected credit losses under CECL is applicable to financial assets measured at amortized cost, and off-balance sheet credit exposures such as unfunded loan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sponsor performance, these estimates will be revised each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the CECL Reserve for outstanding balances and unfunded commitments on the Company’s loans held at carrying value and loans receivable at carrying value as of and for the three months ended March 31, 2022 was as follows:</w:t>
      </w:r>
    </w:p>
    <w:p>
      <w:pPr>
        <w:pStyle w:val="TextBody"/>
        <w:spacing w:before="0" w:after="0"/>
        <w:ind w:left="0" w:right="0" w:hanging="0"/>
        <w:jc w:val="center"/>
        <w:rPr>
          <w:caps w:val="false"/>
          <w:smallCaps w:val="false"/>
        </w:rPr>
      </w:pPr>
      <w:r>
        <w:rPr>
          <w:caps w:val="false"/>
          <w:smallCaps w:val="false"/>
        </w:rPr>
        <w:t> </w:t>
      </w:r>
    </w:p>
    <w:tbl>
      <w:tblPr>
        <w:tblW w:w="7013" w:type="dxa"/>
        <w:jc w:val="left"/>
        <w:tblInd w:w="0" w:type="dxa"/>
        <w:tblCellMar>
          <w:top w:w="0" w:type="dxa"/>
          <w:left w:w="0" w:type="dxa"/>
          <w:bottom w:w="0" w:type="dxa"/>
          <w:right w:w="0" w:type="dxa"/>
        </w:tblCellMar>
      </w:tblPr>
      <w:tblGrid>
        <w:gridCol w:w="3515"/>
        <w:gridCol w:w="60"/>
        <w:gridCol w:w="134"/>
        <w:gridCol w:w="1130"/>
        <w:gridCol w:w="60"/>
        <w:gridCol w:w="60"/>
        <w:gridCol w:w="181"/>
        <w:gridCol w:w="858"/>
        <w:gridCol w:w="60"/>
        <w:gridCol w:w="60"/>
        <w:gridCol w:w="125"/>
        <w:gridCol w:w="695"/>
        <w:gridCol w:w="75"/>
      </w:tblGrid>
      <w:tr>
        <w:trPr/>
        <w:tc>
          <w:tcPr>
            <w:tcW w:w="351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Outstanding</w:t>
            </w:r>
            <w:r>
              <w:rPr>
                <w:b/>
                <w:position w:val="7"/>
                <w:sz w:val="16"/>
                <w:sz w:val="20"/>
              </w:rPr>
              <w:t>(1)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9" w:type="dxa"/>
            <w:gridSpan w:val="2"/>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Unfunded</w:t>
            </w:r>
            <w:r>
              <w:rPr>
                <w:b/>
                <w:position w:val="7"/>
                <w:sz w:val="16"/>
                <w:sz w:val="20"/>
              </w:rP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Total</w:t>
            </w:r>
          </w:p>
        </w:tc>
        <w:tc>
          <w:tcPr>
            <w:tcW w:w="75" w:type="dxa"/>
            <w:tcBorders/>
            <w:shd w:fill="auto" w:val="clear"/>
            <w:vAlign w:val="center"/>
          </w:tcPr>
          <w:p>
            <w:pPr>
              <w:pStyle w:val="TableContents"/>
              <w:spacing w:before="0" w:after="283"/>
              <w:rPr/>
            </w:pPr>
            <w:r>
              <w:rPr/>
              <w:t> </w:t>
            </w:r>
          </w:p>
        </w:tc>
      </w:tr>
      <w:tr>
        <w:trPr/>
        <w:tc>
          <w:tcPr>
            <w:tcW w:w="3515" w:type="dxa"/>
            <w:tcBorders/>
            <w:shd w:fill="CCEEFF" w:val="clear"/>
            <w:vAlign w:val="center"/>
          </w:tcPr>
          <w:p>
            <w:pPr>
              <w:pStyle w:val="TableContents"/>
              <w:spacing w:before="0" w:after="283"/>
              <w:rPr>
                <w:b/>
                <w:sz w:val="20"/>
              </w:rPr>
            </w:pPr>
            <w:r>
              <w:rPr>
                <w:b/>
                <w:sz w:val="20"/>
              </w:rPr>
              <w:t>Balance at December 31, 2021</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b/>
                <w:sz w:val="20"/>
              </w:rPr>
            </w:pPr>
            <w:r>
              <w:rPr>
                <w:b/>
                <w:sz w:val="20"/>
              </w:rPr>
              <w:t>$</w:t>
            </w:r>
          </w:p>
        </w:tc>
        <w:tc>
          <w:tcPr>
            <w:tcW w:w="1130" w:type="dxa"/>
            <w:tcBorders/>
            <w:shd w:fill="CCEEFF" w:val="clear"/>
            <w:vAlign w:val="center"/>
          </w:tcPr>
          <w:p>
            <w:pPr>
              <w:pStyle w:val="TableContents"/>
              <w:spacing w:before="0" w:after="283"/>
              <w:jc w:val="right"/>
              <w:rPr/>
            </w:pPr>
            <w:r>
              <w:rPr/>
              <w:t>      </w:t>
            </w:r>
            <w:r>
              <w:rPr>
                <w:b/>
                <w:sz w:val="20"/>
              </w:rPr>
              <w:t>134,542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1" w:type="dxa"/>
            <w:tcBorders/>
            <w:shd w:fill="CCEEFF" w:val="clear"/>
            <w:vAlign w:val="center"/>
          </w:tcPr>
          <w:p>
            <w:pPr>
              <w:pStyle w:val="TableContents"/>
              <w:spacing w:before="0" w:after="283"/>
              <w:rPr>
                <w:b/>
                <w:sz w:val="20"/>
              </w:rPr>
            </w:pPr>
            <w:r>
              <w:rPr>
                <w:b/>
                <w:sz w:val="20"/>
              </w:rPr>
              <w:t>$</w:t>
            </w:r>
          </w:p>
        </w:tc>
        <w:tc>
          <w:tcPr>
            <w:tcW w:w="858" w:type="dxa"/>
            <w:tcBorders/>
            <w:shd w:fill="CCEEFF" w:val="clear"/>
            <w:vAlign w:val="center"/>
          </w:tcPr>
          <w:p>
            <w:pPr>
              <w:pStyle w:val="TableContents"/>
              <w:spacing w:before="0" w:after="283"/>
              <w:jc w:val="right"/>
              <w:rPr>
                <w:b/>
                <w:sz w:val="20"/>
              </w:rPr>
            </w:pPr>
            <w:r>
              <w:rPr>
                <w:b/>
                <w:sz w:val="20"/>
              </w:rPr>
              <w:t>13,407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b/>
                <w:sz w:val="20"/>
              </w:rPr>
            </w:pPr>
            <w:r>
              <w:rPr>
                <w:b/>
                <w:sz w:val="20"/>
              </w:rPr>
              <w:t>$</w:t>
            </w:r>
          </w:p>
        </w:tc>
        <w:tc>
          <w:tcPr>
            <w:tcW w:w="695" w:type="dxa"/>
            <w:tcBorders/>
            <w:shd w:fill="CCEEFF" w:val="clear"/>
            <w:vAlign w:val="center"/>
          </w:tcPr>
          <w:p>
            <w:pPr>
              <w:pStyle w:val="TableContents"/>
              <w:spacing w:before="0" w:after="283"/>
              <w:jc w:val="right"/>
              <w:rPr>
                <w:b/>
                <w:sz w:val="20"/>
              </w:rPr>
            </w:pPr>
            <w:r>
              <w:rPr>
                <w:b/>
                <w:sz w:val="20"/>
              </w:rPr>
              <w:t>147,949</w:t>
            </w:r>
          </w:p>
        </w:tc>
        <w:tc>
          <w:tcPr>
            <w:tcW w:w="75" w:type="dxa"/>
            <w:tcBorders/>
            <w:shd w:fill="CCEEFF" w:val="clear"/>
            <w:vAlign w:val="center"/>
          </w:tcPr>
          <w:p>
            <w:pPr>
              <w:pStyle w:val="TableContents"/>
              <w:spacing w:before="0" w:after="283"/>
              <w:rPr/>
            </w:pPr>
            <w:r>
              <w:rPr/>
              <w:t> </w:t>
            </w:r>
          </w:p>
        </w:tc>
      </w:tr>
      <w:tr>
        <w:trPr/>
        <w:tc>
          <w:tcPr>
            <w:tcW w:w="3515" w:type="dxa"/>
            <w:tcBorders/>
            <w:shd w:fill="auto" w:val="clear"/>
            <w:vAlign w:val="center"/>
          </w:tcPr>
          <w:p>
            <w:pPr>
              <w:pStyle w:val="TableContents"/>
              <w:spacing w:before="0" w:after="283"/>
              <w:rPr>
                <w:sz w:val="20"/>
              </w:rPr>
            </w:pPr>
            <w:r>
              <w:rPr>
                <w:sz w:val="20"/>
              </w:rPr>
              <w:t>Provision for current expected credit losses</w:t>
            </w:r>
          </w:p>
        </w:tc>
        <w:tc>
          <w:tcPr>
            <w:tcW w:w="60" w:type="dxa"/>
            <w:tcBorders/>
            <w:shd w:fill="auto" w:val="clear"/>
            <w:vAlign w:val="center"/>
          </w:tcPr>
          <w:p>
            <w:pPr>
              <w:pStyle w:val="TableContents"/>
              <w:spacing w:before="0" w:after="283"/>
              <w:rPr/>
            </w:pPr>
            <w:r>
              <w:rPr/>
              <w:t> </w:t>
            </w:r>
          </w:p>
        </w:tc>
        <w:tc>
          <w:tcPr>
            <w:tcW w:w="134" w:type="dxa"/>
            <w:tcBorders>
              <w:bottom w:val="single" w:sz="12" w:space="0" w:color="000000"/>
            </w:tcBorders>
            <w:shd w:fill="auto" w:val="clear"/>
            <w:tcMar>
              <w:bottom w:w="28" w:type="dxa"/>
            </w:tcMar>
            <w:vAlign w:val="center"/>
          </w:tcPr>
          <w:p>
            <w:pPr>
              <w:pStyle w:val="TableContents"/>
              <w:spacing w:before="0" w:after="283"/>
              <w:rPr/>
            </w:pPr>
            <w:r>
              <w:rPr/>
              <w:t> </w:t>
            </w:r>
          </w:p>
        </w:tc>
        <w:tc>
          <w:tcPr>
            <w:tcW w:w="1130" w:type="dxa"/>
            <w:tcBorders>
              <w:bottom w:val="single" w:sz="12" w:space="0" w:color="000000"/>
            </w:tcBorders>
            <w:shd w:fill="auto" w:val="clear"/>
            <w:tcMar>
              <w:bottom w:w="28" w:type="dxa"/>
            </w:tcMar>
            <w:vAlign w:val="center"/>
          </w:tcPr>
          <w:p>
            <w:pPr>
              <w:pStyle w:val="TableContents"/>
              <w:spacing w:before="0" w:after="283"/>
              <w:jc w:val="right"/>
              <w:rPr>
                <w:sz w:val="20"/>
              </w:rPr>
            </w:pPr>
            <w:r>
              <w:rPr>
                <w:sz w:val="20"/>
              </w:rPr>
              <w:t>48,296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1" w:type="dxa"/>
            <w:tcBorders>
              <w:bottom w:val="single" w:sz="12" w:space="0" w:color="000000"/>
            </w:tcBorders>
            <w:shd w:fill="auto" w:val="clear"/>
            <w:tcMar>
              <w:bottom w:w="28" w:type="dxa"/>
            </w:tcMar>
            <w:vAlign w:val="center"/>
          </w:tcPr>
          <w:p>
            <w:pPr>
              <w:pStyle w:val="TableContents"/>
              <w:spacing w:before="0" w:after="283"/>
              <w:rPr/>
            </w:pPr>
            <w:r>
              <w:rPr/>
              <w:t> </w:t>
            </w:r>
          </w:p>
        </w:tc>
        <w:tc>
          <w:tcPr>
            <w:tcW w:w="858" w:type="dxa"/>
            <w:tcBorders>
              <w:bottom w:val="single" w:sz="12" w:space="0" w:color="000000"/>
            </w:tcBorders>
            <w:shd w:fill="auto" w:val="clear"/>
            <w:tcMar>
              <w:bottom w:w="28" w:type="dxa"/>
            </w:tcMar>
            <w:vAlign w:val="center"/>
          </w:tcPr>
          <w:p>
            <w:pPr>
              <w:pStyle w:val="TableContents"/>
              <w:spacing w:before="0" w:after="283"/>
              <w:jc w:val="right"/>
              <w:rPr>
                <w:sz w:val="20"/>
              </w:rPr>
            </w:pPr>
            <w:r>
              <w:rPr>
                <w:sz w:val="20"/>
              </w:rPr>
              <w:t>3,047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rPr/>
            </w:pPr>
            <w:r>
              <w:rPr/>
              <w:t> </w:t>
            </w:r>
          </w:p>
        </w:tc>
        <w:tc>
          <w:tcPr>
            <w:tcW w:w="695" w:type="dxa"/>
            <w:tcBorders>
              <w:bottom w:val="single" w:sz="12" w:space="0" w:color="000000"/>
            </w:tcBorders>
            <w:shd w:fill="auto" w:val="clear"/>
            <w:tcMar>
              <w:bottom w:w="28" w:type="dxa"/>
            </w:tcMar>
            <w:vAlign w:val="center"/>
          </w:tcPr>
          <w:p>
            <w:pPr>
              <w:pStyle w:val="TableContents"/>
              <w:spacing w:before="0" w:after="283"/>
              <w:jc w:val="right"/>
              <w:rPr>
                <w:sz w:val="20"/>
              </w:rPr>
            </w:pPr>
            <w:r>
              <w:rPr>
                <w:sz w:val="20"/>
              </w:rPr>
              <w:t>51,343</w:t>
            </w:r>
          </w:p>
        </w:tc>
        <w:tc>
          <w:tcPr>
            <w:tcW w:w="75" w:type="dxa"/>
            <w:tcBorders/>
            <w:shd w:fill="auto" w:val="clear"/>
            <w:vAlign w:val="center"/>
          </w:tcPr>
          <w:p>
            <w:pPr>
              <w:pStyle w:val="TableContents"/>
              <w:spacing w:before="0" w:after="283"/>
              <w:rPr/>
            </w:pPr>
            <w:r>
              <w:rPr/>
              <w:t> </w:t>
            </w:r>
          </w:p>
        </w:tc>
      </w:tr>
      <w:tr>
        <w:trPr/>
        <w:tc>
          <w:tcPr>
            <w:tcW w:w="3515" w:type="dxa"/>
            <w:tcBorders/>
            <w:shd w:fill="CCEEFF" w:val="clear"/>
            <w:vAlign w:val="center"/>
          </w:tcPr>
          <w:p>
            <w:pPr>
              <w:pStyle w:val="TableContents"/>
              <w:spacing w:before="0" w:after="283"/>
              <w:rPr>
                <w:b/>
                <w:sz w:val="20"/>
              </w:rPr>
            </w:pPr>
            <w:r>
              <w:rPr>
                <w:b/>
                <w:sz w:val="20"/>
              </w:rPr>
              <w:t>Balance at March 31, 2022</w:t>
            </w:r>
          </w:p>
        </w:tc>
        <w:tc>
          <w:tcPr>
            <w:tcW w:w="60" w:type="dxa"/>
            <w:tcBorders/>
            <w:shd w:fill="CCEEFF" w:val="clear"/>
            <w:vAlign w:val="center"/>
          </w:tcPr>
          <w:p>
            <w:pPr>
              <w:pStyle w:val="TableContents"/>
              <w:spacing w:before="0" w:after="283"/>
              <w:rPr/>
            </w:pPr>
            <w:r>
              <w:rPr/>
              <w:t> </w:t>
            </w:r>
          </w:p>
        </w:tc>
        <w:tc>
          <w:tcPr>
            <w:tcW w:w="134" w:type="dxa"/>
            <w:tcBorders>
              <w:bottom w:val="double" w:sz="12" w:space="0" w:color="000000"/>
            </w:tcBorders>
            <w:shd w:fill="CCEEFF" w:val="clear"/>
            <w:tcMar>
              <w:bottom w:w="28" w:type="dxa"/>
            </w:tcMar>
            <w:vAlign w:val="center"/>
          </w:tcPr>
          <w:p>
            <w:pPr>
              <w:pStyle w:val="TableContents"/>
              <w:spacing w:before="0" w:after="283"/>
              <w:rPr>
                <w:b/>
                <w:sz w:val="20"/>
              </w:rPr>
            </w:pPr>
            <w:r>
              <w:rPr>
                <w:b/>
                <w:sz w:val="20"/>
              </w:rPr>
              <w:t>$</w:t>
            </w:r>
          </w:p>
        </w:tc>
        <w:tc>
          <w:tcPr>
            <w:tcW w:w="1130" w:type="dxa"/>
            <w:tcBorders>
              <w:bottom w:val="double" w:sz="12" w:space="0" w:color="000000"/>
            </w:tcBorders>
            <w:shd w:fill="CCEEFF" w:val="clear"/>
            <w:tcMar>
              <w:bottom w:w="28" w:type="dxa"/>
            </w:tcMar>
            <w:vAlign w:val="center"/>
          </w:tcPr>
          <w:p>
            <w:pPr>
              <w:pStyle w:val="TableContents"/>
              <w:spacing w:before="0" w:after="283"/>
              <w:jc w:val="right"/>
              <w:rPr>
                <w:b/>
                <w:sz w:val="20"/>
              </w:rPr>
            </w:pPr>
            <w:r>
              <w:rPr>
                <w:b/>
                <w:sz w:val="20"/>
              </w:rPr>
              <w:t>182,838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1" w:type="dxa"/>
            <w:tcBorders>
              <w:bottom w:val="double" w:sz="12" w:space="0" w:color="000000"/>
            </w:tcBorders>
            <w:shd w:fill="CCEEFF" w:val="clear"/>
            <w:tcMar>
              <w:bottom w:w="28" w:type="dxa"/>
            </w:tcMar>
            <w:vAlign w:val="center"/>
          </w:tcPr>
          <w:p>
            <w:pPr>
              <w:pStyle w:val="TableContents"/>
              <w:spacing w:before="0" w:after="283"/>
              <w:rPr>
                <w:b/>
                <w:sz w:val="20"/>
              </w:rPr>
            </w:pPr>
            <w:r>
              <w:rPr>
                <w:b/>
                <w:sz w:val="20"/>
              </w:rPr>
              <w:t>$</w:t>
            </w:r>
          </w:p>
        </w:tc>
        <w:tc>
          <w:tcPr>
            <w:tcW w:w="858" w:type="dxa"/>
            <w:tcBorders>
              <w:bottom w:val="double" w:sz="12" w:space="0" w:color="000000"/>
            </w:tcBorders>
            <w:shd w:fill="CCEEFF" w:val="clear"/>
            <w:tcMar>
              <w:bottom w:w="28" w:type="dxa"/>
            </w:tcMar>
            <w:vAlign w:val="center"/>
          </w:tcPr>
          <w:p>
            <w:pPr>
              <w:pStyle w:val="TableContents"/>
              <w:spacing w:before="0" w:after="283"/>
              <w:jc w:val="right"/>
              <w:rPr>
                <w:b/>
                <w:sz w:val="20"/>
              </w:rPr>
            </w:pPr>
            <w:r>
              <w:rPr>
                <w:b/>
                <w:sz w:val="20"/>
              </w:rPr>
              <w:t>16,454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double" w:sz="12" w:space="0" w:color="000000"/>
            </w:tcBorders>
            <w:shd w:fill="CCEEFF" w:val="clear"/>
            <w:tcMar>
              <w:bottom w:w="28" w:type="dxa"/>
            </w:tcMar>
            <w:vAlign w:val="center"/>
          </w:tcPr>
          <w:p>
            <w:pPr>
              <w:pStyle w:val="TableContents"/>
              <w:spacing w:before="0" w:after="283"/>
              <w:rPr>
                <w:b/>
                <w:sz w:val="20"/>
              </w:rPr>
            </w:pPr>
            <w:r>
              <w:rPr>
                <w:b/>
                <w:sz w:val="20"/>
              </w:rPr>
              <w:t>$</w:t>
            </w:r>
          </w:p>
        </w:tc>
        <w:tc>
          <w:tcPr>
            <w:tcW w:w="695" w:type="dxa"/>
            <w:tcBorders>
              <w:bottom w:val="double" w:sz="12" w:space="0" w:color="000000"/>
            </w:tcBorders>
            <w:shd w:fill="CCEEFF" w:val="clear"/>
            <w:tcMar>
              <w:bottom w:w="28" w:type="dxa"/>
            </w:tcMar>
            <w:vAlign w:val="center"/>
          </w:tcPr>
          <w:p>
            <w:pPr>
              <w:pStyle w:val="TableContents"/>
              <w:spacing w:before="0" w:after="283"/>
              <w:jc w:val="right"/>
              <w:rPr>
                <w:b/>
                <w:sz w:val="20"/>
              </w:rPr>
            </w:pPr>
            <w:r>
              <w:rPr>
                <w:b/>
                <w:sz w:val="20"/>
              </w:rPr>
              <w:t>199,292</w:t>
            </w:r>
          </w:p>
        </w:tc>
        <w:tc>
          <w:tcPr>
            <w:tcW w:w="75" w:type="dxa"/>
            <w:tcBorders/>
            <w:shd w:fill="CCEEFF" w:val="clear"/>
            <w:vAlign w:val="center"/>
          </w:tcPr>
          <w:p>
            <w:pPr>
              <w:pStyle w:val="TableContents"/>
              <w:spacing w:before="0" w:after="283"/>
              <w:rPr/>
            </w:pPr>
            <w:r>
              <w:rPr/>
              <w:t> </w:t>
            </w:r>
          </w:p>
        </w:tc>
      </w:tr>
    </w:tbl>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19"/>
        <w:gridCol w:w="9948"/>
      </w:tblGrid>
      <w:tr>
        <w:trPr/>
        <w:tc>
          <w:tcPr>
            <w:tcW w:w="3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 CECL Reserve related to outstanding balances on loans at carrying value is recorded within current expected credit loss reserve in the Company’s consolidated balance sheets.</w:t>
            </w:r>
          </w:p>
        </w:tc>
      </w:tr>
    </w:tbl>
    <w:tbl>
      <w:tblPr>
        <w:tblW w:w="10205" w:type="dxa"/>
        <w:jc w:val="left"/>
        <w:tblInd w:w="0" w:type="dxa"/>
        <w:tblCellMar>
          <w:top w:w="0" w:type="dxa"/>
          <w:left w:w="0" w:type="dxa"/>
          <w:bottom w:w="0" w:type="dxa"/>
          <w:right w:w="0" w:type="dxa"/>
        </w:tblCellMar>
      </w:tblPr>
      <w:tblGrid>
        <w:gridCol w:w="38"/>
        <w:gridCol w:w="218"/>
        <w:gridCol w:w="9949"/>
      </w:tblGrid>
      <w:tr>
        <w:trPr/>
        <w:tc>
          <w:tcPr>
            <w:tcW w:w="3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 CECL Reserve related to unfunded commitments on loans at carrying value is recorded within accounts payable and accrued liabilities in the Company’s consolidated balance sheets.</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made an accounting policy election to exclude accrued interest receivable, ($373,695 as of March 31, 2022) included in Interest Receivable on its consolidated balance sheet,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accruing interest on loans if deemed to be uncollectible, with any previously accrued uncollected interest on the loan charged to interest income in the same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there were no loans with principal or interest greater than 30 days past due.</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INTEREST RECEIVABLE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interest receivable by the Company as of March 31, 2022 and December 31, 2021:</w:t>
      </w:r>
    </w:p>
    <w:p>
      <w:pPr>
        <w:pStyle w:val="TextBody"/>
        <w:spacing w:before="0" w:after="0"/>
        <w:ind w:left="0" w:right="0" w:hanging="0"/>
        <w:rPr>
          <w:caps w:val="false"/>
          <w:smallCaps w:val="false"/>
        </w:rPr>
      </w:pPr>
      <w:r>
        <w:rPr>
          <w:caps w:val="false"/>
          <w:smallCaps w:val="false"/>
        </w:rPr>
        <w:t> </w:t>
      </w:r>
    </w:p>
    <w:tbl>
      <w:tblPr>
        <w:tblW w:w="5233" w:type="dxa"/>
        <w:jc w:val="left"/>
        <w:tblInd w:w="0" w:type="dxa"/>
        <w:tblCellMar>
          <w:top w:w="0" w:type="dxa"/>
          <w:left w:w="0" w:type="dxa"/>
          <w:bottom w:w="0" w:type="dxa"/>
          <w:right w:w="0" w:type="dxa"/>
        </w:tblCellMar>
      </w:tblPr>
      <w:tblGrid>
        <w:gridCol w:w="2105"/>
        <w:gridCol w:w="60"/>
        <w:gridCol w:w="192"/>
        <w:gridCol w:w="1070"/>
        <w:gridCol w:w="92"/>
        <w:gridCol w:w="60"/>
        <w:gridCol w:w="230"/>
        <w:gridCol w:w="1285"/>
        <w:gridCol w:w="139"/>
      </w:tblGrid>
      <w:tr>
        <w:trPr/>
        <w:tc>
          <w:tcPr>
            <w:tcW w:w="21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54"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w:t>
              <w:b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54"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w:t>
              <w:br/>
              <w:t>2021</w:t>
            </w:r>
          </w:p>
        </w:tc>
      </w:tr>
      <w:tr>
        <w:trPr/>
        <w:tc>
          <w:tcPr>
            <w:tcW w:w="21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receivable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370,244</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193,790</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1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Unused fees receivable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92"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070"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3,451</w:t>
            </w:r>
          </w:p>
        </w:tc>
        <w:tc>
          <w:tcPr>
            <w:tcW w:w="92"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30"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28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3,945</w:t>
            </w:r>
          </w:p>
        </w:tc>
        <w:tc>
          <w:tcPr>
            <w:tcW w:w="139"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1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interest receivable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2"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0"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373,695</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30"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8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197,735</w:t>
            </w:r>
          </w:p>
        </w:tc>
        <w:tc>
          <w:tcPr>
            <w:tcW w:w="139"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INTEREST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March 31, 2022, the Company had nine loans that included a loan funded interest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interest reserves for the three months ended March 31, 2022. There were no interest reserves as of March 31, 2021:</w:t>
      </w:r>
    </w:p>
    <w:p>
      <w:pPr>
        <w:pStyle w:val="TextBody"/>
        <w:spacing w:before="0" w:after="0"/>
        <w:ind w:left="0" w:right="0" w:hanging="0"/>
        <w:rPr>
          <w:caps w:val="false"/>
          <w:smallCaps w:val="false"/>
        </w:rPr>
      </w:pPr>
      <w:r>
        <w:rPr>
          <w:caps w:val="false"/>
          <w:smallCaps w:val="false"/>
        </w:rPr>
        <w:t> </w:t>
      </w:r>
    </w:p>
    <w:tbl>
      <w:tblPr>
        <w:tblW w:w="3605" w:type="dxa"/>
        <w:jc w:val="left"/>
        <w:tblInd w:w="0" w:type="dxa"/>
        <w:tblCellMar>
          <w:top w:w="0" w:type="dxa"/>
          <w:left w:w="0" w:type="dxa"/>
          <w:bottom w:w="0" w:type="dxa"/>
          <w:right w:w="0" w:type="dxa"/>
        </w:tblCellMar>
      </w:tblPr>
      <w:tblGrid>
        <w:gridCol w:w="2240"/>
        <w:gridCol w:w="60"/>
        <w:gridCol w:w="140"/>
        <w:gridCol w:w="1055"/>
        <w:gridCol w:w="110"/>
      </w:tblGrid>
      <w:tr>
        <w:trPr/>
        <w:tc>
          <w:tcPr>
            <w:tcW w:w="224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As of</w:t>
              <w:br/>
              <w:t xml:space="preserve">March 31, </w:t>
              <w:br/>
              <w:t>2022</w:t>
            </w:r>
          </w:p>
        </w:tc>
        <w:tc>
          <w:tcPr>
            <w:tcW w:w="110" w:type="dxa"/>
            <w:tcBorders/>
            <w:shd w:fill="auto" w:val="clear"/>
            <w:vAlign w:val="center"/>
          </w:tcPr>
          <w:p>
            <w:pPr>
              <w:pStyle w:val="TableContents"/>
              <w:spacing w:before="0" w:after="283"/>
              <w:rPr/>
            </w:pPr>
            <w:r>
              <w:rPr/>
              <w:t> </w:t>
            </w:r>
          </w:p>
        </w:tc>
      </w:tr>
      <w:tr>
        <w:trPr/>
        <w:tc>
          <w:tcPr>
            <w:tcW w:w="2240" w:type="dxa"/>
            <w:tcBorders/>
            <w:shd w:fill="CCEEFF" w:val="clear"/>
            <w:vAlign w:val="center"/>
          </w:tcPr>
          <w:p>
            <w:pPr>
              <w:pStyle w:val="TableContents"/>
              <w:spacing w:before="0" w:after="283"/>
              <w:jc w:val="left"/>
              <w:rPr/>
            </w:pPr>
            <w:r>
              <w:rPr/>
              <w:t xml:space="preserve">Initial reserves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055" w:type="dxa"/>
            <w:tcBorders/>
            <w:shd w:fill="CCEEFF" w:val="clear"/>
            <w:vAlign w:val="center"/>
          </w:tcPr>
          <w:p>
            <w:pPr>
              <w:pStyle w:val="TableContents"/>
              <w:spacing w:before="0" w:after="283"/>
              <w:jc w:val="right"/>
              <w:rPr/>
            </w:pPr>
            <w:r>
              <w:rPr/>
              <w:t>6,636,553</w:t>
            </w:r>
          </w:p>
        </w:tc>
        <w:tc>
          <w:tcPr>
            <w:tcW w:w="110" w:type="dxa"/>
            <w:tcBorders/>
            <w:shd w:fill="CCEEFF" w:val="clear"/>
            <w:vAlign w:val="center"/>
          </w:tcPr>
          <w:p>
            <w:pPr>
              <w:pStyle w:val="TableContents"/>
              <w:spacing w:before="0" w:after="283"/>
              <w:jc w:val="left"/>
              <w:rPr/>
            </w:pPr>
            <w:r>
              <w:rPr/>
              <w:t> </w:t>
            </w:r>
          </w:p>
        </w:tc>
      </w:tr>
      <w:tr>
        <w:trPr/>
        <w:tc>
          <w:tcPr>
            <w:tcW w:w="2240" w:type="dxa"/>
            <w:tcBorders/>
            <w:shd w:fill="auto" w:val="clear"/>
            <w:vAlign w:val="center"/>
          </w:tcPr>
          <w:p>
            <w:pPr>
              <w:pStyle w:val="TableContents"/>
              <w:spacing w:before="0" w:after="283"/>
              <w:jc w:val="left"/>
              <w:rPr/>
            </w:pPr>
            <w:r>
              <w:rPr/>
              <w:t xml:space="preserve">New reserves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jc w:val="right"/>
              <w:rPr/>
            </w:pPr>
            <w:r>
              <w:rPr/>
              <w:t>3,919,974</w:t>
            </w:r>
          </w:p>
        </w:tc>
        <w:tc>
          <w:tcPr>
            <w:tcW w:w="110" w:type="dxa"/>
            <w:tcBorders/>
            <w:shd w:fill="auto" w:val="clear"/>
            <w:vAlign w:val="center"/>
          </w:tcPr>
          <w:p>
            <w:pPr>
              <w:pStyle w:val="TableContents"/>
              <w:spacing w:before="0" w:after="283"/>
              <w:jc w:val="left"/>
              <w:rPr/>
            </w:pPr>
            <w:r>
              <w:rPr/>
              <w:t> </w:t>
            </w:r>
          </w:p>
        </w:tc>
      </w:tr>
      <w:tr>
        <w:trPr/>
        <w:tc>
          <w:tcPr>
            <w:tcW w:w="2240" w:type="dxa"/>
            <w:tcBorders/>
            <w:shd w:fill="CCEEFF" w:val="clear"/>
            <w:vAlign w:val="center"/>
          </w:tcPr>
          <w:p>
            <w:pPr>
              <w:pStyle w:val="TableContents"/>
              <w:spacing w:before="0" w:after="283"/>
              <w:jc w:val="left"/>
              <w:rPr/>
            </w:pPr>
            <w:r>
              <w:rPr/>
              <w:t xml:space="preserve">Reserves disbursed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rPr>
                <w:sz w:val="4"/>
                <w:szCs w:val="4"/>
              </w:rPr>
            </w:pPr>
            <w:r>
              <w:rPr>
                <w:sz w:val="4"/>
                <w:szCs w:val="4"/>
              </w:rPr>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pPr>
            <w:r>
              <w:rPr/>
              <w:t>(3,084,470</w:t>
            </w:r>
          </w:p>
        </w:tc>
        <w:tc>
          <w:tcPr>
            <w:tcW w:w="110" w:type="dxa"/>
            <w:tcBorders/>
            <w:shd w:fill="CCEEFF" w:val="clear"/>
            <w:vAlign w:val="center"/>
          </w:tcPr>
          <w:p>
            <w:pPr>
              <w:pStyle w:val="TableContents"/>
              <w:spacing w:before="0" w:after="283"/>
              <w:jc w:val="left"/>
              <w:rPr/>
            </w:pPr>
            <w:r>
              <w:rPr/>
              <w:t>)</w:t>
            </w:r>
          </w:p>
        </w:tc>
      </w:tr>
      <w:tr>
        <w:trPr/>
        <w:tc>
          <w:tcPr>
            <w:tcW w:w="2240" w:type="dxa"/>
            <w:tcBorders/>
            <w:shd w:fill="auto" w:val="clear"/>
            <w:vAlign w:val="center"/>
          </w:tcPr>
          <w:p>
            <w:pPr>
              <w:pStyle w:val="TableContents"/>
              <w:spacing w:before="0" w:after="283"/>
              <w:jc w:val="left"/>
              <w:rPr>
                <w:b/>
              </w:rPr>
            </w:pPr>
            <w:r>
              <w:rPr>
                <w:b/>
              </w:rPr>
              <w:t xml:space="preserve">Total interest reserve </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b/>
              </w:rPr>
            </w:pPr>
            <w:r>
              <w:rPr>
                <w:b/>
              </w:rPr>
              <w:t>7,472,057</w:t>
            </w:r>
          </w:p>
        </w:tc>
        <w:tc>
          <w:tcPr>
            <w:tcW w:w="11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DEBT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in connection with our acquisition of our financing subsidiary, CAL, we were assigned a secured revolving credit facility (the “Revolving Loan”). The Revolving Loan has an aggregate borrowing base of up to $10,000,000 and bears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is the earlier of (i) February 12, 2023 and (ii) the date on which the Revolving Loan is terminated pursuant to terms in the Revolving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Company amended the Revolving Loan Agreement (the “First Amendment”). The First Amendment increased the loan commitment from $10,000,000 to $45,000,000 and decreased the interest rate, from the greater of the (1) Prime Rate plus 1.00% and (2) 4.75% to the greater of (1) the Prime Rate plus the applicable margin and (2) 3.25%. The applicable margin depends on the ratio of debt to equity of CAL and increases from 0% at a ratio of 0.25 to 1 to 1.25% at a ratio of 1.5 to 1. The First Amendment also extended the maturity date from February 12, 2023 to the earlier of (i) December 16, 2023 and (ii) the date on which the Revolving Loan is terminated pursuant to the terms in the Revolving Loan agreement. The Company incurred debt issuance costs of $859,500 related to the First Amendment, which were capitalized and are subsequently being amortized through maturity. As of March 31, 2022 and December 31, 2021, unamortized debt issuance costs related to the Revolving Loan and First Amendment of $795,754 and $868,022, respectively, are recorded in Other Assets on the Consolidated Balance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incurs unused fees at a rate of 0.25% per annum beginning July 1, 2022 pursuant to the First Amendment. During the period from January 1, 2022 to March 31, 2022, the Company did not incur unused fees. Additionally, for the period from January 1, 2022 to March 31, 2022, the Company did not borrow against the Revolving Loan and therefore no interest expense was incurred for the period then 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To the best of our knowledge, as of March 31, 2022, we were in compliance in all material respects with the covenants with respect to the Revolving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RELATED PARTY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Management Agreement, the Manager will manage the loans and day-to-day operations of the Company, subject at all times to the further terms and conditions set forth in the Management Agreement and such further limitations or parameters as may be imposed from time to time by the Company’s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 will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months ended March 31, 2022, the Base Management Fee payable was reduced by Outside Fees in the amount of $717,750.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means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Independent Directors and approved by a majority of the Independent Directors. Incentive compensation for the three months ended March 31, 2022 was $382,143.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Fee Waiver Letter Agreements executed by the Manager, dated June 30, 2021 and September 30, 2021, all Base Management Fees that would have been payable to the Manager for the period from May 1, 2021 to September 30, 2021 were voluntarily waived and are not subject to recoupment at a later date. Additionally, Pursuant to a Fee Waiver Letter Agreement executed by the Manager, dated December 31, 2021, all Incentive Compensation that would have been payable to the Manager for the period from October 1, 2021 to December 31, 2021 was voluntarily waived and is not subject to recoupment at a later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related party costs incurred by the Company and amounts payable to the Manager for the periods ended March 31, 2022 and December 31, 2021.</w:t>
      </w:r>
    </w:p>
    <w:p>
      <w:pPr>
        <w:pStyle w:val="TextBody"/>
        <w:spacing w:before="0" w:after="0"/>
        <w:ind w:left="0" w:right="0" w:hanging="0"/>
        <w:rPr>
          <w:caps w:val="false"/>
          <w:smallCaps w:val="false"/>
        </w:rPr>
      </w:pPr>
      <w:r>
        <w:rPr>
          <w:caps w:val="false"/>
          <w:smallCaps w:val="false"/>
        </w:rPr>
        <w:t> </w:t>
      </w:r>
    </w:p>
    <w:tbl>
      <w:tblPr>
        <w:tblW w:w="8760" w:type="dxa"/>
        <w:jc w:val="left"/>
        <w:tblInd w:w="0" w:type="dxa"/>
        <w:tblCellMar>
          <w:top w:w="0" w:type="dxa"/>
          <w:left w:w="0" w:type="dxa"/>
          <w:bottom w:w="0" w:type="dxa"/>
          <w:right w:w="0" w:type="dxa"/>
        </w:tblCellMar>
      </w:tblPr>
      <w:tblGrid>
        <w:gridCol w:w="5900"/>
        <w:gridCol w:w="60"/>
        <w:gridCol w:w="140"/>
        <w:gridCol w:w="980"/>
        <w:gridCol w:w="95"/>
        <w:gridCol w:w="60"/>
        <w:gridCol w:w="195"/>
        <w:gridCol w:w="1220"/>
        <w:gridCol w:w="110"/>
      </w:tblGrid>
      <w:tr>
        <w:trPr/>
        <w:tc>
          <w:tcPr>
            <w:tcW w:w="590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As of</w:t>
              <w:b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As of</w:t>
              <w:br/>
              <w:t>December 31,</w:t>
              <w:br/>
              <w:t>2021</w:t>
            </w:r>
          </w:p>
        </w:tc>
        <w:tc>
          <w:tcPr>
            <w:tcW w:w="110" w:type="dxa"/>
            <w:tcBorders/>
            <w:shd w:fill="auto" w:val="clear"/>
            <w:vAlign w:val="center"/>
          </w:tcPr>
          <w:p>
            <w:pPr>
              <w:pStyle w:val="TableContents"/>
              <w:spacing w:before="0" w:after="283"/>
              <w:rPr/>
            </w:pPr>
            <w:r>
              <w:rPr/>
              <w:t> </w:t>
            </w:r>
          </w:p>
        </w:tc>
      </w:tr>
      <w:tr>
        <w:trPr/>
        <w:tc>
          <w:tcPr>
            <w:tcW w:w="5900" w:type="dxa"/>
            <w:tcBorders/>
            <w:shd w:fill="auto" w:val="clear"/>
            <w:vAlign w:val="center"/>
          </w:tcPr>
          <w:p>
            <w:pPr>
              <w:pStyle w:val="TableContents"/>
              <w:spacing w:before="0" w:after="283"/>
              <w:rPr>
                <w:b/>
              </w:rPr>
            </w:pPr>
            <w:r>
              <w:rPr>
                <w:b/>
              </w:rPr>
              <w:t>Affiliate Payments</w:t>
            </w:r>
          </w:p>
        </w:tc>
        <w:tc>
          <w:tcPr>
            <w:tcW w:w="6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1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5900" w:type="dxa"/>
            <w:tcBorders/>
            <w:shd w:fill="CCEEFF" w:val="clear"/>
            <w:vAlign w:val="center"/>
          </w:tcPr>
          <w:p>
            <w:pPr>
              <w:pStyle w:val="TableContents"/>
              <w:spacing w:before="0" w:after="283"/>
              <w:jc w:val="left"/>
              <w:rPr/>
            </w:pPr>
            <w:r>
              <w:rPr/>
              <w:t>Management fees earned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980" w:type="dxa"/>
            <w:tcBorders/>
            <w:shd w:fill="CCEEFF" w:val="clear"/>
            <w:vAlign w:val="center"/>
          </w:tcPr>
          <w:p>
            <w:pPr>
              <w:pStyle w:val="TableContents"/>
              <w:spacing w:before="0" w:after="283"/>
              <w:jc w:val="right"/>
              <w:rPr/>
            </w:pPr>
            <w:r>
              <w:rPr/>
              <w:t>1,007,112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jc w:val="left"/>
              <w:rPr/>
            </w:pPr>
            <w:r>
              <w:rPr/>
              <w:t>$</w:t>
            </w:r>
          </w:p>
        </w:tc>
        <w:tc>
          <w:tcPr>
            <w:tcW w:w="1220" w:type="dxa"/>
            <w:tcBorders/>
            <w:shd w:fill="CCEEFF" w:val="clear"/>
            <w:vAlign w:val="center"/>
          </w:tcPr>
          <w:p>
            <w:pPr>
              <w:pStyle w:val="TableContents"/>
              <w:spacing w:before="0" w:after="283"/>
              <w:jc w:val="right"/>
              <w:rPr/>
            </w:pPr>
            <w:r>
              <w:rPr/>
              <w:t>989,322</w:t>
            </w:r>
          </w:p>
        </w:tc>
        <w:tc>
          <w:tcPr>
            <w:tcW w:w="110" w:type="dxa"/>
            <w:tcBorders/>
            <w:shd w:fill="CCEEFF" w:val="clear"/>
            <w:vAlign w:val="center"/>
          </w:tcPr>
          <w:p>
            <w:pPr>
              <w:pStyle w:val="TableContents"/>
              <w:spacing w:before="0" w:after="283"/>
              <w:jc w:val="left"/>
              <w:rPr/>
            </w:pPr>
            <w:r>
              <w:rPr/>
              <w:t> </w:t>
            </w:r>
          </w:p>
        </w:tc>
      </w:tr>
      <w:tr>
        <w:trPr/>
        <w:tc>
          <w:tcPr>
            <w:tcW w:w="5900" w:type="dxa"/>
            <w:tcBorders/>
            <w:shd w:fill="auto" w:val="clear"/>
            <w:vAlign w:val="center"/>
          </w:tcPr>
          <w:p>
            <w:pPr>
              <w:pStyle w:val="TableContents"/>
              <w:spacing w:before="0" w:after="283"/>
              <w:jc w:val="left"/>
              <w:rPr/>
            </w:pPr>
            <w:r>
              <w:rPr/>
              <w:t>Less: Outside Fees earned</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(717,750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9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(187,028</w:t>
            </w:r>
          </w:p>
        </w:tc>
        <w:tc>
          <w:tcPr>
            <w:tcW w:w="110" w:type="dxa"/>
            <w:tcBorders/>
            <w:shd w:fill="auto" w:val="clear"/>
            <w:vAlign w:val="center"/>
          </w:tcPr>
          <w:p>
            <w:pPr>
              <w:pStyle w:val="TableContents"/>
              <w:spacing w:before="0" w:after="283"/>
              <w:jc w:val="left"/>
              <w:rPr/>
            </w:pPr>
            <w:r>
              <w:rPr/>
              <w:t>)</w:t>
            </w:r>
          </w:p>
        </w:tc>
      </w:tr>
      <w:tr>
        <w:trPr/>
        <w:tc>
          <w:tcPr>
            <w:tcW w:w="5900" w:type="dxa"/>
            <w:tcBorders/>
            <w:shd w:fill="CCEEFF" w:val="clear"/>
            <w:vAlign w:val="center"/>
          </w:tcPr>
          <w:p>
            <w:pPr>
              <w:pStyle w:val="TableContents"/>
              <w:spacing w:before="0" w:after="283"/>
              <w:jc w:val="left"/>
              <w:rPr/>
            </w:pPr>
            <w:r>
              <w:rPr/>
              <w:t>Base management fees, net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289,362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802,294</w:t>
            </w:r>
          </w:p>
        </w:tc>
        <w:tc>
          <w:tcPr>
            <w:tcW w:w="110" w:type="dxa"/>
            <w:tcBorders/>
            <w:shd w:fill="CCEEFF" w:val="clear"/>
            <w:vAlign w:val="center"/>
          </w:tcPr>
          <w:p>
            <w:pPr>
              <w:pStyle w:val="TableContents"/>
              <w:spacing w:before="0" w:after="283"/>
              <w:jc w:val="left"/>
              <w:rPr/>
            </w:pPr>
            <w:r>
              <w:rPr/>
              <w:t> </w:t>
            </w:r>
          </w:p>
        </w:tc>
      </w:tr>
      <w:tr>
        <w:trPr/>
        <w:tc>
          <w:tcPr>
            <w:tcW w:w="5900" w:type="dxa"/>
            <w:tcBorders/>
            <w:shd w:fill="auto" w:val="clear"/>
            <w:vAlign w:val="center"/>
          </w:tcPr>
          <w:p>
            <w:pPr>
              <w:pStyle w:val="TableContents"/>
              <w:spacing w:before="0" w:after="283"/>
              <w:jc w:val="left"/>
              <w:rPr/>
            </w:pPr>
            <w:r>
              <w:rPr/>
              <w:t>Incentive fees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382,143</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283"/>
              <w:jc w:val="left"/>
              <w:rPr/>
            </w:pPr>
            <w:r>
              <w:rPr/>
              <w:t> </w:t>
            </w:r>
          </w:p>
        </w:tc>
      </w:tr>
      <w:tr>
        <w:trPr/>
        <w:tc>
          <w:tcPr>
            <w:tcW w:w="5900" w:type="dxa"/>
            <w:tcBorders/>
            <w:shd w:fill="CCEEFF" w:val="clear"/>
            <w:vAlign w:val="center"/>
          </w:tcPr>
          <w:p>
            <w:pPr>
              <w:pStyle w:val="TableContents"/>
              <w:spacing w:before="0" w:after="283"/>
              <w:jc w:val="left"/>
              <w:rPr/>
            </w:pPr>
            <w:r>
              <w:rPr/>
              <w:t>Management and incentive fees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980" w:type="dxa"/>
            <w:tcBorders/>
            <w:shd w:fill="CCEEFF" w:val="clear"/>
            <w:vAlign w:val="center"/>
          </w:tcPr>
          <w:p>
            <w:pPr>
              <w:pStyle w:val="TableContents"/>
              <w:spacing w:before="0" w:after="283"/>
              <w:jc w:val="right"/>
              <w:rPr/>
            </w:pPr>
            <w:r>
              <w:rPr/>
              <w:t>671,505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5"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802,294</w:t>
            </w:r>
          </w:p>
        </w:tc>
        <w:tc>
          <w:tcPr>
            <w:tcW w:w="110" w:type="dxa"/>
            <w:tcBorders/>
            <w:shd w:fill="CCEEFF" w:val="clear"/>
            <w:vAlign w:val="center"/>
          </w:tcPr>
          <w:p>
            <w:pPr>
              <w:pStyle w:val="TableContents"/>
              <w:spacing w:before="0" w:after="283"/>
              <w:jc w:val="left"/>
              <w:rPr/>
            </w:pPr>
            <w:r>
              <w:rPr/>
              <w:t> </w:t>
            </w:r>
          </w:p>
        </w:tc>
      </w:tr>
      <w:tr>
        <w:trPr/>
        <w:tc>
          <w:tcPr>
            <w:tcW w:w="5900" w:type="dxa"/>
            <w:tcBorders/>
            <w:shd w:fill="auto" w:val="clear"/>
            <w:vAlign w:val="center"/>
          </w:tcPr>
          <w:p>
            <w:pPr>
              <w:pStyle w:val="TableContents"/>
              <w:spacing w:before="0" w:after="283"/>
              <w:jc w:val="left"/>
              <w:rPr/>
            </w:pPr>
            <w:r>
              <w:rPr/>
              <w:t>General and administrative expenses reimbursable to Manager</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center"/>
          </w:tcPr>
          <w:p>
            <w:pPr>
              <w:pStyle w:val="TableContents"/>
              <w:spacing w:before="0" w:after="283"/>
              <w:jc w:val="right"/>
              <w:rPr/>
            </w:pPr>
            <w:r>
              <w:rPr/>
              <w:t>411,521</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5"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102,829</w:t>
            </w:r>
          </w:p>
        </w:tc>
        <w:tc>
          <w:tcPr>
            <w:tcW w:w="110" w:type="dxa"/>
            <w:tcBorders/>
            <w:shd w:fill="auto" w:val="clear"/>
            <w:vAlign w:val="center"/>
          </w:tcPr>
          <w:p>
            <w:pPr>
              <w:pStyle w:val="TableContents"/>
              <w:spacing w:before="0" w:after="283"/>
              <w:jc w:val="left"/>
              <w:rPr/>
            </w:pPr>
            <w:r>
              <w:rPr/>
              <w:t> </w:t>
            </w:r>
          </w:p>
        </w:tc>
      </w:tr>
      <w:tr>
        <w:trPr/>
        <w:tc>
          <w:tcPr>
            <w:tcW w:w="5900" w:type="dxa"/>
            <w:tcBorders/>
            <w:shd w:fill="CCEEFF" w:val="clear"/>
            <w:vAlign w:val="center"/>
          </w:tcPr>
          <w:p>
            <w:pPr>
              <w:pStyle w:val="TableContents"/>
              <w:spacing w:before="0" w:after="283"/>
              <w:rPr>
                <w:b/>
              </w:rPr>
            </w:pPr>
            <w:r>
              <w:rPr>
                <w:b/>
              </w:rPr>
              <w:t>Total</w:t>
            </w:r>
          </w:p>
        </w:tc>
        <w:tc>
          <w:tcPr>
            <w:tcW w:w="60" w:type="dxa"/>
            <w:tcBorders/>
            <w:shd w:fill="CCEEFF" w:val="clear"/>
            <w:vAlign w:val="center"/>
          </w:tcPr>
          <w:p>
            <w:pPr>
              <w:pStyle w:val="TableContents"/>
              <w:spacing w:before="0" w:after="283"/>
              <w:rPr/>
            </w:pPr>
            <w:r>
              <w:rPr/>
              <w:t> </w:t>
            </w:r>
          </w:p>
        </w:tc>
        <w:tc>
          <w:tcPr>
            <w:tcW w:w="140"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spacing w:before="0" w:after="283"/>
              <w:jc w:val="right"/>
              <w:rPr/>
            </w:pPr>
            <w:r>
              <w:rPr/>
              <w:t>1,083,026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5" w:type="dxa"/>
            <w:tcBorders>
              <w:bottom w:val="double" w:sz="10" w:space="0" w:color="000000"/>
            </w:tcBorders>
            <w:shd w:fill="CCEEFF" w:val="clear"/>
            <w:tcMar>
              <w:bottom w:w="28" w:type="dxa"/>
            </w:tcMar>
            <w:vAlign w:val="center"/>
          </w:tcPr>
          <w:p>
            <w:pPr>
              <w:pStyle w:val="TableContents"/>
              <w:spacing w:before="0" w:after="283"/>
              <w:jc w:val="left"/>
              <w:rPr/>
            </w:pPr>
            <w:r>
              <w:rPr/>
              <w:t>$</w:t>
            </w:r>
          </w:p>
        </w:tc>
        <w:tc>
          <w:tcPr>
            <w:tcW w:w="1220" w:type="dxa"/>
            <w:tcBorders>
              <w:bottom w:val="double" w:sz="10" w:space="0" w:color="000000"/>
            </w:tcBorders>
            <w:shd w:fill="CCEEFF" w:val="clear"/>
            <w:tcMar>
              <w:bottom w:w="28" w:type="dxa"/>
            </w:tcMar>
            <w:vAlign w:val="center"/>
          </w:tcPr>
          <w:p>
            <w:pPr>
              <w:pStyle w:val="TableContents"/>
              <w:spacing w:before="0" w:after="283"/>
              <w:jc w:val="right"/>
              <w:rPr/>
            </w:pPr>
            <w:r>
              <w:rPr/>
              <w:t>905,123</w:t>
            </w:r>
          </w:p>
        </w:tc>
        <w:tc>
          <w:tcPr>
            <w:tcW w:w="110" w:type="dxa"/>
            <w:tcBorders/>
            <w:shd w:fill="CCEE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administrative expenses reimbursable to the Manager are included in related party payable line item of the consolidated balance sheet as of March 31, 2022 and December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 in Loans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and for the three months ended March 31, 2022, ten of the Company’s loans were co-invested by affiliates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March 30, 2021 (Inception) to December 31, 2021, the Company advanced $20,000,000 to the borrower of Loan #14. The Company noted that a member of the Sponsor is a voting board member to the borrower of Loan #14. The Company evaluated the nature of such transaction in accordance with the guidance set forth in FASB ASC Topic 850, Related Party Disclosures (“ASC 850”), noting no material conflict of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2021, the Company assigned $14.0 million of unfunded commitment in Loan #14 and $5.0 million of unfunded commitment in Loan #10 to an affiliate. Further, on October 3, 2021, the Company sold $5.0 million of principal related to the second tranche of Loan #2 to an affiliate at an amortized cost, plus accrued interest of $4.9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Loans Acquired From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Formation Transaction, for the period from March 30, 2021 (Inception) to December 31, 2021 the Company acquired loans at amortized cost and cash of $9,802,024 and $97,976, respectively, from affiliates of the Manager in exchange for issuance of 635,194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for the period from March 30, 2021 (Inception) to December 31, 2021 the Company also acquired loans at amortized cost of $22,516,005 from affiliates of the Manager in exchange for issuance of 1,446,473 shares of common stock, as well as cash contributions of $125,517,500 to fund loans in exchange for 8,067,010 shares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for the period from March 30, 2021 (Inception) to December 31, 2021 the Company acquired 100% of CAL from an affiliate of the Manager in exchange for issuance of 481,259 shares of common stock. The Company accounted for the transaction as an asset acquisition pursuant to ASC 805-50 rather than as a business combination. Substantially all of the fair value of the assets acquired are concentrated in a group of similarly identifiable loan assets, and as such, do not constitute a business as defined by GAAP. The financial position and results of operations of CAL are consolidated into the consolidated financial statements of the Company. CAL held $7.7 million and $10.4 million of loans held at carrying value as of March 31, 2022 and December 31, 2021,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2021, the Company acquired $10.0 million of additional interests in senior secured loans in the third tranche of Loan #2 from an affiliate at a purchase price, which equaled amortized cost, of $9.74 million.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loans acquired from affiliates during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COMMITMENTS AND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Off-Balance Sheet Arrangements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Off-balance sheet commitments may consist of unfunded commitments on delayed draw term loans. We do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we have not guaranteed any obligations of unconsolidated entities or entered into any commitment or intend to provide additional funding to any such entities. As of March 31, 2022 and December 31, 2021, the Company had the following commitments to fund various existing loans.</w:t>
      </w:r>
    </w:p>
    <w:p>
      <w:pPr>
        <w:pStyle w:val="TextBody"/>
        <w:spacing w:before="0" w:after="0"/>
        <w:ind w:left="0" w:right="0" w:hanging="0"/>
        <w:jc w:val="center"/>
        <w:rPr>
          <w:caps w:val="false"/>
          <w:smallCaps w:val="false"/>
        </w:rPr>
      </w:pPr>
      <w:r>
        <w:rPr>
          <w:caps w:val="false"/>
          <w:smallCaps w:val="false"/>
        </w:rPr>
        <w:t> </w:t>
      </w:r>
    </w:p>
    <w:tbl>
      <w:tblPr>
        <w:tblW w:w="5480" w:type="dxa"/>
        <w:jc w:val="left"/>
        <w:tblInd w:w="0" w:type="dxa"/>
        <w:tblCellMar>
          <w:top w:w="0" w:type="dxa"/>
          <w:left w:w="0" w:type="dxa"/>
          <w:bottom w:w="0" w:type="dxa"/>
          <w:right w:w="0" w:type="dxa"/>
        </w:tblCellMar>
      </w:tblPr>
      <w:tblGrid>
        <w:gridCol w:w="2705"/>
        <w:gridCol w:w="60"/>
        <w:gridCol w:w="125"/>
        <w:gridCol w:w="1115"/>
        <w:gridCol w:w="80"/>
        <w:gridCol w:w="60"/>
        <w:gridCol w:w="125"/>
        <w:gridCol w:w="1115"/>
        <w:gridCol w:w="95"/>
      </w:tblGrid>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20"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March 31,</w:t>
              <w:b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35"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br/>
              <w:t>2021</w:t>
            </w:r>
          </w:p>
        </w:tc>
      </w:tr>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20" w:type="dxa"/>
            <w:gridSpan w:val="3"/>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35" w:type="dxa"/>
            <w:gridSpan w:val="3"/>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2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original loan commitments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321,110,130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235,063,593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drawn commitments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1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(281,535,892</w:t>
            </w:r>
          </w:p>
        </w:tc>
        <w:tc>
          <w:tcPr>
            <w:tcW w:w="8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auto" w:val="clear"/>
            <w:tcMar>
              <w:bottom w:w="28" w:type="dxa"/>
            </w:tcMar>
            <w:vAlign w:val="center"/>
          </w:tcPr>
          <w:p>
            <w:pPr>
              <w:pStyle w:val="TableContents"/>
              <w:spacing w:before="0" w:after="283"/>
              <w:rPr>
                <w:sz w:val="4"/>
                <w:szCs w:val="4"/>
              </w:rPr>
            </w:pPr>
            <w:r>
              <w:rPr>
                <w:sz w:val="4"/>
                <w:szCs w:val="4"/>
              </w:rPr>
            </w:r>
          </w:p>
        </w:tc>
        <w:tc>
          <w:tcPr>
            <w:tcW w:w="1115"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(200,359,026</w:t>
            </w:r>
          </w:p>
        </w:tc>
        <w:tc>
          <w:tcPr>
            <w:tcW w:w="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shd w:fill="CCEE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undrawn commitments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39,574,238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10" w:space="0" w:color="000000"/>
            </w:tcBorders>
            <w:shd w:fill="CCEEFF"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34,704,567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 – Loans Held for Investment, Net” for further information regarding the CECL Reserve attributed to unfunded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COVID-19 Pandemic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outbreak of the coronavirus (“COVID-19”) pandemic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As a result, the COVID-19 pandemic has negatively impacted almost every industry directly or indirectly, including the regulated cannabis industry. Although most of these measures have been lifted or scaled back, surges of COVID-19 in certain parts of the world, including the United States, have resulted and may in the future result in the re-imposition of certain restrictions and may lead to more restrictions to reduce the spread of COVID-19. Over the course of the pandemic, medical cannabis companies have been deemed “essential” by almost all states with legalized cannabis and stay-at-home orders. Consequently, the impact of the COVID-19 pandemic and the related regulatory and private sector response on our financial and operating results for the three months ended March 31, 2022, was somewhat mitigated as all of our borrowers were permitted to continue to operate during the pandemic. The full effect that these disruptions may have on the operations and financial performance of the Company will depend on future developments, including possible impacts on the performance of the Company’s loans, general business activity, and ability to generate revenue, which cannot be determined.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Contingencies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from time to time may be a party to litigation in the normal course of business. As of March 31, 2022, the Company is not aware of any legal claims that could materially impact its business, financial condition or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grow or maintain its business depends on state laws pertaining to the cannabis industry. New laws that are averse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adversely affect its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which may result in the Company realizing a loss on the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STOCKHOLDERS’ EQUITY</w:t>
      </w:r>
    </w:p>
    <w:p>
      <w:pPr>
        <w:pStyle w:val="TextBody"/>
        <w:spacing w:before="0" w:after="0"/>
        <w:ind w:left="36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2022, the underwriters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March 30, 2021 (inception) to December 31, 2021, the Company issued 10,636,363 shares of its common stock pursuant to transactions that were exempt from registration pursuant to Section 4(a)(2) of the Securities Act of 1933,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2021, the Company completed its IPO of 6,250,000 shares of its common stock at a price of $16.00 per share, raising $100,000,000 in gross proceeds. The underwriting commission of $7,000,000 is reflected as a reduction of additional paid-in capital on the consolidated statements of stockholders’ equity. The Company incurred approximately $1,265,877 of expenses in connection with the IPO, which is reflected as a reduction in additional paid-in capital. The net proceeds to the Company totaled approximately $91,734,123. Concurrent with the closing of the IPO, the Company sold 468,750 shares of its common stock at the public offering price of $16.00 per share in a private placement to John Mazarakis, the Company’s Executive Chairman, Anthony Cappell, the Company’s Chief Executive Officer, and Dr. Andreas Bodmeier, the Company’s Co-President. Gross proceeds received were $7,500,000, and no underwriting discounts or commissions were paid in respect of these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2021, the Board approved a 6,427-for-one stock split of the Company’s common stock. All common shares and per share information presented in the consolidated financial statements have been adjusted to reflect the stock split on a retroactive basis for all periods presented, including reclassifying an amount equal to the increase in par value of common stock from additional paid-in capital. There was no change in the par value of the Company’s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an equity incentive compensation plan (the “2021 Plan”). The Board authorized the adoption of the 2021 Plan and the Compensation Committee of the Board approved restricted stock award grants 98,440 shares of common stock during the quarter ended December 31, 2021. The Compensation Committee appointed by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the maximum number of shares of the Company common stock that may be delivered pursuant to awards under the 2021 Plan (the “Share Limit”) equals 8.50% of the issued and outstanding shares of the Company’s common stock on a fully-diluted basis.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 There were 3,750 shares forfeited during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are exchanged by a participant or withheld by us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restricted stock activity for the Company’s directors and officers and employees of the Manager as of March 31, 2022 and December 31, 2021.</w:t>
      </w:r>
    </w:p>
    <w:p>
      <w:pPr>
        <w:pStyle w:val="TextBody"/>
        <w:spacing w:before="0" w:after="0"/>
        <w:ind w:left="0" w:right="0" w:hanging="0"/>
        <w:rPr>
          <w:caps w:val="false"/>
          <w:smallCaps w:val="false"/>
        </w:rPr>
      </w:pPr>
      <w:r>
        <w:rPr>
          <w:caps w:val="false"/>
          <w:smallCaps w:val="false"/>
        </w:rPr>
        <w:t> </w:t>
      </w:r>
    </w:p>
    <w:tbl>
      <w:tblPr>
        <w:tblW w:w="3163" w:type="dxa"/>
        <w:jc w:val="left"/>
        <w:tblInd w:w="0" w:type="dxa"/>
        <w:tblCellMar>
          <w:top w:w="0" w:type="dxa"/>
          <w:left w:w="0" w:type="dxa"/>
          <w:bottom w:w="0" w:type="dxa"/>
          <w:right w:w="0" w:type="dxa"/>
        </w:tblCellMar>
      </w:tblPr>
      <w:tblGrid>
        <w:gridCol w:w="965"/>
        <w:gridCol w:w="60"/>
        <w:gridCol w:w="73"/>
        <w:gridCol w:w="719"/>
        <w:gridCol w:w="97"/>
        <w:gridCol w:w="60"/>
        <w:gridCol w:w="98"/>
        <w:gridCol w:w="967"/>
        <w:gridCol w:w="124"/>
      </w:tblGrid>
      <w:tr>
        <w:trPr/>
        <w:tc>
          <w:tcPr>
            <w:tcW w:w="9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9"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March 31,</w:t>
              <w:b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89"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br/>
              <w:t>2021</w:t>
            </w:r>
          </w:p>
        </w:tc>
      </w:tr>
      <w:tr>
        <w:trPr/>
        <w:tc>
          <w:tcPr>
            <w:tcW w:w="96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Non-vested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1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98,440</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98,440</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9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3"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19" w:type="dxa"/>
            <w:tcBorders>
              <w:bottom w:val="sing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(3,750</w:t>
            </w:r>
          </w:p>
        </w:tc>
        <w:tc>
          <w:tcPr>
            <w:tcW w:w="9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8" w:type="dxa"/>
            <w:tcBorders>
              <w:bottom w:val="single" w:sz="12"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7" w:type="dxa"/>
            <w:tcBorders>
              <w:bottom w:val="single" w:sz="12" w:space="0" w:color="000000"/>
            </w:tcBorders>
            <w:shd w:fill="auto"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96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73" w:type="dxa"/>
            <w:tcBorders>
              <w:bottom w:val="double" w:sz="10"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19"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94,690</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8" w:type="dxa"/>
            <w:tcBorders>
              <w:bottom w:val="double" w:sz="10"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7" w:type="dxa"/>
            <w:tcBorders>
              <w:bottom w:val="double" w:sz="10"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98,440</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grant expense is based on the Company’s stock price at the time of the grant and amortized over the vesting period. Forfeitures are recognized as they occur. The share-based compensation expense for the Company was approximately $120,940 for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EARNINGS PER SHARE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sets forth the computations of basic earnings per common share for the three months ended March 31, 2022 and for the period from March 30, 2021 (inception) to March 31, 2021:</w:t>
      </w:r>
    </w:p>
    <w:p>
      <w:pPr>
        <w:pStyle w:val="TextBody"/>
        <w:spacing w:before="0" w:after="0"/>
        <w:ind w:left="0" w:right="0" w:hanging="0"/>
        <w:rPr>
          <w:caps w:val="false"/>
          <w:smallCaps w:val="false"/>
        </w:rPr>
      </w:pPr>
      <w:r>
        <w:rPr>
          <w:caps w:val="false"/>
          <w:smallCaps w:val="false"/>
        </w:rPr>
        <w:t> </w:t>
      </w:r>
    </w:p>
    <w:tbl>
      <w:tblPr>
        <w:tblW w:w="8780" w:type="dxa"/>
        <w:jc w:val="left"/>
        <w:tblInd w:w="0" w:type="dxa"/>
        <w:tblCellMar>
          <w:top w:w="0" w:type="dxa"/>
          <w:left w:w="0" w:type="dxa"/>
          <w:bottom w:w="0" w:type="dxa"/>
          <w:right w:w="0" w:type="dxa"/>
        </w:tblCellMar>
      </w:tblPr>
      <w:tblGrid>
        <w:gridCol w:w="5960"/>
        <w:gridCol w:w="60"/>
        <w:gridCol w:w="140"/>
        <w:gridCol w:w="1100"/>
        <w:gridCol w:w="60"/>
        <w:gridCol w:w="60"/>
        <w:gridCol w:w="265"/>
        <w:gridCol w:w="1060"/>
        <w:gridCol w:w="75"/>
      </w:tblGrid>
      <w:tr>
        <w:trPr/>
        <w:tc>
          <w:tcPr>
            <w:tcW w:w="59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w:t>
              <w:br/>
              <w:t>three</w:t>
              <w:br/>
              <w:t>months</w:t>
              <w:br/>
              <w:t>ended</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2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 xml:space="preserve">period </w:t>
              <w:br/>
              <w:t>from</w:t>
              <w:br/>
              <w:t>March 30,</w:t>
              <w:br/>
              <w:t>2021</w:t>
              <w:br/>
              <w:t>(Inception)</w:t>
              <w:br/>
              <w:t>to March 31,</w:t>
              <w:br/>
              <w:t>2021</w:t>
            </w:r>
          </w:p>
        </w:tc>
        <w:tc>
          <w:tcPr>
            <w:tcW w:w="75" w:type="dxa"/>
            <w:tcBorders/>
            <w:shd w:fill="auto" w:val="clear"/>
            <w:vAlign w:val="center"/>
          </w:tcPr>
          <w:p>
            <w:pPr>
              <w:pStyle w:val="TableContents"/>
              <w:spacing w:before="0" w:after="283"/>
              <w:rPr/>
            </w:pPr>
            <w:r>
              <w:rPr/>
              <w:t> </w:t>
            </w:r>
          </w:p>
        </w:tc>
      </w:tr>
      <w:tr>
        <w:trPr/>
        <w:tc>
          <w:tcPr>
            <w:tcW w:w="5960" w:type="dxa"/>
            <w:tcBorders/>
            <w:shd w:fill="CCEEFF" w:val="clear"/>
            <w:vAlign w:val="center"/>
          </w:tcPr>
          <w:p>
            <w:pPr>
              <w:pStyle w:val="TableContents"/>
              <w:spacing w:before="0" w:after="283"/>
              <w:jc w:val="left"/>
              <w:rPr/>
            </w:pPr>
            <w:r>
              <w:rPr/>
              <w:t>Net income attributable to common stockholders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7,803,952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283"/>
              <w:jc w:val="left"/>
              <w:rPr/>
            </w:pPr>
            <w:r>
              <w:rPr/>
              <w:t>$</w:t>
            </w:r>
          </w:p>
        </w:tc>
        <w:tc>
          <w:tcPr>
            <w:tcW w:w="1060" w:type="dxa"/>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jc w:val="left"/>
              <w:rPr/>
            </w:pPr>
            <w:r>
              <w:rPr/>
              <w:t>Divided by:</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jc w:val="left"/>
              <w:rPr/>
            </w:pPr>
            <w:r>
              <w:rPr/>
              <w:t> </w:t>
            </w:r>
          </w:p>
        </w:tc>
        <w:tc>
          <w:tcPr>
            <w:tcW w:w="106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rPr/>
            </w:pPr>
            <w:r>
              <w:rPr/>
              <w:t>Basic weighted average shares of common stock outstanding</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17,641,090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283"/>
              <w:jc w:val="left"/>
              <w:rPr/>
            </w:pPr>
            <w:r>
              <w:rPr/>
              <w:t> </w:t>
            </w:r>
          </w:p>
        </w:tc>
        <w:tc>
          <w:tcPr>
            <w:tcW w:w="1060" w:type="dxa"/>
            <w:tcBorders/>
            <w:shd w:fill="CCEEFF" w:val="clear"/>
            <w:vAlign w:val="center"/>
          </w:tcPr>
          <w:p>
            <w:pPr>
              <w:pStyle w:val="TableContents"/>
              <w:spacing w:before="0" w:after="283"/>
              <w:jc w:val="right"/>
              <w:rPr/>
            </w:pPr>
            <w:r>
              <w:rPr/>
              <w:t>6,427</w:t>
            </w:r>
          </w:p>
        </w:tc>
        <w:tc>
          <w:tcPr>
            <w:tcW w:w="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pPr>
            <w:r>
              <w:rPr/>
              <w:t>Diluted weighted average shares of common stock outstanding</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17,737,975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jc w:val="left"/>
              <w:rPr/>
            </w:pPr>
            <w:r>
              <w:rPr/>
              <w:t> </w:t>
            </w:r>
          </w:p>
        </w:tc>
        <w:tc>
          <w:tcPr>
            <w:tcW w:w="1060" w:type="dxa"/>
            <w:tcBorders/>
            <w:shd w:fill="auto" w:val="clear"/>
            <w:vAlign w:val="center"/>
          </w:tcPr>
          <w:p>
            <w:pPr>
              <w:pStyle w:val="TableContents"/>
              <w:spacing w:before="0" w:after="283"/>
              <w:jc w:val="right"/>
              <w:rPr/>
            </w:pPr>
            <w:r>
              <w:rPr/>
              <w:t>6,427</w:t>
            </w:r>
          </w:p>
        </w:tc>
        <w:tc>
          <w:tcPr>
            <w:tcW w:w="75" w:type="dxa"/>
            <w:tcBorders/>
            <w:shd w:fill="auto" w:val="clear"/>
            <w:vAlign w:val="center"/>
          </w:tcPr>
          <w:p>
            <w:pPr>
              <w:pStyle w:val="TableContents"/>
              <w:spacing w:before="0" w:after="283"/>
              <w:jc w:val="left"/>
              <w:rPr/>
            </w:pPr>
            <w:r>
              <w:rPr/>
              <w:t> </w:t>
            </w:r>
          </w:p>
        </w:tc>
      </w:tr>
      <w:tr>
        <w:trPr/>
        <w:tc>
          <w:tcPr>
            <w:tcW w:w="5960" w:type="dxa"/>
            <w:tcBorders/>
            <w:shd w:fill="CCEEFF" w:val="clear"/>
            <w:vAlign w:val="center"/>
          </w:tcPr>
          <w:p>
            <w:pPr>
              <w:pStyle w:val="TableContents"/>
              <w:spacing w:before="0" w:after="283"/>
              <w:rPr>
                <w:b/>
              </w:rPr>
            </w:pPr>
            <w:r>
              <w:rPr>
                <w:b/>
              </w:rPr>
              <w:t>Basic earnings per common share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b/>
              </w:rPr>
            </w:pPr>
            <w:r>
              <w:rPr>
                <w:b/>
              </w:rPr>
              <w:t>$</w:t>
            </w:r>
          </w:p>
        </w:tc>
        <w:tc>
          <w:tcPr>
            <w:tcW w:w="1100" w:type="dxa"/>
            <w:tcBorders/>
            <w:shd w:fill="CCEEFF" w:val="clear"/>
            <w:vAlign w:val="center"/>
          </w:tcPr>
          <w:p>
            <w:pPr>
              <w:pStyle w:val="TableContents"/>
              <w:spacing w:before="0" w:after="283"/>
              <w:jc w:val="right"/>
              <w:rPr>
                <w:b/>
              </w:rPr>
            </w:pPr>
            <w:r>
              <w:rPr>
                <w:b/>
              </w:rPr>
              <w:t>0.44</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65" w:type="dxa"/>
            <w:tcBorders/>
            <w:shd w:fill="CCEEFF" w:val="clear"/>
            <w:vAlign w:val="center"/>
          </w:tcPr>
          <w:p>
            <w:pPr>
              <w:pStyle w:val="TableContents"/>
              <w:spacing w:before="0" w:after="283"/>
              <w:jc w:val="left"/>
              <w:rPr>
                <w:b/>
              </w:rPr>
            </w:pPr>
            <w:r>
              <w:rPr>
                <w:b/>
              </w:rPr>
              <w:t>$</w:t>
            </w:r>
          </w:p>
        </w:tc>
        <w:tc>
          <w:tcPr>
            <w:tcW w:w="1060" w:type="dxa"/>
            <w:tcBorders/>
            <w:shd w:fill="CCEEFF" w:val="clear"/>
            <w:vAlign w:val="center"/>
          </w:tcPr>
          <w:p>
            <w:pPr>
              <w:pStyle w:val="TableContents"/>
              <w:spacing w:before="0" w:after="283"/>
              <w:jc w:val="right"/>
              <w:rPr>
                <w:b/>
              </w:rPr>
            </w:pPr>
            <w:r>
              <w:rPr>
                <w:b/>
              </w:rPr>
              <w:t>0.00</w:t>
            </w:r>
          </w:p>
        </w:tc>
        <w:tc>
          <w:tcPr>
            <w:tcW w:w="75" w:type="dxa"/>
            <w:tcBorders/>
            <w:shd w:fill="CCEEFF" w:val="clear"/>
            <w:vAlign w:val="center"/>
          </w:tcPr>
          <w:p>
            <w:pPr>
              <w:pStyle w:val="TableContents"/>
              <w:spacing w:before="0" w:after="283"/>
              <w:jc w:val="left"/>
              <w:rPr/>
            </w:pPr>
            <w:r>
              <w:rPr/>
              <w:t> </w:t>
            </w:r>
          </w:p>
        </w:tc>
      </w:tr>
      <w:tr>
        <w:trPr/>
        <w:tc>
          <w:tcPr>
            <w:tcW w:w="5960" w:type="dxa"/>
            <w:tcBorders/>
            <w:shd w:fill="auto" w:val="clear"/>
            <w:vAlign w:val="center"/>
          </w:tcPr>
          <w:p>
            <w:pPr>
              <w:pStyle w:val="TableContents"/>
              <w:spacing w:before="0" w:after="283"/>
              <w:rPr>
                <w:b/>
              </w:rPr>
            </w:pPr>
            <w:r>
              <w:rPr>
                <w:b/>
              </w:rPr>
              <w:t>Diluted earnings per common share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b/>
              </w:rPr>
            </w:pPr>
            <w:r>
              <w:rPr>
                <w:b/>
              </w:rPr>
              <w:t>$</w:t>
            </w:r>
          </w:p>
        </w:tc>
        <w:tc>
          <w:tcPr>
            <w:tcW w:w="1100" w:type="dxa"/>
            <w:tcBorders/>
            <w:shd w:fill="auto" w:val="clear"/>
            <w:vAlign w:val="center"/>
          </w:tcPr>
          <w:p>
            <w:pPr>
              <w:pStyle w:val="TableContents"/>
              <w:spacing w:before="0" w:after="283"/>
              <w:jc w:val="right"/>
              <w:rPr>
                <w:b/>
              </w:rPr>
            </w:pPr>
            <w:r>
              <w:rPr>
                <w:b/>
              </w:rPr>
              <w:t>0.44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65" w:type="dxa"/>
            <w:tcBorders/>
            <w:shd w:fill="auto" w:val="clear"/>
            <w:vAlign w:val="center"/>
          </w:tcPr>
          <w:p>
            <w:pPr>
              <w:pStyle w:val="TableContents"/>
              <w:spacing w:before="0" w:after="283"/>
              <w:jc w:val="left"/>
              <w:rPr>
                <w:b/>
              </w:rPr>
            </w:pPr>
            <w:r>
              <w:rPr>
                <w:b/>
              </w:rPr>
              <w:t>$</w:t>
            </w:r>
          </w:p>
        </w:tc>
        <w:tc>
          <w:tcPr>
            <w:tcW w:w="1060" w:type="dxa"/>
            <w:tcBorders/>
            <w:shd w:fill="auto" w:val="clear"/>
            <w:vAlign w:val="center"/>
          </w:tcPr>
          <w:p>
            <w:pPr>
              <w:pStyle w:val="TableContents"/>
              <w:spacing w:before="0" w:after="283"/>
              <w:jc w:val="right"/>
              <w:rPr>
                <w:b/>
              </w:rPr>
            </w:pPr>
            <w:r>
              <w:rPr>
                <w:b/>
              </w:rPr>
              <w:t>0.00</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for the Company was $0 for the three months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the Company incurred no expense for United Stated federal excise tax. If it is determined that the Company’s estimated current year taxable income will be in excess of estimated dividend distributions (including capital gain dividend) for the current year from such income, the Company will accrue excise tax on estimated excess taxable income as such taxable income is earned. The annual expense is calculated in accordance with applicable tax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the Company does not have any unrecognized tax benefits and does not expect that to change in the next 12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DIVIDENDS AND DISTRIBUTIONS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dividends declared during the three months ended March 31, 2022. There were no dividends declared for the three months ended March 31, 2021.</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396"/>
        <w:gridCol w:w="60"/>
        <w:gridCol w:w="884"/>
        <w:gridCol w:w="60"/>
        <w:gridCol w:w="1019"/>
        <w:gridCol w:w="60"/>
        <w:gridCol w:w="493"/>
        <w:gridCol w:w="1501"/>
        <w:gridCol w:w="238"/>
        <w:gridCol w:w="60"/>
        <w:gridCol w:w="362"/>
        <w:gridCol w:w="1106"/>
        <w:gridCol w:w="176"/>
        <w:gridCol w:w="60"/>
        <w:gridCol w:w="532"/>
        <w:gridCol w:w="340"/>
        <w:gridCol w:w="257"/>
        <w:gridCol w:w="60"/>
        <w:gridCol w:w="330"/>
        <w:gridCol w:w="1005"/>
        <w:gridCol w:w="206"/>
      </w:tblGrid>
      <w:tr>
        <w:trPr/>
        <w:tc>
          <w:tcPr>
            <w:tcW w:w="1396"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884"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019"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Date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2232"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 Distribution Amount</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644"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Taxable Ordinary Income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29"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Return of Capital</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41"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199A Dividends</w:t>
            </w:r>
          </w:p>
        </w:tc>
      </w:tr>
      <w:tr>
        <w:trPr/>
        <w:tc>
          <w:tcPr>
            <w:tcW w:w="139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cash dividend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01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93"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w:t>
            </w:r>
          </w:p>
        </w:tc>
        <w:tc>
          <w:tcPr>
            <w:tcW w:w="23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62"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w:t>
            </w:r>
          </w:p>
        </w:tc>
        <w:tc>
          <w:tcPr>
            <w:tcW w:w="1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532"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40" w:type="dxa"/>
            <w:tcBorders>
              <w:bottom w:val="single" w:sz="12" w:space="0" w:color="000000"/>
            </w:tcBorders>
            <w:shd w:fill="CCEEFF" w:val="clear"/>
            <w:tcMar>
              <w:bottom w:w="28" w:type="dxa"/>
            </w:tcMar>
            <w:vAlign w:val="center"/>
          </w:tcPr>
          <w:p>
            <w:pPr>
              <w:pStyle w:val="TableContents"/>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w:t>
            </w:r>
          </w:p>
        </w:tc>
        <w:tc>
          <w:tcPr>
            <w:tcW w:w="206"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396"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dividend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84"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9"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93"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501"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0.40</w:t>
            </w:r>
          </w:p>
        </w:tc>
        <w:tc>
          <w:tcPr>
            <w:tcW w:w="238"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62"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6"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0.40</w:t>
            </w:r>
          </w:p>
        </w:tc>
        <w:tc>
          <w:tcPr>
            <w:tcW w:w="17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32"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40" w:type="dxa"/>
            <w:tcBorders>
              <w:bottom w:val="double" w:sz="10" w:space="0" w:color="000000"/>
            </w:tcBorders>
            <w:shd w:fill="auto" w:val="clear"/>
            <w:tcMar>
              <w:bottom w:w="28" w:type="dxa"/>
            </w:tcMar>
            <w:vAlign w:val="center"/>
          </w:tcPr>
          <w:p>
            <w:pPr>
              <w:pStyle w:val="TableContents"/>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7"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3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0.40</w:t>
            </w:r>
          </w:p>
        </w:tc>
        <w:tc>
          <w:tcPr>
            <w:tcW w:w="206"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SUBSEQUENT EVENTS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the impact of all subsequent events on the Company through May 12, 2022, the date the consolidated financial statements were issued, and determined there are no subsequent events to report, other than those disclosed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Normal Course of Business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2022 through May 12, 2022, the Company funded a loan amounting to $17.0 million in loan principal to a new portfolio company, and two loan advances amounting to approximately $8.3 million in loan principal to an existing portfolio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of Dividend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14, 2022, the Company paid a cash dividend of $0.40 per share of its common stock, relating to the first quarter of 2022, in the amount of $7,063,165 which was paid to stockholders of record as of the close of business on March 31,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Revolving Loan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2022 through May 12, 2022, the Company drew $30.0 million on the Revolving Loan, which will bear interest until repaid in full of the greater of (1) the Prime Rate plus the applicable margin and (2) 3.25%. See Note 6 included in these consolidated financial statements for more information on the Company’s Revolving Loan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the Company’s wholly-owned financing subsidiary, CAL, entered into a Second Amended and Restated Loan and Security Agreement (the “Second Amendment”) relating to the Revolving Loan. The Second Amendment provides for an increase in the aggregate commitment from $45 million to $65 million.  No other material terms of the Revolving Loan were modified as a result of the execution of the Second Amendment. As of May 12, 2022, the Company has approximately $35.0 million of availability under the Revolving Loan.</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 </w:t>
      </w:r>
    </w:p>
    <w:p>
      <w:pPr>
        <w:pStyle w:val="TextBody"/>
        <w:spacing w:before="0" w:after="0"/>
        <w:ind w:left="0" w:right="0" w:firstLine="480"/>
        <w:rPr>
          <w:caps w:val="false"/>
          <w:smallCaps w:val="false"/>
        </w:rPr>
      </w:pPr>
      <w:r>
        <w:rPr>
          <w:caps w:val="false"/>
          <w:smallCaps w:val="false"/>
        </w:rPr>
        <w:t> </w:t>
      </w:r>
    </w:p>
    <w:tbl>
      <w:tblPr>
        <w:tblW w:w="2493" w:type="dxa"/>
        <w:jc w:val="left"/>
        <w:tblInd w:w="0" w:type="dxa"/>
        <w:tblCellMar>
          <w:top w:w="0" w:type="dxa"/>
          <w:left w:w="0" w:type="dxa"/>
          <w:bottom w:w="0" w:type="dxa"/>
          <w:right w:w="0" w:type="dxa"/>
        </w:tblCellMar>
      </w:tblPr>
      <w:tblGrid>
        <w:gridCol w:w="38"/>
        <w:gridCol w:w="170"/>
        <w:gridCol w:w="22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22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operating results;</w:t>
            </w:r>
          </w:p>
        </w:tc>
      </w:tr>
    </w:tbl>
    <w:p>
      <w:pPr>
        <w:pStyle w:val="TextBody"/>
        <w:spacing w:before="0" w:after="0"/>
        <w:ind w:left="960" w:right="0" w:hanging="480"/>
        <w:rPr>
          <w:caps w:val="false"/>
          <w:smallCaps w:val="false"/>
        </w:rPr>
      </w:pPr>
      <w:r>
        <w:rPr>
          <w:caps w:val="false"/>
          <w:smallCaps w:val="false"/>
        </w:rPr>
        <w:t> </w:t>
      </w:r>
    </w:p>
    <w:tbl>
      <w:tblPr>
        <w:tblW w:w="5598" w:type="dxa"/>
        <w:jc w:val="left"/>
        <w:tblInd w:w="0" w:type="dxa"/>
        <w:tblCellMar>
          <w:top w:w="0" w:type="dxa"/>
          <w:left w:w="0" w:type="dxa"/>
          <w:bottom w:w="0" w:type="dxa"/>
          <w:right w:w="0" w:type="dxa"/>
        </w:tblCellMar>
      </w:tblPr>
      <w:tblGrid>
        <w:gridCol w:w="38"/>
        <w:gridCol w:w="170"/>
        <w:gridCol w:w="53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53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COVID-19 on our business and the global economy;</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Manager to locate suitable loan opportunities for us, monitor and actively manage our loan portfolio and implement our investment strategy;</w:t>
            </w:r>
          </w:p>
        </w:tc>
      </w:tr>
    </w:tbl>
    <w:p>
      <w:pPr>
        <w:pStyle w:val="TextBody"/>
        <w:spacing w:before="0" w:after="0"/>
        <w:ind w:left="960" w:right="0" w:hanging="480"/>
        <w:rPr>
          <w:caps w:val="false"/>
          <w:smallCaps w:val="false"/>
        </w:rPr>
      </w:pPr>
      <w:r>
        <w:rPr>
          <w:caps w:val="false"/>
          <w:smallCaps w:val="false"/>
        </w:rPr>
        <w:t> </w:t>
      </w:r>
    </w:p>
    <w:tbl>
      <w:tblPr>
        <w:tblW w:w="4653" w:type="dxa"/>
        <w:jc w:val="left"/>
        <w:tblInd w:w="0" w:type="dxa"/>
        <w:tblCellMar>
          <w:top w:w="0" w:type="dxa"/>
          <w:left w:w="0" w:type="dxa"/>
          <w:bottom w:w="0" w:type="dxa"/>
          <w:right w:w="0" w:type="dxa"/>
        </w:tblCellMar>
      </w:tblPr>
      <w:tblGrid>
        <w:gridCol w:w="38"/>
        <w:gridCol w:w="170"/>
        <w:gridCol w:w="444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444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loan opportunities to us by our Manager;</w:t>
            </w:r>
          </w:p>
        </w:tc>
      </w:tr>
    </w:tbl>
    <w:p>
      <w:pPr>
        <w:pStyle w:val="TextBody"/>
        <w:spacing w:before="0" w:after="0"/>
        <w:ind w:left="960" w:right="0" w:hanging="480"/>
        <w:rPr>
          <w:caps w:val="false"/>
          <w:smallCaps w:val="false"/>
        </w:rPr>
      </w:pPr>
      <w:r>
        <w:rPr>
          <w:caps w:val="false"/>
          <w:smallCaps w:val="false"/>
        </w:rPr>
        <w:t> </w:t>
      </w:r>
    </w:p>
    <w:tbl>
      <w:tblPr>
        <w:tblW w:w="2778" w:type="dxa"/>
        <w:jc w:val="left"/>
        <w:tblInd w:w="0" w:type="dxa"/>
        <w:tblCellMar>
          <w:top w:w="0" w:type="dxa"/>
          <w:left w:w="0" w:type="dxa"/>
          <w:bottom w:w="0" w:type="dxa"/>
          <w:right w:w="0" w:type="dxa"/>
        </w:tblCellMar>
      </w:tblPr>
      <w:tblGrid>
        <w:gridCol w:w="38"/>
        <w:gridCol w:w="170"/>
        <w:gridCol w:w="257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257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projected operating results;</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and initiatives of the U.S. or state governments and changes to government policies and the execution and impact of these actions, initiatives and policies, including the fact that cannabis remains illegal under federal law;</w:t>
            </w:r>
          </w:p>
        </w:tc>
      </w:tr>
    </w:tbl>
    <w:p>
      <w:pPr>
        <w:pStyle w:val="TextBody"/>
        <w:spacing w:before="0" w:after="0"/>
        <w:ind w:left="960" w:right="0" w:hanging="480"/>
        <w:rPr>
          <w:caps w:val="false"/>
          <w:smallCaps w:val="false"/>
        </w:rPr>
      </w:pPr>
      <w:r>
        <w:rPr>
          <w:caps w:val="false"/>
          <w:smallCaps w:val="false"/>
        </w:rPr>
        <w:t> </w:t>
      </w:r>
    </w:p>
    <w:tbl>
      <w:tblPr>
        <w:tblW w:w="6633" w:type="dxa"/>
        <w:jc w:val="left"/>
        <w:tblInd w:w="0" w:type="dxa"/>
        <w:tblCellMar>
          <w:top w:w="0" w:type="dxa"/>
          <w:left w:w="0" w:type="dxa"/>
          <w:bottom w:w="0" w:type="dxa"/>
          <w:right w:w="0" w:type="dxa"/>
        </w:tblCellMar>
      </w:tblPr>
      <w:tblGrid>
        <w:gridCol w:w="38"/>
        <w:gridCol w:w="170"/>
        <w:gridCol w:w="642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64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growth in and evolving market dynamics of the cannabis market;</w:t>
            </w:r>
          </w:p>
        </w:tc>
      </w:tr>
    </w:tbl>
    <w:p>
      <w:pPr>
        <w:pStyle w:val="TextBody"/>
        <w:spacing w:before="0" w:after="0"/>
        <w:ind w:left="960" w:right="0" w:hanging="480"/>
        <w:rPr>
          <w:caps w:val="false"/>
          <w:smallCaps w:val="false"/>
        </w:rPr>
      </w:pPr>
      <w:r>
        <w:rPr>
          <w:caps w:val="false"/>
          <w:smallCaps w:val="false"/>
        </w:rPr>
        <w:t> </w:t>
      </w:r>
    </w:p>
    <w:tbl>
      <w:tblPr>
        <w:tblW w:w="5238" w:type="dxa"/>
        <w:jc w:val="left"/>
        <w:tblInd w:w="0" w:type="dxa"/>
        <w:tblCellMar>
          <w:top w:w="0" w:type="dxa"/>
          <w:left w:w="0" w:type="dxa"/>
          <w:bottom w:w="0" w:type="dxa"/>
          <w:right w:w="0" w:type="dxa"/>
        </w:tblCellMar>
      </w:tblPr>
      <w:tblGrid>
        <w:gridCol w:w="38"/>
        <w:gridCol w:w="170"/>
        <w:gridCol w:w="503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503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cannabis cultivation and processing facilities;</w:t>
            </w:r>
          </w:p>
        </w:tc>
      </w:tr>
    </w:tbl>
    <w:p>
      <w:pPr>
        <w:pStyle w:val="TextBody"/>
        <w:spacing w:before="0" w:after="0"/>
        <w:ind w:left="960" w:right="0" w:hanging="480"/>
        <w:rPr>
          <w:caps w:val="false"/>
          <w:smallCaps w:val="false"/>
        </w:rPr>
      </w:pPr>
      <w:r>
        <w:rPr>
          <w:caps w:val="false"/>
          <w:smallCaps w:val="false"/>
        </w:rPr>
        <w:t> </w:t>
      </w:r>
    </w:p>
    <w:tbl>
      <w:tblPr>
        <w:tblW w:w="3798" w:type="dxa"/>
        <w:jc w:val="left"/>
        <w:tblInd w:w="0" w:type="dxa"/>
        <w:tblCellMar>
          <w:top w:w="0" w:type="dxa"/>
          <w:left w:w="0" w:type="dxa"/>
          <w:bottom w:w="0" w:type="dxa"/>
          <w:right w:w="0" w:type="dxa"/>
        </w:tblCellMar>
      </w:tblPr>
      <w:tblGrid>
        <w:gridCol w:w="38"/>
        <w:gridCol w:w="170"/>
        <w:gridCol w:w="35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35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shifts in public opinion regarding cannabis;</w:t>
            </w:r>
          </w:p>
        </w:tc>
      </w:tr>
    </w:tbl>
    <w:p>
      <w:pPr>
        <w:pStyle w:val="TextBody"/>
        <w:spacing w:before="0" w:after="0"/>
        <w:ind w:left="960" w:right="0" w:hanging="480"/>
        <w:rPr>
          <w:caps w:val="false"/>
          <w:smallCaps w:val="false"/>
        </w:rPr>
      </w:pPr>
      <w:r>
        <w:rPr>
          <w:caps w:val="false"/>
          <w:smallCaps w:val="false"/>
        </w:rPr>
        <w:t> </w:t>
      </w:r>
    </w:p>
    <w:tbl>
      <w:tblPr>
        <w:tblW w:w="6168" w:type="dxa"/>
        <w:jc w:val="left"/>
        <w:tblInd w:w="0" w:type="dxa"/>
        <w:tblCellMar>
          <w:top w:w="0" w:type="dxa"/>
          <w:left w:w="0" w:type="dxa"/>
          <w:bottom w:w="0" w:type="dxa"/>
          <w:right w:w="0" w:type="dxa"/>
        </w:tblCellMar>
      </w:tblPr>
      <w:tblGrid>
        <w:gridCol w:w="38"/>
        <w:gridCol w:w="170"/>
        <w:gridCol w:w="596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5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 of the U.S. economy generally or in specific geographic regions;</w:t>
            </w:r>
          </w:p>
        </w:tc>
      </w:tr>
    </w:tbl>
    <w:p>
      <w:pPr>
        <w:pStyle w:val="TextBody"/>
        <w:spacing w:before="0" w:after="0"/>
        <w:ind w:left="960" w:right="0" w:hanging="480"/>
        <w:rPr>
          <w:caps w:val="false"/>
          <w:smallCaps w:val="false"/>
        </w:rPr>
      </w:pPr>
      <w:r>
        <w:rPr>
          <w:caps w:val="false"/>
          <w:smallCaps w:val="false"/>
        </w:rPr>
        <w:t> </w:t>
      </w:r>
    </w:p>
    <w:tbl>
      <w:tblPr>
        <w:tblW w:w="3693" w:type="dxa"/>
        <w:jc w:val="left"/>
        <w:tblInd w:w="0" w:type="dxa"/>
        <w:tblCellMar>
          <w:top w:w="0" w:type="dxa"/>
          <w:left w:w="0" w:type="dxa"/>
          <w:bottom w:w="0" w:type="dxa"/>
          <w:right w:w="0" w:type="dxa"/>
        </w:tblCellMar>
      </w:tblPr>
      <w:tblGrid>
        <w:gridCol w:w="38"/>
        <w:gridCol w:w="170"/>
        <w:gridCol w:w="348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34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trends and economic recoveries;</w:t>
            </w:r>
          </w:p>
        </w:tc>
      </w:tr>
    </w:tbl>
    <w:p>
      <w:pPr>
        <w:pStyle w:val="TextBody"/>
        <w:spacing w:before="0" w:after="0"/>
        <w:ind w:left="960" w:right="0" w:hanging="480"/>
        <w:rPr>
          <w:caps w:val="false"/>
          <w:smallCaps w:val="false"/>
        </w:rPr>
      </w:pPr>
      <w:r>
        <w:rPr>
          <w:caps w:val="false"/>
          <w:smallCaps w:val="false"/>
        </w:rPr>
        <w:t> </w:t>
      </w:r>
    </w:p>
    <w:tbl>
      <w:tblPr>
        <w:tblW w:w="5373" w:type="dxa"/>
        <w:jc w:val="left"/>
        <w:tblInd w:w="0" w:type="dxa"/>
        <w:tblCellMar>
          <w:top w:w="0" w:type="dxa"/>
          <w:left w:w="0" w:type="dxa"/>
          <w:bottom w:w="0" w:type="dxa"/>
          <w:right w:w="0" w:type="dxa"/>
        </w:tblCellMar>
      </w:tblPr>
      <w:tblGrid>
        <w:gridCol w:w="38"/>
        <w:gridCol w:w="170"/>
        <w:gridCol w:w="51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51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our cash flows, if any, from our loans;</w:t>
            </w:r>
          </w:p>
        </w:tc>
      </w:tr>
    </w:tbl>
    <w:p>
      <w:pPr>
        <w:pStyle w:val="TextBody"/>
        <w:spacing w:before="0" w:after="0"/>
        <w:ind w:left="960" w:right="0" w:hanging="480"/>
        <w:rPr>
          <w:caps w:val="false"/>
          <w:smallCaps w:val="false"/>
        </w:rPr>
      </w:pPr>
      <w:r>
        <w:rPr>
          <w:caps w:val="false"/>
          <w:smallCaps w:val="false"/>
        </w:rPr>
        <w:t> </w:t>
      </w:r>
    </w:p>
    <w:tbl>
      <w:tblPr>
        <w:tblW w:w="4998" w:type="dxa"/>
        <w:jc w:val="left"/>
        <w:tblInd w:w="0" w:type="dxa"/>
        <w:tblCellMar>
          <w:top w:w="0" w:type="dxa"/>
          <w:left w:w="0" w:type="dxa"/>
          <w:bottom w:w="0" w:type="dxa"/>
          <w:right w:w="0" w:type="dxa"/>
        </w:tblCellMar>
      </w:tblPr>
      <w:tblGrid>
        <w:gridCol w:w="38"/>
        <w:gridCol w:w="170"/>
        <w:gridCol w:w="479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47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financing arrangements;</w:t>
            </w:r>
          </w:p>
        </w:tc>
      </w:tr>
    </w:tbl>
    <w:p>
      <w:pPr>
        <w:pStyle w:val="TextBody"/>
        <w:spacing w:before="0" w:after="0"/>
        <w:ind w:left="960" w:right="0" w:hanging="480"/>
        <w:rPr>
          <w:caps w:val="false"/>
          <w:smallCaps w:val="false"/>
        </w:rPr>
      </w:pPr>
      <w:r>
        <w:rPr>
          <w:caps w:val="false"/>
          <w:smallCaps w:val="false"/>
        </w:rPr>
        <w:t> </w:t>
      </w:r>
    </w:p>
    <w:tbl>
      <w:tblPr>
        <w:tblW w:w="2088" w:type="dxa"/>
        <w:jc w:val="left"/>
        <w:tblInd w:w="0" w:type="dxa"/>
        <w:tblCellMar>
          <w:top w:w="0" w:type="dxa"/>
          <w:left w:w="0" w:type="dxa"/>
          <w:bottom w:w="0" w:type="dxa"/>
          <w:right w:w="0" w:type="dxa"/>
        </w:tblCellMar>
      </w:tblPr>
      <w:tblGrid>
        <w:gridCol w:w="38"/>
        <w:gridCol w:w="170"/>
        <w:gridCol w:w="188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18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leverage;</w:t>
            </w:r>
          </w:p>
        </w:tc>
      </w:tr>
    </w:tbl>
    <w:p>
      <w:pPr>
        <w:pStyle w:val="TextBody"/>
        <w:spacing w:before="0" w:after="0"/>
        <w:ind w:left="960" w:right="0" w:hanging="480"/>
        <w:rPr>
          <w:caps w:val="false"/>
          <w:smallCaps w:val="false"/>
        </w:rPr>
      </w:pPr>
      <w:r>
        <w:rPr>
          <w:caps w:val="false"/>
          <w:smallCaps w:val="false"/>
        </w:rPr>
        <w:t> </w:t>
      </w:r>
    </w:p>
    <w:tbl>
      <w:tblPr>
        <w:tblW w:w="2973" w:type="dxa"/>
        <w:jc w:val="left"/>
        <w:tblInd w:w="0" w:type="dxa"/>
        <w:tblCellMar>
          <w:top w:w="0" w:type="dxa"/>
          <w:left w:w="0" w:type="dxa"/>
          <w:bottom w:w="0" w:type="dxa"/>
          <w:right w:w="0" w:type="dxa"/>
        </w:tblCellMar>
      </w:tblPr>
      <w:tblGrid>
        <w:gridCol w:w="38"/>
        <w:gridCol w:w="170"/>
        <w:gridCol w:w="276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276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value of our loans;</w:t>
            </w:r>
          </w:p>
        </w:tc>
      </w:tr>
    </w:tbl>
    <w:p>
      <w:pPr>
        <w:pStyle w:val="TextBody"/>
        <w:spacing w:before="0" w:after="0"/>
        <w:ind w:left="960" w:right="0" w:hanging="480"/>
        <w:rPr>
          <w:caps w:val="false"/>
          <w:smallCaps w:val="false"/>
        </w:rPr>
      </w:pPr>
      <w:r>
        <w:rPr>
          <w:caps w:val="false"/>
          <w:smallCaps w:val="false"/>
        </w:rPr>
        <w:t> </w:t>
      </w:r>
    </w:p>
    <w:tbl>
      <w:tblPr>
        <w:tblW w:w="2808" w:type="dxa"/>
        <w:jc w:val="left"/>
        <w:tblInd w:w="0" w:type="dxa"/>
        <w:tblCellMar>
          <w:top w:w="0" w:type="dxa"/>
          <w:left w:w="0" w:type="dxa"/>
          <w:bottom w:w="0" w:type="dxa"/>
          <w:right w:w="0" w:type="dxa"/>
        </w:tblCellMar>
      </w:tblPr>
      <w:tblGrid>
        <w:gridCol w:w="38"/>
        <w:gridCol w:w="170"/>
        <w:gridCol w:w="260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260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portfolio of loans;</w:t>
            </w:r>
          </w:p>
        </w:tc>
      </w:tr>
    </w:tbl>
    <w:p>
      <w:pPr>
        <w:pStyle w:val="TextBody"/>
        <w:spacing w:before="0" w:after="0"/>
        <w:ind w:left="960" w:right="0" w:hanging="480"/>
        <w:rPr>
          <w:caps w:val="false"/>
          <w:smallCaps w:val="false"/>
        </w:rPr>
      </w:pPr>
      <w:r>
        <w:rPr>
          <w:caps w:val="false"/>
          <w:smallCaps w:val="false"/>
        </w:rPr>
        <w:t> </w:t>
      </w:r>
    </w:p>
    <w:tbl>
      <w:tblPr>
        <w:tblW w:w="4383" w:type="dxa"/>
        <w:jc w:val="left"/>
        <w:tblInd w:w="0" w:type="dxa"/>
        <w:tblCellMar>
          <w:top w:w="0" w:type="dxa"/>
          <w:left w:w="0" w:type="dxa"/>
          <w:bottom w:w="0" w:type="dxa"/>
          <w:right w:w="0" w:type="dxa"/>
        </w:tblCellMar>
      </w:tblPr>
      <w:tblGrid>
        <w:gridCol w:w="38"/>
        <w:gridCol w:w="170"/>
        <w:gridCol w:w="417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417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expected investment and underwriting process;</w:t>
            </w:r>
          </w:p>
        </w:tc>
      </w:tr>
    </w:tbl>
    <w:p>
      <w:pPr>
        <w:pStyle w:val="TextBody"/>
        <w:spacing w:before="0" w:after="0"/>
        <w:ind w:left="960" w:right="0" w:hanging="480"/>
        <w:rPr>
          <w:caps w:val="false"/>
          <w:smallCaps w:val="false"/>
        </w:rPr>
      </w:pPr>
      <w:r>
        <w:rPr>
          <w:caps w:val="false"/>
          <w:smallCaps w:val="false"/>
        </w:rPr>
        <w:t> </w:t>
      </w:r>
    </w:p>
    <w:tbl>
      <w:tblPr>
        <w:tblW w:w="9835" w:type="dxa"/>
        <w:jc w:val="left"/>
        <w:tblInd w:w="0" w:type="dxa"/>
        <w:tblCellMar>
          <w:top w:w="0" w:type="dxa"/>
          <w:left w:w="0" w:type="dxa"/>
          <w:bottom w:w="0" w:type="dxa"/>
          <w:right w:w="0" w:type="dxa"/>
        </w:tblCellMar>
      </w:tblPr>
      <w:tblGrid>
        <w:gridCol w:w="75"/>
        <w:gridCol w:w="170"/>
        <w:gridCol w:w="959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5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rates of default or decreased recovery rates on our loans;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59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5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degree to which any interest rate or other hedging strategies may or may not protect us from interest rate volatility;</w:t>
            </w:r>
          </w:p>
        </w:tc>
      </w:tr>
    </w:tbl>
    <w:p>
      <w:pPr>
        <w:pStyle w:val="TextBody"/>
        <w:spacing w:before="0" w:after="0"/>
        <w:ind w:left="960" w:right="0" w:hanging="480"/>
        <w:rPr>
          <w:caps w:val="false"/>
          <w:smallCaps w:val="false"/>
        </w:rPr>
      </w:pPr>
      <w:r>
        <w:rPr>
          <w:caps w:val="false"/>
          <w:smallCaps w:val="false"/>
        </w:rPr>
        <w:t> </w:t>
      </w:r>
    </w:p>
    <w:p>
      <w:pPr>
        <w:pStyle w:val="TextBody"/>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spacing w:before="0" w:after="0"/>
        <w:ind w:left="0" w:right="0" w:hanging="0"/>
        <w:rPr>
          <w:caps w:val="false"/>
          <w:smallCaps w:val="false"/>
        </w:rPr>
      </w:pPr>
      <w:r>
        <w:rPr>
          <w:caps w:val="false"/>
          <w:smallCaps w:val="false"/>
        </w:rPr>
        <w:t> </w:t>
      </w:r>
    </w:p>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interest rates and impacts of such changes on our results of operations, cash flows and the market value of our loans;</w:t>
            </w:r>
          </w:p>
        </w:tc>
      </w:tr>
    </w:tbl>
    <w:p>
      <w:pPr>
        <w:pStyle w:val="TextBody"/>
        <w:spacing w:before="0" w:after="0"/>
        <w:ind w:left="960" w:right="0" w:hanging="480"/>
        <w:rPr>
          <w:caps w:val="false"/>
          <w:smallCaps w:val="false"/>
        </w:rPr>
      </w:pPr>
      <w:r>
        <w:rPr>
          <w:caps w:val="false"/>
          <w:smallCaps w:val="false"/>
        </w:rPr>
        <w:t> </w:t>
      </w:r>
    </w:p>
    <w:tbl>
      <w:tblPr>
        <w:tblW w:w="7360" w:type="dxa"/>
        <w:jc w:val="left"/>
        <w:tblInd w:w="0" w:type="dxa"/>
        <w:tblCellMar>
          <w:top w:w="0" w:type="dxa"/>
          <w:left w:w="0" w:type="dxa"/>
          <w:bottom w:w="0" w:type="dxa"/>
          <w:right w:w="0" w:type="dxa"/>
        </w:tblCellMar>
      </w:tblPr>
      <w:tblGrid>
        <w:gridCol w:w="75"/>
        <w:gridCol w:w="170"/>
        <w:gridCol w:w="711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11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mismatches between our loans and our borrowings used to fund such loans;</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departure of any of the executive officers or key personnel supporting and assisting us from our Manager or its affiliates;</w:t>
            </w:r>
          </w:p>
        </w:tc>
      </w:tr>
    </w:tbl>
    <w:p>
      <w:pPr>
        <w:pStyle w:val="TextBody"/>
        <w:spacing w:before="0" w:after="0"/>
        <w:ind w:left="960" w:right="0" w:hanging="48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75"/>
        <w:gridCol w:w="170"/>
        <w:gridCol w:w="906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and changes in governmental regulations, tax law and rates, accounting guidance and similar matters;</w:t>
            </w:r>
          </w:p>
        </w:tc>
      </w:tr>
    </w:tbl>
    <w:p>
      <w:pPr>
        <w:pStyle w:val="TextBody"/>
        <w:spacing w:before="0" w:after="0"/>
        <w:ind w:left="960" w:right="0" w:hanging="480"/>
        <w:rPr>
          <w:caps w:val="false"/>
          <w:smallCaps w:val="false"/>
        </w:rPr>
      </w:pPr>
      <w:r>
        <w:rPr>
          <w:caps w:val="false"/>
          <w:smallCaps w:val="false"/>
        </w:rPr>
        <w:t> </w:t>
      </w:r>
    </w:p>
    <w:tbl>
      <w:tblPr>
        <w:tblW w:w="8770" w:type="dxa"/>
        <w:jc w:val="left"/>
        <w:tblInd w:w="0" w:type="dxa"/>
        <w:tblCellMar>
          <w:top w:w="0" w:type="dxa"/>
          <w:left w:w="0" w:type="dxa"/>
          <w:bottom w:w="0" w:type="dxa"/>
          <w:right w:w="0" w:type="dxa"/>
        </w:tblCellMar>
      </w:tblPr>
      <w:tblGrid>
        <w:gridCol w:w="75"/>
        <w:gridCol w:w="170"/>
        <w:gridCol w:w="852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52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exclusion or exemption from registration under the Investment Company Act;</w:t>
            </w:r>
          </w:p>
        </w:tc>
      </w:tr>
    </w:tbl>
    <w:p>
      <w:pPr>
        <w:pStyle w:val="TextBody"/>
        <w:spacing w:before="0" w:after="0"/>
        <w:ind w:left="960" w:right="0" w:hanging="480"/>
        <w:rPr>
          <w:caps w:val="false"/>
          <w:smallCaps w:val="false"/>
        </w:rPr>
      </w:pPr>
      <w:r>
        <w:rPr>
          <w:caps w:val="false"/>
          <w:smallCaps w:val="false"/>
        </w:rPr>
        <w:t> </w:t>
      </w:r>
    </w:p>
    <w:tbl>
      <w:tblPr>
        <w:tblW w:w="8335" w:type="dxa"/>
        <w:jc w:val="left"/>
        <w:tblInd w:w="0" w:type="dxa"/>
        <w:tblCellMar>
          <w:top w:w="0" w:type="dxa"/>
          <w:left w:w="0" w:type="dxa"/>
          <w:bottom w:w="0" w:type="dxa"/>
          <w:right w:w="0" w:type="dxa"/>
        </w:tblCellMar>
      </w:tblPr>
      <w:tblGrid>
        <w:gridCol w:w="75"/>
        <w:gridCol w:w="170"/>
        <w:gridCol w:w="809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0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qualify and maintain our qualification as a REIT for U.S. federal income tax purposes;</w:t>
            </w:r>
          </w:p>
        </w:tc>
      </w:tr>
    </w:tbl>
    <w:p>
      <w:pPr>
        <w:pStyle w:val="TextBody"/>
        <w:spacing w:before="0" w:after="0"/>
        <w:ind w:left="960" w:right="0" w:hanging="480"/>
        <w:rPr>
          <w:caps w:val="false"/>
          <w:smallCaps w:val="false"/>
        </w:rPr>
      </w:pPr>
      <w:r>
        <w:rPr>
          <w:caps w:val="false"/>
          <w:smallCaps w:val="false"/>
        </w:rPr>
        <w:t> </w:t>
      </w:r>
    </w:p>
    <w:tbl>
      <w:tblPr>
        <w:tblW w:w="7285" w:type="dxa"/>
        <w:jc w:val="left"/>
        <w:tblInd w:w="0" w:type="dxa"/>
        <w:tblCellMar>
          <w:top w:w="0" w:type="dxa"/>
          <w:left w:w="0" w:type="dxa"/>
          <w:bottom w:w="0" w:type="dxa"/>
          <w:right w:w="0" w:type="dxa"/>
        </w:tblCellMar>
      </w:tblPr>
      <w:tblGrid>
        <w:gridCol w:w="75"/>
        <w:gridCol w:w="170"/>
        <w:gridCol w:w="704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0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relating to our ability to make distributions to our stockholders in the future;</w:t>
            </w:r>
          </w:p>
        </w:tc>
      </w:tr>
    </w:tbl>
    <w:p>
      <w:pPr>
        <w:pStyle w:val="TextBody"/>
        <w:spacing w:before="0" w:after="0"/>
        <w:ind w:left="960" w:right="0" w:hanging="480"/>
        <w:rPr>
          <w:caps w:val="false"/>
          <w:smallCaps w:val="false"/>
        </w:rPr>
      </w:pPr>
      <w:r>
        <w:rPr>
          <w:caps w:val="false"/>
          <w:smallCaps w:val="false"/>
        </w:rPr>
        <w:t> </w:t>
      </w:r>
    </w:p>
    <w:tbl>
      <w:tblPr>
        <w:tblW w:w="3730" w:type="dxa"/>
        <w:jc w:val="left"/>
        <w:tblInd w:w="0" w:type="dxa"/>
        <w:tblCellMar>
          <w:top w:w="0" w:type="dxa"/>
          <w:left w:w="0" w:type="dxa"/>
          <w:bottom w:w="0" w:type="dxa"/>
          <w:right w:w="0" w:type="dxa"/>
        </w:tblCellMar>
      </w:tblPr>
      <w:tblGrid>
        <w:gridCol w:w="75"/>
        <w:gridCol w:w="170"/>
        <w:gridCol w:w="34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4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understanding of our competition; and</w:t>
            </w:r>
          </w:p>
        </w:tc>
      </w:tr>
    </w:tbl>
    <w:p>
      <w:pPr>
        <w:pStyle w:val="TextBody"/>
        <w:spacing w:before="0" w:after="0"/>
        <w:ind w:left="960" w:right="0" w:hanging="480"/>
        <w:rPr>
          <w:caps w:val="false"/>
          <w:smallCaps w:val="false"/>
        </w:rPr>
      </w:pPr>
      <w:r>
        <w:rPr>
          <w:caps w:val="false"/>
          <w:smallCaps w:val="false"/>
        </w:rPr>
        <w:t> </w:t>
      </w:r>
    </w:p>
    <w:tbl>
      <w:tblPr>
        <w:tblW w:w="9385" w:type="dxa"/>
        <w:jc w:val="left"/>
        <w:tblInd w:w="0" w:type="dxa"/>
        <w:tblCellMar>
          <w:top w:w="0" w:type="dxa"/>
          <w:left w:w="0" w:type="dxa"/>
          <w:bottom w:w="0" w:type="dxa"/>
          <w:right w:w="0" w:type="dxa"/>
        </w:tblCellMar>
      </w:tblPr>
      <w:tblGrid>
        <w:gridCol w:w="75"/>
        <w:gridCol w:w="170"/>
        <w:gridCol w:w="914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trends in our industry, interest rates, real estate values, the securities markets or the general economy; and</w:t>
            </w:r>
          </w:p>
        </w:tc>
      </w:tr>
    </w:tbl>
    <w:p>
      <w:pPr>
        <w:pStyle w:val="TextBody"/>
        <w:spacing w:before="0" w:after="0"/>
        <w:ind w:left="960" w:right="0" w:hanging="480"/>
        <w:rPr>
          <w:caps w:val="false"/>
          <w:smallCaps w:val="false"/>
        </w:rPr>
      </w:pPr>
      <w:r>
        <w:rPr>
          <w:caps w:val="false"/>
          <w:smallCaps w:val="false"/>
        </w:rPr>
        <w:t> </w:t>
      </w:r>
    </w:p>
    <w:tbl>
      <w:tblPr>
        <w:tblW w:w="8545" w:type="dxa"/>
        <w:jc w:val="left"/>
        <w:tblInd w:w="0" w:type="dxa"/>
        <w:tblCellMar>
          <w:top w:w="0" w:type="dxa"/>
          <w:left w:w="0" w:type="dxa"/>
          <w:bottom w:w="0" w:type="dxa"/>
          <w:right w:w="0" w:type="dxa"/>
        </w:tblCellMar>
      </w:tblPr>
      <w:tblGrid>
        <w:gridCol w:w="75"/>
        <w:gridCol w:w="170"/>
        <w:gridCol w:w="830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83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other risks, uncertainties and other factors we identify in this quarterly report on Form 10-Q.</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Available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recently-formed commercial real estate finance company.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Manager and its affiliates seek to originate real estate loans between $5 million and $200 million, generally with one- to five-year terms and amortization when terms exceed three years. We generally act as co-lenders in such transactions and intend to hold up to $30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a one to two year maturity are generally interest only loans.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our portfolio is comprised primarily of first mortgages to established multi-state or single-state cannabis operators or property owners. We consider cannabis operators to be established if they are state-licensed and are deemed to be operational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externally managed Maryland corporation that elected to be taxed as a REIT under Section 856 of the Code, commencing with our taxable year ending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rPr>
          <w:rFonts w:ascii="Times New Roman;Times;Serif" w:hAnsi="Times New Roman;Times;Serif"/>
          <w:b/>
          <w:i/>
          <w:caps w:val="false"/>
          <w:smallCaps w:val="false"/>
          <w:sz w:val="20"/>
        </w:rPr>
        <w:t>Revenues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as one operating segment and are primarily focused on financing senior secured loans and other types of loans for established state-licensed operators in the cannabis industry. These loans are generally held for investment and are secured by real estate, equipment, licenses and other assets of the borrowers to the extent permitted by the applicable laws and the regulations governing such borrowers.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revenue primarily in the form of interest income on loans. As of March 31, 2022 and December 31, 2021, approximately 63.4% and 53.2%, respectively, of our portfolio was comprised of floating rate loans, and 36.6% and 46.8% of our portfolio was comprised of fixed rate loans, respectively. As of March 31, 2022 and December 31, 2021, none of our loans earn interest at a variable rate tied to the London Inter-bank Offered Rate (“LIBOR”). Interest on our loans is generally payable monthly. The floating rate loans described above are variable based upon the prime rate plus an applicable margin, and in many cases, a prime rate floor. The prime rate was 3.25% for the period from January 1, 2022 through March 16, 2022, and increased to 3.50% effective March 17, 2022.</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of our loans and any accrued but unpaid interest thereon generally become due at the applicable maturity date. In some cases, our interest income includes a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and recognized upon repayment of the outstanding principal. We also generate revenue from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GAAP.</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Expenses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operating expense is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pStyle w:val="TextBody"/>
        <w:spacing w:before="0" w:after="0"/>
        <w:ind w:left="960" w:right="0" w:hanging="480"/>
        <w:rPr>
          <w:caps w:val="false"/>
          <w:smallCaps w:val="false"/>
        </w:rPr>
      </w:pPr>
      <w:r>
        <w:rPr>
          <w:caps w:val="false"/>
          <w:smallCaps w:val="false"/>
        </w:rPr>
        <w:t> </w:t>
      </w:r>
    </w:p>
    <w:tbl>
      <w:tblPr>
        <w:tblW w:w="3303" w:type="dxa"/>
        <w:jc w:val="left"/>
        <w:tblInd w:w="0" w:type="dxa"/>
        <w:tblCellMar>
          <w:top w:w="0" w:type="dxa"/>
          <w:left w:w="0" w:type="dxa"/>
          <w:bottom w:w="0" w:type="dxa"/>
          <w:right w:w="0" w:type="dxa"/>
        </w:tblCellMar>
      </w:tblPr>
      <w:tblGrid>
        <w:gridCol w:w="38"/>
        <w:gridCol w:w="170"/>
        <w:gridCol w:w="309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309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organizational and offering expenses;</w:t>
            </w:r>
          </w:p>
        </w:tc>
      </w:tr>
    </w:tbl>
    <w:p>
      <w:pPr>
        <w:pStyle w:val="TextBody"/>
        <w:spacing w:before="0" w:after="0"/>
        <w:ind w:left="960" w:right="0" w:hanging="480"/>
        <w:rPr>
          <w:caps w:val="false"/>
          <w:smallCaps w:val="false"/>
        </w:rPr>
      </w:pPr>
      <w:r>
        <w:rPr>
          <w:caps w:val="false"/>
          <w:smallCaps w:val="false"/>
        </w:rPr>
        <w:t> </w:t>
      </w:r>
    </w:p>
    <w:tbl>
      <w:tblPr>
        <w:tblW w:w="2643" w:type="dxa"/>
        <w:jc w:val="left"/>
        <w:tblInd w:w="0" w:type="dxa"/>
        <w:tblCellMar>
          <w:top w:w="0" w:type="dxa"/>
          <w:left w:w="0" w:type="dxa"/>
          <w:bottom w:w="0" w:type="dxa"/>
          <w:right w:w="0" w:type="dxa"/>
        </w:tblCellMar>
      </w:tblPr>
      <w:tblGrid>
        <w:gridCol w:w="38"/>
        <w:gridCol w:w="170"/>
        <w:gridCol w:w="2435"/>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243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valuation expenses;</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payable to third parties relating to, or associated with, making loans and valuing loans (including third-party valuation firms);</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associated with investor relations and marketing efforts (including attendance at investment conferences and similar events);</w:t>
            </w:r>
          </w:p>
        </w:tc>
      </w:tr>
    </w:tbl>
    <w:p>
      <w:pPr>
        <w:pStyle w:val="TextBody"/>
        <w:spacing w:before="0" w:after="0"/>
        <w:ind w:left="960" w:right="0" w:hanging="480"/>
        <w:rPr>
          <w:caps w:val="false"/>
          <w:smallCaps w:val="false"/>
        </w:rPr>
      </w:pPr>
      <w:r>
        <w:rPr>
          <w:caps w:val="false"/>
          <w:smallCaps w:val="false"/>
        </w:rPr>
        <w:t> </w:t>
      </w:r>
    </w:p>
    <w:tbl>
      <w:tblPr>
        <w:tblW w:w="2958" w:type="dxa"/>
        <w:jc w:val="left"/>
        <w:tblInd w:w="0" w:type="dxa"/>
        <w:tblCellMar>
          <w:top w:w="0" w:type="dxa"/>
          <w:left w:w="0" w:type="dxa"/>
          <w:bottom w:w="0" w:type="dxa"/>
          <w:right w:w="0" w:type="dxa"/>
        </w:tblCellMar>
      </w:tblPr>
      <w:tblGrid>
        <w:gridCol w:w="38"/>
        <w:gridCol w:w="170"/>
        <w:gridCol w:w="2750"/>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275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and state registration fees;</w:t>
            </w:r>
          </w:p>
        </w:tc>
      </w:tr>
    </w:tbl>
    <w:p>
      <w:pPr>
        <w:pStyle w:val="TextBody"/>
        <w:spacing w:before="0" w:after="0"/>
        <w:ind w:left="960" w:right="0" w:hanging="480"/>
        <w:rPr>
          <w:caps w:val="false"/>
          <w:smallCaps w:val="false"/>
        </w:rPr>
      </w:pPr>
      <w:r>
        <w:rPr>
          <w:caps w:val="false"/>
          <w:smallCaps w:val="false"/>
        </w:rPr>
        <w:t> </w:t>
      </w:r>
    </w:p>
    <w:tbl>
      <w:tblPr>
        <w:tblW w:w="2620" w:type="dxa"/>
        <w:jc w:val="left"/>
        <w:tblInd w:w="0" w:type="dxa"/>
        <w:tblCellMar>
          <w:top w:w="0" w:type="dxa"/>
          <w:left w:w="0" w:type="dxa"/>
          <w:bottom w:w="0" w:type="dxa"/>
          <w:right w:w="0" w:type="dxa"/>
        </w:tblCellMar>
      </w:tblPr>
      <w:tblGrid>
        <w:gridCol w:w="75"/>
        <w:gridCol w:w="170"/>
        <w:gridCol w:w="237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3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exchange listing fees;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23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3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state and local taxes;</w:t>
            </w:r>
          </w:p>
        </w:tc>
      </w:tr>
    </w:tbl>
    <w:p>
      <w:pPr>
        <w:pStyle w:val="TextBody"/>
        <w:spacing w:before="0" w:after="0"/>
        <w:ind w:left="960" w:right="0" w:hanging="48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75"/>
        <w:gridCol w:w="170"/>
        <w:gridCol w:w="341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4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directors’ fees and expenses;</w:t>
            </w:r>
          </w:p>
        </w:tc>
      </w:tr>
    </w:tbl>
    <w:p>
      <w:pPr>
        <w:pStyle w:val="TextBody"/>
        <w:spacing w:before="0" w:after="0"/>
        <w:ind w:left="960" w:right="0" w:hanging="480"/>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75"/>
        <w:gridCol w:w="170"/>
        <w:gridCol w:w="200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00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commissions;</w:t>
            </w:r>
          </w:p>
        </w:tc>
      </w:tr>
    </w:tbl>
    <w:p>
      <w:pPr>
        <w:pStyle w:val="TextBody"/>
        <w:spacing w:before="0" w:after="0"/>
        <w:ind w:left="960" w:right="0" w:hanging="480"/>
        <w:rPr>
          <w:caps w:val="false"/>
          <w:smallCaps w:val="false"/>
        </w:rPr>
      </w:pPr>
      <w:r>
        <w:rPr>
          <w:caps w:val="false"/>
          <w:smallCaps w:val="false"/>
        </w:rPr>
        <w:t> </w:t>
      </w:r>
    </w:p>
    <w:tbl>
      <w:tblPr>
        <w:tblW w:w="5485" w:type="dxa"/>
        <w:jc w:val="left"/>
        <w:tblInd w:w="0" w:type="dxa"/>
        <w:tblCellMar>
          <w:top w:w="0" w:type="dxa"/>
          <w:left w:w="0" w:type="dxa"/>
          <w:bottom w:w="0" w:type="dxa"/>
          <w:right w:w="0" w:type="dxa"/>
        </w:tblCellMar>
      </w:tblPr>
      <w:tblGrid>
        <w:gridCol w:w="75"/>
        <w:gridCol w:w="170"/>
        <w:gridCol w:w="524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52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proxy statements, stockholders’ reports and notices; and</w:t>
            </w:r>
          </w:p>
        </w:tc>
      </w:tr>
    </w:tbl>
    <w:p>
      <w:pPr>
        <w:pStyle w:val="TextBody"/>
        <w:spacing w:before="0" w:after="0"/>
        <w:ind w:left="960" w:right="0" w:hanging="48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170"/>
        <w:gridCol w:w="73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38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preparing government filings, including periodic and current reports with the SEC.</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Maryland corporation that elected to be taxed as a REIT under the Code, commencing with our taxable year ending December 31, 2021. We believe that our method of operation will enable us to continue to qualify as a REIT. However, no assurances can be given that our beliefs or expectations will be fulfilled, since qualification as a REIT depends on us satisfying numerous asset, income and distribution tests which depend, in part, on our operating results.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a REIT, we must meet a number of organizational and operational requirements, including a requirement that we distribute annually to our stockholders at least 90% of our REIT taxable income prior to the deduction for dividends paid and our net capital gain.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Required Distributions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accrue excise tax on estimated excess taxable income as such taxable income is earned. The annual expense is calculated in accordance with applicable tax regulations. Excise tax expense is included in the line item, income tax expense.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Topic 740,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well documented and supported as of March 31, 2022. Based on our evaluation, there is no reserve for any uncertain income tax positions. Accrued interest and penalties, if any, are included within other liabilities in the balance sheets.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Impacting our Operating Results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Developments During the First Quarter of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Updates to Our Loan Portfolio during the First Quarter of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quarter ended March 31, 2022, we closed credit facilities with three new borrowers which have aggregate commitments of $75 million, $57.5 million of which was advanced at closing. Additionally, we advanced $29.2 million in aggregate principal on existing credit facilities to seven different borrowers.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Subsequent Updates to Our Loan Portfolio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2022 to May 12, 2022, we funded $25.3 million of principal of which $17 million and $8.3 million was advanced to new borrowers and existing borrowers,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of Underwriters’ Over-allotment Option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2022, the underwriters in our initial public offering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Declared Per 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January 1, 2022 through March 31, 2022, we declared a cash dividend of $0.40 per share of our common stock, relating to the first quarter of 2022, which was paid on April 14, 2022 to stockholders of record as of the close of business on March 31, 2022. The total amount of the cash dividend payment was $7,063,165.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these dividends is not indicative of our ability to pay such dividends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COVID-19</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spread of a novel strain of COVID-19 has caused significant business disruptions in the United States beginning in the first quarter of 2020 and has resulted in governmental authorities implementing numerous measures to try to contain the virus, such as quarantines, shelter-in-place or total lock-down orders and business limitations and shutdowns (subject to exceptions for certain “essential” operations and businesses). Over the course of the COVID-19 pandemic, medical cannabis companies have been deemed “essential” by almost all of states with legalized cannabis and stay-at-home orders. Consequently, the impact of the COVID-19 pandemic and the related regulatory and private sector response on our financial and operating results for the period ended December 31, 2021 was somewhat mitigated as all of our borrowers were permitted to continue to operate during this pandemic and we have not experienced any payment default by our borrowers nor have we made any concessions on any payments due, in each case, related to the COVID-19 pandemic.</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the full extent of the economic impact of the business disruptions caused by COVID-19 is uncertain.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As a result, the COVID-19 pandemic is negatively impacting almost every industry directly or indirectly, including the regulated cannabis industry. Although some of these measures have been lifted or scaled back, a recent resurgence of COVID-19 in certain parts of the world, including the United States, has resulted in the re-imposition of certain restrictions and may lead to more restrictions to reduce the spread of COVID-19. The extent of any effect that these disruptions may have on our operations and financial performance will depend on future developments, including possible impacts on the performance of our loans, general business activity, and ability to generate revenue, which cannot be determined.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30,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commenced operations on March 30, 2021 and, therefore, have no period to compare results for the period from March 30, 2021 (inception) to March 31, 2021 as there were no operations. Our net income allocable to our common stockholders for the three months ended March 31, 2022 was approximately $7.8 million, or $0.44 per basic weighted average common share. Net income of approximately $7.8 million for the three months ended March 31, 2022, was comprised of approximately $9.8 million of interest income, offset by management fees of $289,362, incentive fees of $382,143 (and collectively, management and incentive fees of $671,505), general and administrative expenses of $556,142, change in the provision for current expected credit losses of $51,343, amortization of deferred debt issuance costs of $72,268, professional fees of $556,902, and stock based compensation expense of $120,940.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presented, we incurred Base Management Fees payable to our Manager of $289,362, which was net of a Base Management Fee Rebate of $717,750. Our Manager has incurred general administrative expenses on our behalf and was reimbursed approximately $411,521. Additionally, we incurred Incentive Fees of $382,143 which was payable to the Manager as of March 31, 2022.</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we recorded a provision for current expected credit losses of $51.343, resulting in a total current expected credit loss reserve of $199,292 on the consolidated balance sheet as of such date. The current expected credit loss reserve represents six basis points of our total loans held at carrying value commitment balance of approximately $321.1 million and was bifurcated between (i) the current expected credit loss reserve (contra-asset) related to outstanding balances on loans held at carrying value of $182,838 and (ii) a liability for unfunded commitments of $16,454.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Portfolio</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our portfolio included 22 and 21 loans held for investment of approximately $278.8 million and $197.0 million of loans receivable, respectively. The aggregate originated commitment under these loans was approximately $321.1 million and $235.1 million and outstanding principal was approximately $282.7 million and $200.6 million as of March 31, 2022 and December 31, 2021, respectively. As of March 31, 2022 and December 31, 2021, our loan portfolio had a weighted-average yield-to-maturity internal rate of return (“YTM IRR”) of 17.2% and 18.6%, respectively and was secured by real estate and, with respect to certain of our loans, substantially all assets in the borrowers and certain of their subsidiaries, including equipment, receivables, and licenses. YTM IRR is calculated using various inputs, including (i) cash and payment-in-kind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the Company did not have any loans held for investment with floating interest rates tied to LIBOR. As of March 31, 2022 and December 31, 2021, approximately 63.4% and 53.2%, respectively, of its portfolio was comprised of floating rate loans that pay interest at the prime rate plus an applicable margin, and were subject to a prime rate floor. The prime rate was 3.25% for the period from January 1, 2022 through March 16, 2022, and increased to 3.50% effective March 17, 2022.The below summarizes our portfolio as of March 31, 2022:</w:t>
      </w:r>
    </w:p>
    <w:p>
      <w:pPr>
        <w:pStyle w:val="TextBody"/>
        <w:spacing w:before="0" w:after="0"/>
        <w:ind w:left="0" w:right="0" w:hanging="0"/>
        <w:jc w:val="both"/>
        <w:rPr>
          <w:caps w:val="false"/>
          <w:smallCaps w:val="false"/>
        </w:rPr>
      </w:pPr>
      <w:r>
        <w:rPr>
          <w:caps w:val="false"/>
          <w:smallCaps w:val="false"/>
        </w:rPr>
        <w:t> </w:t>
      </w:r>
    </w:p>
    <w:tbl>
      <w:tblPr>
        <w:tblW w:w="12110" w:type="dxa"/>
        <w:jc w:val="left"/>
        <w:tblInd w:w="0" w:type="dxa"/>
        <w:tblCellMar>
          <w:top w:w="0" w:type="dxa"/>
          <w:left w:w="0" w:type="dxa"/>
          <w:bottom w:w="0" w:type="dxa"/>
          <w:right w:w="0" w:type="dxa"/>
        </w:tblCellMar>
      </w:tblPr>
      <w:tblGrid>
        <w:gridCol w:w="575"/>
        <w:gridCol w:w="60"/>
        <w:gridCol w:w="890"/>
        <w:gridCol w:w="60"/>
        <w:gridCol w:w="935"/>
        <w:gridCol w:w="60"/>
        <w:gridCol w:w="63"/>
        <w:gridCol w:w="1292"/>
        <w:gridCol w:w="60"/>
        <w:gridCol w:w="60"/>
        <w:gridCol w:w="60"/>
        <w:gridCol w:w="1220"/>
        <w:gridCol w:w="60"/>
        <w:gridCol w:w="60"/>
        <w:gridCol w:w="60"/>
        <w:gridCol w:w="1220"/>
        <w:gridCol w:w="60"/>
        <w:gridCol w:w="60"/>
        <w:gridCol w:w="100"/>
        <w:gridCol w:w="805"/>
        <w:gridCol w:w="215"/>
        <w:gridCol w:w="60"/>
        <w:gridCol w:w="60"/>
        <w:gridCol w:w="1100"/>
        <w:gridCol w:w="60"/>
        <w:gridCol w:w="60"/>
        <w:gridCol w:w="875"/>
        <w:gridCol w:w="60"/>
        <w:gridCol w:w="60"/>
        <w:gridCol w:w="860"/>
        <w:gridCol w:w="60"/>
        <w:gridCol w:w="60"/>
        <w:gridCol w:w="70"/>
        <w:gridCol w:w="520"/>
        <w:gridCol w:w="230"/>
      </w:tblGrid>
      <w:tr>
        <w:trPr/>
        <w:tc>
          <w:tcPr>
            <w:tcW w:w="5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b/>
              </w:rPr>
            </w:pPr>
            <w:r>
              <w:rPr>
                <w:b/>
              </w:rPr>
              <w:t>Funding</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b/>
              </w:rPr>
            </w:pPr>
            <w:r>
              <w:rPr>
                <w:b/>
              </w:rPr>
              <w:t>Maturity</w:t>
            </w:r>
          </w:p>
        </w:tc>
        <w:tc>
          <w:tcPr>
            <w:tcW w:w="60" w:type="dxa"/>
            <w:tcBorders/>
            <w:shd w:fill="auto" w:val="clear"/>
            <w:vAlign w:val="center"/>
          </w:tcPr>
          <w:p>
            <w:pPr>
              <w:pStyle w:val="TableContents"/>
              <w:spacing w:before="0" w:after="283"/>
              <w:rPr/>
            </w:pPr>
            <w:r>
              <w:rPr/>
              <w:t> </w:t>
            </w:r>
          </w:p>
        </w:tc>
        <w:tc>
          <w:tcPr>
            <w:tcW w:w="1355" w:type="dxa"/>
            <w:gridSpan w:val="2"/>
            <w:tcBorders/>
            <w:shd w:fill="auto" w:val="clear"/>
            <w:vAlign w:val="center"/>
          </w:tcPr>
          <w:p>
            <w:pPr>
              <w:pStyle w:val="TableContents"/>
              <w:spacing w:before="0" w:after="283"/>
              <w:jc w:val="center"/>
              <w:rPr>
                <w:b/>
              </w:rPr>
            </w:pPr>
            <w:r>
              <w:rPr>
                <w:b/>
              </w:rPr>
              <w:t>Total</w:t>
              <w:br/>
              <w:t>Commitment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b/>
              </w:rPr>
            </w:pPr>
            <w:r>
              <w:rPr>
                <w:b/>
              </w:rPr>
              <w:t>Principal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shd w:fill="auto" w:val="clear"/>
            <w:vAlign w:val="center"/>
          </w:tcPr>
          <w:p>
            <w:pPr>
              <w:pStyle w:val="TableContents"/>
              <w:spacing w:before="0" w:after="283"/>
              <w:jc w:val="center"/>
              <w:rPr>
                <w:b/>
              </w:rPr>
            </w:pPr>
            <w:r>
              <w:rPr>
                <w:b/>
              </w:rPr>
              <w:t>Carrying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shd w:fill="auto" w:val="clear"/>
            <w:vAlign w:val="center"/>
          </w:tcPr>
          <w:p>
            <w:pPr>
              <w:pStyle w:val="TableContents"/>
              <w:spacing w:before="0" w:after="283"/>
              <w:jc w:val="center"/>
              <w:rPr>
                <w:b/>
              </w:rPr>
            </w:pPr>
            <w:r>
              <w:rPr>
                <w:b/>
              </w:rPr>
              <w:t>Our Loan</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283"/>
              <w:jc w:val="center"/>
              <w:rPr>
                <w:b/>
              </w:rPr>
            </w:pPr>
            <w:r>
              <w:rPr>
                <w:b/>
              </w:rPr>
              <w:t>Future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20" w:type="dxa"/>
            <w:gridSpan w:val="2"/>
            <w:tcBorders/>
            <w:shd w:fill="auto" w:val="clear"/>
            <w:vAlign w:val="center"/>
          </w:tcPr>
          <w:p>
            <w:pPr>
              <w:pStyle w:val="TableContents"/>
              <w:spacing w:before="0" w:after="283"/>
              <w:jc w:val="center"/>
              <w:rPr>
                <w:b/>
              </w:rPr>
            </w:pPr>
            <w:r>
              <w:rPr>
                <w:b/>
              </w:rPr>
              <w:t>Periodic</w:t>
              <w:br/>
              <w:t>Payment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0" w:type="dxa"/>
            <w:gridSpan w:val="2"/>
            <w:tcBorders/>
            <w:shd w:fill="auto" w:val="clear"/>
            <w:vAlign w:val="center"/>
          </w:tcPr>
          <w:p>
            <w:pPr>
              <w:pStyle w:val="TableContents"/>
              <w:spacing w:before="0" w:after="283"/>
              <w:jc w:val="center"/>
              <w:rPr>
                <w:b/>
              </w:rPr>
            </w:pPr>
            <w:r>
              <w:rPr>
                <w:b/>
              </w:rPr>
              <w:t>YTM</w:t>
              <w:br/>
              <w:t>IRR</w:t>
            </w:r>
          </w:p>
        </w:tc>
        <w:tc>
          <w:tcPr>
            <w:tcW w:w="230" w:type="dxa"/>
            <w:tcBorders/>
            <w:shd w:fill="auto" w:val="clear"/>
            <w:vAlign w:val="center"/>
          </w:tcPr>
          <w:p>
            <w:pPr>
              <w:pStyle w:val="TableContents"/>
              <w:spacing w:before="0" w:after="283"/>
              <w:rPr/>
            </w:pPr>
            <w:r>
              <w:rPr/>
              <w:t> </w:t>
            </w:r>
          </w:p>
        </w:tc>
      </w:tr>
      <w:tr>
        <w:trPr/>
        <w:tc>
          <w:tcPr>
            <w:tcW w:w="575" w:type="dxa"/>
            <w:tcBorders>
              <w:bottom w:val="single" w:sz="12" w:space="0" w:color="000000"/>
            </w:tcBorders>
            <w:shd w:fill="auto" w:val="clear"/>
            <w:tcMar>
              <w:bottom w:w="28" w:type="dxa"/>
            </w:tcMar>
            <w:vAlign w:val="center"/>
          </w:tcPr>
          <w:p>
            <w:pPr>
              <w:pStyle w:val="TableContents"/>
              <w:spacing w:before="0" w:after="283"/>
              <w:jc w:val="left"/>
              <w:rPr>
                <w:b/>
              </w:rPr>
            </w:pPr>
            <w:r>
              <w:rPr>
                <w:b/>
              </w:rPr>
              <w:t>Loan</w:t>
            </w:r>
          </w:p>
        </w:tc>
        <w:tc>
          <w:tcPr>
            <w:tcW w:w="60" w:type="dxa"/>
            <w:tcBorders/>
            <w:shd w:fill="auto" w:val="clear"/>
            <w:vAlign w:val="center"/>
          </w:tcPr>
          <w:p>
            <w:pPr>
              <w:pStyle w:val="TableContents"/>
              <w:spacing w:before="0" w:after="283"/>
              <w:rPr/>
            </w:pPr>
            <w:r>
              <w:rPr/>
              <w:t> </w:t>
            </w:r>
          </w:p>
        </w:tc>
        <w:tc>
          <w:tcPr>
            <w:tcW w:w="890" w:type="dxa"/>
            <w:tcBorders>
              <w:bottom w:val="single" w:sz="12" w:space="0" w:color="000000"/>
            </w:tcBorders>
            <w:shd w:fill="auto" w:val="clear"/>
            <w:tcMar>
              <w:bottom w:w="28" w:type="dxa"/>
            </w:tcMar>
            <w:vAlign w:val="center"/>
          </w:tcPr>
          <w:p>
            <w:pPr>
              <w:pStyle w:val="TableContents"/>
              <w:spacing w:before="0" w:after="283"/>
              <w:jc w:val="center"/>
              <w:rPr>
                <w:b/>
              </w:rPr>
            </w:pPr>
            <w:r>
              <w:rPr>
                <w:b/>
              </w:rPr>
              <w:t>Date (1)</w:t>
            </w:r>
          </w:p>
        </w:tc>
        <w:tc>
          <w:tcPr>
            <w:tcW w:w="60" w:type="dxa"/>
            <w:tcBorders/>
            <w:shd w:fill="auto" w:val="clear"/>
            <w:vAlign w:val="center"/>
          </w:tcPr>
          <w:p>
            <w:pPr>
              <w:pStyle w:val="TableContents"/>
              <w:spacing w:before="0" w:after="283"/>
              <w:rPr/>
            </w:pPr>
            <w:r>
              <w:rPr/>
              <w:t> </w:t>
            </w:r>
          </w:p>
        </w:tc>
        <w:tc>
          <w:tcPr>
            <w:tcW w:w="935" w:type="dxa"/>
            <w:tcBorders>
              <w:bottom w:val="single" w:sz="12" w:space="0" w:color="000000"/>
            </w:tcBorders>
            <w:shd w:fill="auto" w:val="clear"/>
            <w:tcMar>
              <w:bottom w:w="28" w:type="dxa"/>
            </w:tcMar>
            <w:vAlign w:val="center"/>
          </w:tcPr>
          <w:p>
            <w:pPr>
              <w:pStyle w:val="TableContents"/>
              <w:spacing w:before="0" w:after="283"/>
              <w:jc w:val="center"/>
              <w:rPr>
                <w:b/>
              </w:rPr>
            </w:pPr>
            <w:r>
              <w:rPr>
                <w:b/>
              </w:rPr>
              <w:t>Date (2)</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Balance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8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Portfolio</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Fundings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bottom w:val="single" w:sz="12" w:space="0" w:color="000000"/>
            </w:tcBorders>
            <w:shd w:fill="auto" w:val="clear"/>
            <w:tcMar>
              <w:bottom w:w="28" w:type="dxa"/>
            </w:tcMar>
            <w:vAlign w:val="center"/>
          </w:tcPr>
          <w:p>
            <w:pPr>
              <w:pStyle w:val="TableContents"/>
              <w:spacing w:before="0" w:after="283"/>
              <w:jc w:val="center"/>
              <w:rPr>
                <w:b/>
              </w:rPr>
            </w:pPr>
            <w:r>
              <w:rPr>
                <w:b/>
              </w:rPr>
              <w:t>Interest Rate (4)</w:t>
            </w:r>
          </w:p>
        </w:tc>
        <w:tc>
          <w:tcPr>
            <w:tcW w:w="60" w:type="dxa"/>
            <w:tcBorders/>
            <w:shd w:fill="auto" w:val="clear"/>
            <w:vAlign w:val="center"/>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(6)</w:t>
            </w:r>
          </w:p>
        </w:tc>
        <w:tc>
          <w:tcPr>
            <w:tcW w:w="230" w:type="dxa"/>
            <w:tcBorders/>
            <w:shd w:fill="auto" w:val="clear"/>
            <w:vAlign w:val="center"/>
          </w:tcPr>
          <w:p>
            <w:pPr>
              <w:pStyle w:val="TableContents"/>
              <w:spacing w:before="0" w:after="283"/>
              <w:rPr/>
            </w:pPr>
            <w:r>
              <w:rPr/>
              <w:t> </w:t>
            </w:r>
          </w:p>
        </w:tc>
      </w:tr>
      <w:tr>
        <w:trPr/>
        <w:tc>
          <w:tcPr>
            <w:tcW w:w="575" w:type="dxa"/>
            <w:tcBorders/>
            <w:shd w:fill="CCEEFF" w:val="clear"/>
            <w:vAlign w:val="center"/>
          </w:tcPr>
          <w:p>
            <w:pPr>
              <w:pStyle w:val="TableContents"/>
              <w:spacing w:before="0" w:after="283"/>
              <w:jc w:val="left"/>
              <w:rPr>
                <w:b/>
              </w:rPr>
            </w:pPr>
            <w:r>
              <w:rPr>
                <w:b/>
              </w:rPr>
              <w:t>1</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12/31/2019</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12/31/2022</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800,000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537,500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556,808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0.2</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21.3</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2</w:t>
            </w:r>
            <w:r>
              <w:rPr>
                <w:rFonts w:ascii="Times New Roman;Times;Serif" w:hAnsi="Times New Roman;Times;Serif"/>
                <w:b/>
                <w:position w:val="7"/>
                <w:sz w:val="16"/>
                <w:sz w:val="20"/>
              </w:rPr>
              <w:t>(8)</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7/2/2020</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5/30/2023</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30,000,000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30,000,000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29,482,094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10.6</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10.07%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13.1</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3</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11/19/2020</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1/31/2025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7,250,000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6,957,500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6,717,831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2.4</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+ 11.00%</w:t>
            </w:r>
            <w:r>
              <w:rPr>
                <w:rFonts w:ascii="Times New Roman;Times;Serif" w:hAnsi="Times New Roman;Times;Serif"/>
                <w:position w:val="7"/>
                <w:sz w:val="16"/>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17.7</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4</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3/5/2021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12/31/2024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29,175,000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29,333,311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29,183,975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10.5</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+ 6.65%</w:t>
            </w:r>
            <w:r>
              <w:rPr>
                <w:rFonts w:ascii="Times New Roman;Times;Serif" w:hAnsi="Times New Roman;Times;Serif"/>
                <w:position w:val="7"/>
                <w:sz w:val="16"/>
                <w:sz w:val="20"/>
              </w:rPr>
              <w:t xml:space="preserve">(7) </w:t>
            </w:r>
            <w:r>
              <w:rPr>
                <w:rFonts w:ascii="Times New Roman;Times;Serif" w:hAnsi="Times New Roman;Times;Serif"/>
                <w:sz w:val="20"/>
              </w:rPr>
              <w:t>Cash, 2.5%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13.7</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5</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3/25/2021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3/31/2024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19,014,719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19,321,082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18,737,439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6.7</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13.625% Cash, 2.75%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20.7</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rFonts w:ascii="Times New Roman;Times;Serif" w:hAnsi="Times New Roman;Times;Serif"/>
                <w:b/>
                <w:sz w:val="20"/>
              </w:rPr>
            </w:pPr>
            <w:r>
              <w:rPr>
                <w:rFonts w:ascii="Times New Roman;Times;Serif" w:hAnsi="Times New Roman;Times;Serif"/>
                <w:b/>
                <w:sz w:val="20"/>
              </w:rPr>
              <w:t>6</w:t>
            </w:r>
            <w:r>
              <w:rPr>
                <w:rFonts w:ascii="Times New Roman;Times;Serif" w:hAnsi="Times New Roman;Times;Serif"/>
                <w:b/>
                <w:position w:val="7"/>
                <w:sz w:val="16"/>
                <w:sz w:val="20"/>
              </w:rPr>
              <w:t>(9)</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4/19/2021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4/28/2023</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12,900,000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11,061,997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11,061,997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4.0</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1,959,952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19.85%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25.3</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7</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4/19/2021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4/28/2023</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3,500,000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0.5</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+ 12.25%</w:t>
            </w:r>
            <w:r>
              <w:rPr>
                <w:rFonts w:ascii="Times New Roman;Times;Serif" w:hAnsi="Times New Roman;Times;Serif"/>
                <w:position w:val="7"/>
                <w:sz w:val="16"/>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17.6</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8</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5/28/2021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5/31/2025</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12,900,000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13,235,127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13,235,127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4.7</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+ 10.75%</w:t>
            </w:r>
            <w:r>
              <w:rPr>
                <w:rFonts w:ascii="Times New Roman;Times;Serif" w:hAnsi="Times New Roman;Times;Serif"/>
                <w:position w:val="7"/>
                <w:sz w:val="16"/>
                <w:sz w:val="20"/>
              </w:rPr>
              <w:t xml:space="preserve">(7) </w:t>
            </w:r>
            <w:r>
              <w:rPr>
                <w:rFonts w:ascii="Times New Roman;Times;Serif" w:hAnsi="Times New Roman;Times;Serif"/>
                <w:sz w:val="20"/>
              </w:rPr>
              <w:t>Cash, 4% PIK</w:t>
            </w:r>
            <w:r>
              <w:rPr>
                <w:rFonts w:ascii="Times New Roman;Times;Serif" w:hAnsi="Times New Roman;Times;Serif"/>
                <w:position w:val="7"/>
                <w:sz w:val="16"/>
                <w:sz w:val="20"/>
              </w:rPr>
              <w:t>(10)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20.1</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9</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8/20/2021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2/20/2024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6,000,000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4,500,000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4,492,440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1.6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+ 9.00%</w:t>
            </w:r>
            <w:r>
              <w:rPr>
                <w:rFonts w:ascii="Times New Roman;Times;Serif" w:hAnsi="Times New Roman;Times;Serif"/>
                <w:position w:val="7"/>
                <w:sz w:val="16"/>
                <w:sz w:val="20"/>
              </w:rPr>
              <w:t>(7)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13.5</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10</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8/24/2021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8/30/2024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25,000,000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19,388,944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19,150,780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6.9</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5,714,286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 Cash, 1%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16.0</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11</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9/1/2021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9/1/2024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9,500,000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9,599,451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9,446,169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3.4</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+ 9.25%</w:t>
            </w:r>
            <w:r>
              <w:rPr>
                <w:rFonts w:ascii="Times New Roman;Times;Serif" w:hAnsi="Times New Roman;Times;Serif"/>
                <w:position w:val="7"/>
                <w:sz w:val="16"/>
                <w:sz w:val="20"/>
              </w:rPr>
              <w:t xml:space="preserve">(7) </w:t>
            </w:r>
            <w:r>
              <w:rPr>
                <w:rFonts w:ascii="Times New Roman;Times;Serif" w:hAnsi="Times New Roman;Times;Serif"/>
                <w:sz w:val="20"/>
              </w:rPr>
              <w:t>Cash, 2%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17.7</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12</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9/3/2021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6/30/2024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15,000,000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15,263,207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15,263,207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5.5</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+ 10.75%</w:t>
            </w:r>
            <w:r>
              <w:rPr>
                <w:rFonts w:ascii="Times New Roman;Times;Serif" w:hAnsi="Times New Roman;Times;Serif"/>
                <w:position w:val="7"/>
                <w:sz w:val="16"/>
                <w:sz w:val="20"/>
              </w:rPr>
              <w:t xml:space="preserve">(7) </w:t>
            </w:r>
            <w:r>
              <w:rPr>
                <w:rFonts w:ascii="Times New Roman;Times;Serif" w:hAnsi="Times New Roman;Times;Serif"/>
                <w:sz w:val="20"/>
              </w:rPr>
              <w:t>Cash, 3%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19.5</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13</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9/20/2021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9/30/2024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470,411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392,009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392,009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0.1</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21.4</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14</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9/30/2021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9/30/2024</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20,000,000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20,203,076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19,702,711</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7.1</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+ 8.75%</w:t>
            </w:r>
            <w:r>
              <w:rPr>
                <w:rFonts w:ascii="Times New Roman;Times;Serif" w:hAnsi="Times New Roman;Times;Serif"/>
                <w:position w:val="7"/>
                <w:sz w:val="16"/>
                <w:sz w:val="20"/>
              </w:rPr>
              <w:t xml:space="preserve">(7) </w:t>
            </w:r>
            <w:r>
              <w:rPr>
                <w:rFonts w:ascii="Times New Roman;Times;Serif" w:hAnsi="Times New Roman;Times;Serif"/>
                <w:sz w:val="20"/>
              </w:rPr>
              <w:t>Cash, 2%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17.6</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15</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11/8/2021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10/31/2024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20,000,000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12,000,000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11,739,430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4.2</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8,000,000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13.00%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18.5</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16</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11/22/2021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11/22/2022</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10,600,000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10,600,000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10,510,054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3.8</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+ 7.00%</w:t>
            </w:r>
            <w:r>
              <w:rPr>
                <w:rFonts w:ascii="Times New Roman;Times;Serif" w:hAnsi="Times New Roman;Times;Serif"/>
                <w:position w:val="7"/>
                <w:sz w:val="16"/>
                <w:sz w:val="20"/>
              </w:rPr>
              <w:t>(7)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12.6</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17</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12/27/2021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12/27/2026</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5,000,000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5,000,000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1.8</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15% Cash, 2.5%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19.3</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18</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12/29/2021</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12/29/2023</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6,000,000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3,646,200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3,567,542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1.3</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2,400,000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10.50% Cash, 1% to 5% PIK</w:t>
            </w:r>
            <w:r>
              <w:rPr>
                <w:rFonts w:ascii="Times New Roman;Times;Serif" w:hAnsi="Times New Roman;Times;Serif"/>
                <w:position w:val="7"/>
                <w:sz w:val="16"/>
                <w:sz w:val="20"/>
              </w:rPr>
              <w:t>(11)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I/O</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18.3</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19</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12/30/2021</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12/31/2024</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13,000,000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7,500,000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7,431,222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2.7</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5,500,000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+ 9.25%</w:t>
            </w:r>
            <w:r>
              <w:rPr>
                <w:rFonts w:ascii="Times New Roman;Times;Serif" w:hAnsi="Times New Roman;Times;Serif"/>
                <w:position w:val="7"/>
                <w:sz w:val="16"/>
                <w:sz w:val="20"/>
              </w:rPr>
              <w:t xml:space="preserve">(7)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18.9</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20</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1/18/2022</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1/31/2025</w:t>
            </w:r>
          </w:p>
        </w:tc>
        <w:tc>
          <w:tcPr>
            <w:tcW w:w="6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jc w:val="right"/>
              <w:rPr/>
            </w:pPr>
            <w:r>
              <w:rPr/>
              <w:t>25,000,000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15,000,000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220" w:type="dxa"/>
            <w:tcBorders/>
            <w:shd w:fill="auto" w:val="clear"/>
            <w:vAlign w:val="center"/>
          </w:tcPr>
          <w:p>
            <w:pPr>
              <w:pStyle w:val="TableContents"/>
              <w:spacing w:before="0" w:after="283"/>
              <w:jc w:val="right"/>
              <w:rPr/>
            </w:pPr>
            <w:r>
              <w:rPr/>
              <w:t>14,642,896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shd w:fill="auto" w:val="clear"/>
            <w:vAlign w:val="center"/>
          </w:tcPr>
          <w:p>
            <w:pPr>
              <w:pStyle w:val="TableContents"/>
              <w:spacing w:before="0" w:after="283"/>
              <w:jc w:val="left"/>
              <w:rPr/>
            </w:pPr>
            <w:r>
              <w:rPr/>
              <w:t> </w:t>
            </w:r>
          </w:p>
        </w:tc>
        <w:tc>
          <w:tcPr>
            <w:tcW w:w="805" w:type="dxa"/>
            <w:tcBorders/>
            <w:shd w:fill="auto" w:val="clear"/>
            <w:vAlign w:val="center"/>
          </w:tcPr>
          <w:p>
            <w:pPr>
              <w:pStyle w:val="TableContents"/>
              <w:spacing w:before="0" w:after="283"/>
              <w:jc w:val="right"/>
              <w:rPr/>
            </w:pPr>
            <w:r>
              <w:rPr/>
              <w:t>5.3</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10,000,000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jc w:val="left"/>
              <w:rPr/>
            </w:pPr>
            <w:r>
              <w:rPr/>
              <w:t> </w:t>
            </w:r>
          </w:p>
        </w:tc>
        <w:tc>
          <w:tcPr>
            <w:tcW w:w="520" w:type="dxa"/>
            <w:tcBorders/>
            <w:shd w:fill="auto" w:val="clear"/>
            <w:vAlign w:val="center"/>
          </w:tcPr>
          <w:p>
            <w:pPr>
              <w:pStyle w:val="TableContents"/>
              <w:spacing w:before="0" w:after="283"/>
              <w:jc w:val="right"/>
              <w:rPr/>
            </w:pPr>
            <w:r>
              <w:rPr/>
              <w:t>13.1</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b/>
              </w:rPr>
            </w:pPr>
            <w:r>
              <w:rPr>
                <w:b/>
              </w:rPr>
              <w:t>21</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2/3/2022</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2/28/2025</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30,000,000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30,140,161</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29,570,135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10.6</w:t>
            </w:r>
          </w:p>
        </w:tc>
        <w:tc>
          <w:tcPr>
            <w:tcW w:w="21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P + 8.25%</w:t>
            </w:r>
            <w:r>
              <w:rPr>
                <w:rFonts w:ascii="Times New Roman;Times;Serif" w:hAnsi="Times New Roman;Times;Serif"/>
                <w:position w:val="7"/>
                <w:sz w:val="16"/>
                <w:sz w:val="20"/>
              </w:rPr>
              <w:t xml:space="preserve">(7) </w:t>
            </w:r>
            <w:r>
              <w:rPr>
                <w:rFonts w:ascii="Times New Roman;Times;Serif" w:hAnsi="Times New Roman;Times;Serif"/>
                <w:sz w:val="20"/>
              </w:rPr>
              <w:t>Cash, 3% PIK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20.7</w:t>
            </w:r>
          </w:p>
        </w:tc>
        <w:tc>
          <w:tcPr>
            <w:tcW w:w="230" w:type="dxa"/>
            <w:tcBorders/>
            <w:shd w:fill="CCEEFF" w:val="clear"/>
            <w:vAlign w:val="center"/>
          </w:tcPr>
          <w:p>
            <w:pPr>
              <w:pStyle w:val="TableContents"/>
              <w:spacing w:before="0" w:after="283"/>
              <w:jc w:val="left"/>
              <w:rPr/>
            </w:pPr>
            <w:r>
              <w:rPr/>
              <w:t>%</w:t>
            </w:r>
          </w:p>
        </w:tc>
      </w:tr>
      <w:tr>
        <w:trPr/>
        <w:tc>
          <w:tcPr>
            <w:tcW w:w="575" w:type="dxa"/>
            <w:tcBorders/>
            <w:shd w:fill="auto" w:val="clear"/>
            <w:vAlign w:val="center"/>
          </w:tcPr>
          <w:p>
            <w:pPr>
              <w:pStyle w:val="TableContents"/>
              <w:spacing w:before="0" w:after="283"/>
              <w:jc w:val="left"/>
              <w:rPr>
                <w:b/>
              </w:rPr>
            </w:pPr>
            <w:r>
              <w:rPr>
                <w:b/>
              </w:rPr>
              <w:t>22</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3/11/2022</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8/29/2025</w:t>
            </w:r>
          </w:p>
        </w:tc>
        <w:tc>
          <w:tcPr>
            <w:tcW w:w="60" w:type="dxa"/>
            <w:tcBorders/>
            <w:shd w:fill="auto" w:val="clear"/>
            <w:vAlign w:val="center"/>
          </w:tcPr>
          <w:p>
            <w:pPr>
              <w:pStyle w:val="TableContents"/>
              <w:spacing w:before="0" w:after="283"/>
              <w:rPr/>
            </w:pPr>
            <w:r>
              <w:rPr/>
              <w:t> </w:t>
            </w:r>
          </w:p>
        </w:tc>
        <w:tc>
          <w:tcPr>
            <w:tcW w:w="63"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92" w:type="dxa"/>
            <w:tcBorders>
              <w:bottom w:val="single" w:sz="12" w:space="0" w:color="000000"/>
            </w:tcBorders>
            <w:shd w:fill="auto" w:val="clear"/>
            <w:tcMar>
              <w:bottom w:w="28" w:type="dxa"/>
            </w:tcMar>
            <w:vAlign w:val="center"/>
          </w:tcPr>
          <w:p>
            <w:pPr>
              <w:pStyle w:val="TableContents"/>
              <w:spacing w:before="0" w:after="283"/>
              <w:jc w:val="right"/>
              <w:rPr/>
            </w:pPr>
            <w:r>
              <w:rPr/>
              <w:t>20,000,000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17,529,167</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single" w:sz="12" w:space="0" w:color="000000"/>
            </w:tcBorders>
            <w:shd w:fill="auto" w:val="clear"/>
            <w:tcMar>
              <w:bottom w:w="28" w:type="dxa"/>
            </w:tcMar>
            <w:vAlign w:val="center"/>
          </w:tcPr>
          <w:p>
            <w:pPr>
              <w:pStyle w:val="TableContents"/>
              <w:spacing w:before="0" w:after="283"/>
              <w:jc w:val="right"/>
              <w:rPr/>
            </w:pPr>
            <w:r>
              <w:rPr/>
              <w:t>17,443,048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805" w:type="dxa"/>
            <w:tcBorders>
              <w:bottom w:val="single" w:sz="12" w:space="0" w:color="000000"/>
            </w:tcBorders>
            <w:shd w:fill="auto" w:val="clear"/>
            <w:tcMar>
              <w:bottom w:w="28" w:type="dxa"/>
            </w:tcMar>
            <w:vAlign w:val="center"/>
          </w:tcPr>
          <w:p>
            <w:pPr>
              <w:pStyle w:val="TableContents"/>
              <w:spacing w:before="0" w:after="283"/>
              <w:jc w:val="right"/>
              <w:rPr/>
            </w:pPr>
            <w:r>
              <w:rPr/>
              <w:t>6.3</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center"/>
          </w:tcPr>
          <w:p>
            <w:pPr>
              <w:pStyle w:val="TableContents"/>
              <w:spacing w:before="0" w:after="283"/>
              <w:jc w:val="right"/>
              <w:rPr/>
            </w:pPr>
            <w:r>
              <w:rPr/>
              <w:t>2,500,000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11.00% Cash, 3% PIK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P&amp;I</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520" w:type="dxa"/>
            <w:tcBorders>
              <w:bottom w:val="single" w:sz="12" w:space="0" w:color="000000"/>
            </w:tcBorders>
            <w:shd w:fill="auto" w:val="clear"/>
            <w:tcMar>
              <w:bottom w:w="28" w:type="dxa"/>
            </w:tcMar>
            <w:vAlign w:val="center"/>
          </w:tcPr>
          <w:p>
            <w:pPr>
              <w:pStyle w:val="TableContents"/>
              <w:spacing w:before="0" w:after="283"/>
              <w:jc w:val="right"/>
              <w:rPr/>
            </w:pPr>
            <w:r>
              <w:rPr/>
              <w:t>16.7</w:t>
            </w:r>
          </w:p>
        </w:tc>
        <w:tc>
          <w:tcPr>
            <w:tcW w:w="230" w:type="dxa"/>
            <w:tcBorders/>
            <w:shd w:fill="auto" w:val="clear"/>
            <w:vAlign w:val="center"/>
          </w:tcPr>
          <w:p>
            <w:pPr>
              <w:pStyle w:val="TableContents"/>
              <w:spacing w:before="0" w:after="283"/>
              <w:jc w:val="left"/>
              <w:rPr/>
            </w:pPr>
            <w:r>
              <w:rPr/>
              <w:t>%</w:t>
            </w:r>
          </w:p>
        </w:tc>
      </w:tr>
      <w:tr>
        <w:trPr/>
        <w:tc>
          <w:tcPr>
            <w:tcW w:w="57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9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935"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jc w:val="left"/>
              <w:rPr/>
            </w:pPr>
            <w:r>
              <w:rPr/>
              <w:t> </w:t>
            </w:r>
          </w:p>
        </w:tc>
        <w:tc>
          <w:tcPr>
            <w:tcW w:w="1292"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22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00" w:type="dxa"/>
            <w:tcBorders/>
            <w:shd w:fill="CCEEFF" w:val="clear"/>
            <w:vAlign w:val="center"/>
          </w:tcPr>
          <w:p>
            <w:pPr>
              <w:pStyle w:val="TableContents"/>
              <w:spacing w:before="0" w:after="283"/>
              <w:jc w:val="left"/>
              <w:rPr/>
            </w:pPr>
            <w:r>
              <w:rPr/>
              <w:t> </w:t>
            </w:r>
          </w:p>
        </w:tc>
        <w:tc>
          <w:tcPr>
            <w:tcW w:w="805"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center"/>
              <w:rPr/>
            </w:pPr>
            <w:r>
              <w:rPr/>
              <w:t> </w:t>
            </w:r>
          </w:p>
        </w:tc>
        <w:tc>
          <w:tcPr>
            <w:tcW w:w="860"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jc w:val="left"/>
              <w:rPr/>
            </w:pPr>
            <w:r>
              <w:rPr/>
              <w:t> </w:t>
            </w:r>
          </w:p>
        </w:tc>
        <w:tc>
          <w:tcPr>
            <w:tcW w:w="520" w:type="dxa"/>
            <w:tcBorders/>
            <w:shd w:fill="CCEEFF" w:val="clear"/>
            <w:vAlign w:val="center"/>
          </w:tcPr>
          <w:p>
            <w:pPr>
              <w:pStyle w:val="TableContents"/>
              <w:spacing w:before="0" w:after="283"/>
              <w:jc w:val="right"/>
              <w:rPr/>
            </w:pPr>
            <w:r>
              <w:rPr/>
              <w:t> </w:t>
            </w:r>
          </w:p>
        </w:tc>
        <w:tc>
          <w:tcPr>
            <w:tcW w:w="230" w:type="dxa"/>
            <w:tcBorders/>
            <w:shd w:fill="CCEEFF" w:val="clear"/>
            <w:vAlign w:val="center"/>
          </w:tcPr>
          <w:p>
            <w:pPr>
              <w:pStyle w:val="TableContents"/>
              <w:spacing w:before="0" w:after="283"/>
              <w:jc w:val="left"/>
              <w:rPr/>
            </w:pPr>
            <w:r>
              <w:rPr/>
              <w:t> </w:t>
            </w:r>
          </w:p>
        </w:tc>
      </w:tr>
      <w:tr>
        <w:trPr/>
        <w:tc>
          <w:tcPr>
            <w:tcW w:w="57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jc w:val="center"/>
              <w:rPr/>
            </w:pPr>
            <w:r>
              <w:rPr/>
              <w:t>Subtotal</w:t>
            </w:r>
          </w:p>
        </w:tc>
        <w:tc>
          <w:tcPr>
            <w:tcW w:w="60" w:type="dxa"/>
            <w:tcBorders/>
            <w:shd w:fill="auto" w:val="clear"/>
            <w:vAlign w:val="center"/>
          </w:tcPr>
          <w:p>
            <w:pPr>
              <w:pStyle w:val="TableContents"/>
              <w:spacing w:before="0" w:after="283"/>
              <w:rPr/>
            </w:pPr>
            <w:r>
              <w:rPr/>
              <w:t> </w:t>
            </w:r>
          </w:p>
        </w:tc>
        <w:tc>
          <w:tcPr>
            <w:tcW w:w="63"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92" w:type="dxa"/>
            <w:tcBorders>
              <w:bottom w:val="double" w:sz="10" w:space="0" w:color="000000"/>
            </w:tcBorders>
            <w:shd w:fill="auto" w:val="clear"/>
            <w:tcMar>
              <w:bottom w:w="28" w:type="dxa"/>
            </w:tcMar>
            <w:vAlign w:val="center"/>
          </w:tcPr>
          <w:p>
            <w:pPr>
              <w:pStyle w:val="TableContents"/>
              <w:spacing w:before="0" w:after="283"/>
              <w:jc w:val="right"/>
              <w:rPr/>
            </w:pPr>
            <w:r>
              <w:rPr/>
              <w:t>321,110,130</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282,708,732</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220" w:type="dxa"/>
            <w:tcBorders>
              <w:bottom w:val="double" w:sz="10" w:space="0" w:color="000000"/>
            </w:tcBorders>
            <w:shd w:fill="auto" w:val="clear"/>
            <w:tcMar>
              <w:bottom w:w="28" w:type="dxa"/>
            </w:tcMar>
            <w:vAlign w:val="center"/>
          </w:tcPr>
          <w:p>
            <w:pPr>
              <w:pStyle w:val="TableContents"/>
              <w:spacing w:before="0" w:after="283"/>
              <w:jc w:val="right"/>
              <w:rPr/>
            </w:pPr>
            <w:r>
              <w:rPr/>
              <w:t>278,826,914</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0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805" w:type="dxa"/>
            <w:tcBorders>
              <w:bottom w:val="double" w:sz="10" w:space="0" w:color="000000"/>
            </w:tcBorders>
            <w:shd w:fill="auto" w:val="clear"/>
            <w:tcMar>
              <w:bottom w:w="28" w:type="dxa"/>
            </w:tcMar>
            <w:vAlign w:val="center"/>
          </w:tcPr>
          <w:p>
            <w:pPr>
              <w:pStyle w:val="TableContents"/>
              <w:spacing w:before="0" w:after="283"/>
              <w:jc w:val="right"/>
              <w:rPr/>
            </w:pPr>
            <w:r>
              <w:rPr/>
              <w:t>100.0</w:t>
            </w:r>
          </w:p>
        </w:tc>
        <w:tc>
          <w:tcPr>
            <w:tcW w:w="21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pPr>
            <w:r>
              <w:rPr/>
              <w:t>39,574,238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14.1%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860"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Wtd Average</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70" w:type="dxa"/>
            <w:tcBorders>
              <w:bottom w:val="double" w:sz="10" w:space="0" w:color="000000"/>
            </w:tcBorders>
            <w:shd w:fill="auto" w:val="clear"/>
            <w:tcMar>
              <w:bottom w:w="28" w:type="dxa"/>
            </w:tcMar>
            <w:vAlign w:val="center"/>
          </w:tcPr>
          <w:p>
            <w:pPr>
              <w:pStyle w:val="TableContents"/>
              <w:spacing w:before="0" w:after="283"/>
              <w:jc w:val="left"/>
              <w:rPr/>
            </w:pPr>
            <w:r>
              <w:rPr/>
              <w:t> </w:t>
            </w:r>
          </w:p>
        </w:tc>
        <w:tc>
          <w:tcPr>
            <w:tcW w:w="520" w:type="dxa"/>
            <w:tcBorders>
              <w:bottom w:val="double" w:sz="10" w:space="0" w:color="000000"/>
            </w:tcBorders>
            <w:shd w:fill="auto" w:val="clear"/>
            <w:tcMar>
              <w:bottom w:w="28" w:type="dxa"/>
            </w:tcMar>
            <w:vAlign w:val="center"/>
          </w:tcPr>
          <w:p>
            <w:pPr>
              <w:pStyle w:val="TableContents"/>
              <w:spacing w:before="0" w:after="283"/>
              <w:jc w:val="right"/>
              <w:rPr/>
            </w:pPr>
            <w:r>
              <w:rPr/>
              <w:t>17.2</w:t>
            </w:r>
          </w:p>
        </w:tc>
        <w:tc>
          <w:tcPr>
            <w:tcW w:w="230" w:type="dxa"/>
            <w:tcBorders/>
            <w:shd w:fill="auto" w:val="clear"/>
            <w:vAlign w:val="center"/>
          </w:tcPr>
          <w:p>
            <w:pPr>
              <w:pStyle w:val="TableContents"/>
              <w:spacing w:before="0" w:after="283"/>
              <w:jc w:val="left"/>
              <w:rPr/>
            </w:pPr>
            <w:r>
              <w:rPr/>
              <w:t>%</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3"/>
        <w:gridCol w:w="9934"/>
      </w:tblGrid>
      <w:tr>
        <w:trPr/>
        <w:tc>
          <w:tcPr>
            <w:tcW w:w="3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loans originated prior to April 1, 2021 were purchased from affiliated entities at fair value plus accrued interest on or subsequent to April 1, 2021.</w:t>
            </w:r>
          </w:p>
        </w:tc>
      </w:tr>
    </w:tbl>
    <w:tbl>
      <w:tblPr>
        <w:tblW w:w="5613" w:type="dxa"/>
        <w:jc w:val="left"/>
        <w:tblInd w:w="0" w:type="dxa"/>
        <w:tblCellMar>
          <w:top w:w="0" w:type="dxa"/>
          <w:left w:w="0" w:type="dxa"/>
          <w:bottom w:w="0" w:type="dxa"/>
          <w:right w:w="0" w:type="dxa"/>
        </w:tblCellMar>
      </w:tblPr>
      <w:tblGrid>
        <w:gridCol w:w="38"/>
        <w:gridCol w:w="245"/>
        <w:gridCol w:w="533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3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loans have extension options from original maturity date.</w:t>
            </w:r>
          </w:p>
        </w:tc>
      </w:tr>
    </w:tbl>
    <w:tbl>
      <w:tblPr>
        <w:tblW w:w="7653" w:type="dxa"/>
        <w:jc w:val="left"/>
        <w:tblInd w:w="0" w:type="dxa"/>
        <w:tblCellMar>
          <w:top w:w="0" w:type="dxa"/>
          <w:left w:w="0" w:type="dxa"/>
          <w:bottom w:w="0" w:type="dxa"/>
          <w:right w:w="0" w:type="dxa"/>
        </w:tblCellMar>
      </w:tblPr>
      <w:tblGrid>
        <w:gridCol w:w="38"/>
        <w:gridCol w:w="245"/>
        <w:gridCol w:w="737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37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Commitment excludes future amounts to be advanced at sole discretion of the lender</w:t>
            </w:r>
          </w:p>
        </w:tc>
      </w:tr>
    </w:tbl>
    <w:tbl>
      <w:tblPr>
        <w:tblW w:w="10205" w:type="dxa"/>
        <w:jc w:val="left"/>
        <w:tblInd w:w="0" w:type="dxa"/>
        <w:tblCellMar>
          <w:top w:w="0" w:type="dxa"/>
          <w:left w:w="0" w:type="dxa"/>
          <w:bottom w:w="0" w:type="dxa"/>
          <w:right w:w="0" w:type="dxa"/>
        </w:tblCellMar>
      </w:tblPr>
      <w:tblGrid>
        <w:gridCol w:w="38"/>
        <w:gridCol w:w="237"/>
        <w:gridCol w:w="9930"/>
      </w:tblGrid>
      <w:tr>
        <w:trPr/>
        <w:tc>
          <w:tcPr>
            <w:tcW w:w="38"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0" w:type="dxa"/>
            <w:tcBorders/>
            <w:shd w:fill="auto" w:val="clear"/>
            <w:vAlign w:val="center"/>
          </w:tcPr>
          <w:p>
            <w:pPr>
              <w:pStyle w:val="TableContents"/>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 = prime rate and depicts floating rate loans that pay interest at the prime rate plus a specific percentage; “PIK” = paid in kind interest.</w:t>
            </w:r>
          </w:p>
        </w:tc>
      </w:tr>
    </w:tbl>
    <w:tbl>
      <w:tblPr>
        <w:tblW w:w="10173" w:type="dxa"/>
        <w:jc w:val="left"/>
        <w:tblInd w:w="0" w:type="dxa"/>
        <w:tblCellMar>
          <w:top w:w="0" w:type="dxa"/>
          <w:left w:w="0" w:type="dxa"/>
          <w:bottom w:w="0" w:type="dxa"/>
          <w:right w:w="0" w:type="dxa"/>
        </w:tblCellMar>
      </w:tblPr>
      <w:tblGrid>
        <w:gridCol w:w="38"/>
        <w:gridCol w:w="245"/>
        <w:gridCol w:w="989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P&amp;I = principal and interest. I/O = interest only. P&amp;I loans may include interest only periods for a portion of the loan term.</w:t>
            </w:r>
          </w:p>
        </w:tc>
      </w:tr>
    </w:tbl>
    <w:tbl>
      <w:tblPr>
        <w:tblW w:w="7983" w:type="dxa"/>
        <w:jc w:val="left"/>
        <w:tblInd w:w="0" w:type="dxa"/>
        <w:tblCellMar>
          <w:top w:w="0" w:type="dxa"/>
          <w:left w:w="0" w:type="dxa"/>
          <w:bottom w:w="0" w:type="dxa"/>
          <w:right w:w="0" w:type="dxa"/>
        </w:tblCellMar>
      </w:tblPr>
      <w:tblGrid>
        <w:gridCol w:w="38"/>
        <w:gridCol w:w="245"/>
        <w:gridCol w:w="7700"/>
      </w:tblGrid>
      <w:tr>
        <w:trPr/>
        <w:tc>
          <w:tcPr>
            <w:tcW w:w="3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70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OID, unused fees, and exit fees, but assumes no prepayment penalties or early payoffs.</w:t>
            </w:r>
          </w:p>
        </w:tc>
      </w:tr>
    </w:tbl>
    <w:tbl>
      <w:tblPr>
        <w:tblW w:w="3235" w:type="dxa"/>
        <w:jc w:val="left"/>
        <w:tblInd w:w="0" w:type="dxa"/>
        <w:tblCellMar>
          <w:top w:w="0" w:type="dxa"/>
          <w:left w:w="0" w:type="dxa"/>
          <w:bottom w:w="0" w:type="dxa"/>
          <w:right w:w="0" w:type="dxa"/>
        </w:tblCellMar>
      </w:tblPr>
      <w:tblGrid>
        <w:gridCol w:w="260"/>
        <w:gridCol w:w="2975"/>
      </w:tblGrid>
      <w:tr>
        <w:trPr/>
        <w:tc>
          <w:tcPr>
            <w:tcW w:w="2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9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prime rate floor of 3.25%.</w:t>
            </w:r>
          </w:p>
        </w:tc>
      </w:tr>
    </w:tbl>
    <w:tbl>
      <w:tblPr>
        <w:tblW w:w="10205" w:type="dxa"/>
        <w:jc w:val="left"/>
        <w:tblInd w:w="0" w:type="dxa"/>
        <w:tblCellMar>
          <w:top w:w="0" w:type="dxa"/>
          <w:left w:w="0" w:type="dxa"/>
          <w:bottom w:w="0" w:type="dxa"/>
          <w:right w:w="0" w:type="dxa"/>
        </w:tblCellMar>
      </w:tblPr>
      <w:tblGrid>
        <w:gridCol w:w="38"/>
        <w:gridCol w:w="202"/>
        <w:gridCol w:w="9965"/>
      </w:tblGrid>
      <w:tr>
        <w:trPr/>
        <w:tc>
          <w:tcPr>
            <w:tcW w:w="3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6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loan commitment to Loan #2 includes a $4.005 million initial advance which has an interest rate of 15.25%, a second advance of $15.995 million which has an interest rate of 9.75%, and a third advance of $10.0 million which has an interest rate of 8.5%. The statistics presented reflect the weighted average of the terms under both advances for the total aggregate loan commitment.</w:t>
            </w:r>
          </w:p>
        </w:tc>
      </w:tr>
    </w:tbl>
    <w:tbl>
      <w:tblPr>
        <w:tblW w:w="10205" w:type="dxa"/>
        <w:jc w:val="left"/>
        <w:tblInd w:w="0" w:type="dxa"/>
        <w:tblCellMar>
          <w:top w:w="0" w:type="dxa"/>
          <w:left w:w="0" w:type="dxa"/>
          <w:bottom w:w="0" w:type="dxa"/>
          <w:right w:w="0" w:type="dxa"/>
        </w:tblCellMar>
      </w:tblPr>
      <w:tblGrid>
        <w:gridCol w:w="38"/>
        <w:gridCol w:w="205"/>
        <w:gridCol w:w="9962"/>
      </w:tblGrid>
      <w:tr>
        <w:trPr/>
        <w:tc>
          <w:tcPr>
            <w:tcW w:w="3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6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loan commitment to Loan #6 includes $8.9 million advanced which has an interest rate of P + 11.75% and 2.00% PIK, and a second commitment of $2.0 million which has an interest rate of 39.00%. The statistics presented reflect the weighted average of the terms under all advances for the total aggregate loan commitment.</w:t>
            </w:r>
          </w:p>
        </w:tc>
      </w:tr>
    </w:tbl>
    <w:tbl>
      <w:tblPr>
        <w:tblW w:w="10205" w:type="dxa"/>
        <w:jc w:val="left"/>
        <w:tblInd w:w="0" w:type="dxa"/>
        <w:tblCellMar>
          <w:top w:w="0" w:type="dxa"/>
          <w:left w:w="0" w:type="dxa"/>
          <w:bottom w:w="0" w:type="dxa"/>
          <w:right w:w="0" w:type="dxa"/>
        </w:tblCellMar>
      </w:tblPr>
      <w:tblGrid>
        <w:gridCol w:w="38"/>
        <w:gridCol w:w="344"/>
        <w:gridCol w:w="9823"/>
      </w:tblGrid>
      <w:tr>
        <w:trPr/>
        <w:tc>
          <w:tcPr>
            <w:tcW w:w="3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2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not below 2% if borrower receives at least two consecutive quarters of positive cash flow after the closing date.</w:t>
            </w:r>
          </w:p>
        </w:tc>
      </w:tr>
    </w:tbl>
    <w:tbl>
      <w:tblPr>
        <w:tblW w:w="10205" w:type="dxa"/>
        <w:jc w:val="left"/>
        <w:tblInd w:w="0" w:type="dxa"/>
        <w:tblCellMar>
          <w:top w:w="0" w:type="dxa"/>
          <w:left w:w="0" w:type="dxa"/>
          <w:bottom w:w="0" w:type="dxa"/>
          <w:right w:w="0" w:type="dxa"/>
        </w:tblCellMar>
      </w:tblPr>
      <w:tblGrid>
        <w:gridCol w:w="38"/>
        <w:gridCol w:w="303"/>
        <w:gridCol w:w="9864"/>
      </w:tblGrid>
      <w:tr>
        <w:trPr/>
        <w:tc>
          <w:tcPr>
            <w:tcW w:w="3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64"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PIK is variable with an initial rate of five percent (5.00%) per annum, until Borrower’s delivery to Administrative Agent and the Lenders of audited financial statements for the Fiscal Year ending December 31, 2021, at which time the PIK interest rate shall equal a rate of one percent (1.00%) if EBITDA is greater than $6,000,000; three percent (3.00%) if EBITDA is greater than $4,000,000 and less than or equal to $6,000,000; or will remain at five percent (5.00%) if EBITDA is less than $4,000,000.</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our loans held for investment as of March 31, 2022 and December 31, 2021:</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18"/>
        <w:gridCol w:w="60"/>
        <w:gridCol w:w="180"/>
        <w:gridCol w:w="1526"/>
        <w:gridCol w:w="86"/>
        <w:gridCol w:w="60"/>
        <w:gridCol w:w="185"/>
        <w:gridCol w:w="1340"/>
        <w:gridCol w:w="118"/>
        <w:gridCol w:w="60"/>
        <w:gridCol w:w="146"/>
        <w:gridCol w:w="1238"/>
        <w:gridCol w:w="93"/>
        <w:gridCol w:w="60"/>
        <w:gridCol w:w="398"/>
        <w:gridCol w:w="1830"/>
        <w:gridCol w:w="507"/>
      </w:tblGrid>
      <w:tr>
        <w:trPr/>
        <w:tc>
          <w:tcPr>
            <w:tcW w:w="2318"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827" w:type="dxa"/>
            <w:gridSpan w:val="15"/>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2022</w:t>
            </w:r>
          </w:p>
        </w:tc>
      </w:tr>
      <w:tr>
        <w:trPr/>
        <w:tc>
          <w:tcPr>
            <w:tcW w:w="2318"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2"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Principal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43"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Issue Discount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77"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Carrying Value (1)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735" w:type="dxa"/>
            <w:gridSpan w:val="3"/>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Remaining Life (Years) (2)</w:t>
            </w:r>
          </w:p>
        </w:tc>
      </w:tr>
      <w:tr>
        <w:trPr/>
        <w:tc>
          <w:tcPr>
            <w:tcW w:w="231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Term Loans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2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282,708,732</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5"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4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(3,881,818</w:t>
            </w:r>
          </w:p>
        </w:tc>
        <w:tc>
          <w:tcPr>
            <w:tcW w:w="11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3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278,826,914</w:t>
            </w:r>
          </w:p>
        </w:tc>
        <w:tc>
          <w:tcPr>
            <w:tcW w:w="9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9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0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1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loans held at carrying value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526"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282,708,732</w:t>
            </w:r>
          </w:p>
        </w:tc>
        <w:tc>
          <w:tcPr>
            <w:tcW w:w="8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34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(3,881,818</w:t>
            </w:r>
          </w:p>
        </w:tc>
        <w:tc>
          <w:tcPr>
            <w:tcW w:w="118"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238"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278,826,914</w:t>
            </w:r>
          </w:p>
        </w:tc>
        <w:tc>
          <w:tcPr>
            <w:tcW w:w="9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8"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83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507"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231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526" w:type="dxa"/>
            <w:tcBorders>
              <w:bottom w:val="single" w:sz="12" w:space="0" w:color="000000"/>
            </w:tcBorders>
            <w:shd w:fill="CCEEFF" w:val="clear"/>
            <w:tcMar>
              <w:bottom w:w="28"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N/A </w:t>
            </w:r>
          </w:p>
        </w:tc>
        <w:tc>
          <w:tcPr>
            <w:tcW w:w="8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34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 </w:t>
            </w:r>
          </w:p>
        </w:tc>
        <w:tc>
          <w:tcPr>
            <w:tcW w:w="11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6"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23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(182,838</w:t>
            </w:r>
          </w:p>
        </w:tc>
        <w:tc>
          <w:tcPr>
            <w:tcW w:w="9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9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3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50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18"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loans held at carrying value, net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0"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526"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282,708,732</w:t>
            </w:r>
          </w:p>
        </w:tc>
        <w:tc>
          <w:tcPr>
            <w:tcW w:w="86"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4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(3,881,818</w:t>
            </w:r>
          </w:p>
        </w:tc>
        <w:tc>
          <w:tcPr>
            <w:tcW w:w="118"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6" w:type="dxa"/>
            <w:tcBorders>
              <w:bottom w:val="double" w:sz="10" w:space="0" w:color="000000"/>
            </w:tcBorders>
            <w:shd w:fill="auto" w:val="clear"/>
            <w:tcMar>
              <w:bottom w:w="28"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38"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278,644,076</w:t>
            </w:r>
          </w:p>
        </w:tc>
        <w:tc>
          <w:tcPr>
            <w:tcW w:w="93"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98"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83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507"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Carrying Value and the Outstanding Principal amount of the loans consists of unaccreted original issue discount and loan origination costs</w:t>
            </w:r>
          </w:p>
        </w:tc>
      </w:tr>
    </w:tbl>
    <w:tbl>
      <w:tblPr>
        <w:tblW w:w="9040" w:type="dxa"/>
        <w:jc w:val="left"/>
        <w:tblInd w:w="0" w:type="dxa"/>
        <w:tblCellMar>
          <w:top w:w="0" w:type="dxa"/>
          <w:left w:w="0" w:type="dxa"/>
          <w:bottom w:w="0" w:type="dxa"/>
          <w:right w:w="0" w:type="dxa"/>
        </w:tblCellMar>
      </w:tblPr>
      <w:tblGrid>
        <w:gridCol w:w="260"/>
        <w:gridCol w:w="8780"/>
      </w:tblGrid>
      <w:tr>
        <w:trPr/>
        <w:tc>
          <w:tcPr>
            <w:tcW w:w="2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78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life is calculated based on the carrying value of the loans as of March 31, 2022</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268"/>
        <w:gridCol w:w="60"/>
        <w:gridCol w:w="194"/>
        <w:gridCol w:w="1695"/>
        <w:gridCol w:w="60"/>
        <w:gridCol w:w="60"/>
        <w:gridCol w:w="199"/>
        <w:gridCol w:w="1505"/>
        <w:gridCol w:w="95"/>
        <w:gridCol w:w="60"/>
        <w:gridCol w:w="166"/>
        <w:gridCol w:w="1447"/>
        <w:gridCol w:w="95"/>
        <w:gridCol w:w="60"/>
        <w:gridCol w:w="340"/>
        <w:gridCol w:w="1821"/>
        <w:gridCol w:w="80"/>
      </w:tblGrid>
      <w:tr>
        <w:trPr/>
        <w:tc>
          <w:tcPr>
            <w:tcW w:w="22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97" w:type="dxa"/>
            <w:gridSpan w:val="14"/>
            <w:tcBorders>
              <w:bottom w:val="single" w:sz="12" w:space="0" w:color="000000"/>
            </w:tcBorders>
            <w:shd w:fill="auto" w:val="clear"/>
            <w:tcMar>
              <w:bottom w:w="28" w:type="dxa"/>
            </w:tcMar>
            <w:vAlign w:val="center"/>
          </w:tcPr>
          <w:p>
            <w:pPr>
              <w:pStyle w:val="TableContents"/>
              <w:spacing w:before="0" w:after="283"/>
              <w:jc w:val="center"/>
              <w:rPr>
                <w:b/>
              </w:rPr>
            </w:pPr>
            <w:r>
              <w:rPr>
                <w:b/>
              </w:rPr>
              <w:t>As of December 31, 2021</w:t>
            </w:r>
          </w:p>
        </w:tc>
        <w:tc>
          <w:tcPr>
            <w:tcW w:w="80" w:type="dxa"/>
            <w:tcBorders/>
            <w:shd w:fill="auto" w:val="clear"/>
            <w:vAlign w:val="center"/>
          </w:tcPr>
          <w:p>
            <w:pPr>
              <w:pStyle w:val="TableContents"/>
              <w:spacing w:before="0" w:after="283"/>
              <w:rPr/>
            </w:pPr>
            <w:r>
              <w:rPr/>
              <w:t> </w:t>
            </w:r>
          </w:p>
        </w:tc>
      </w:tr>
      <w:tr>
        <w:trPr/>
        <w:tc>
          <w:tcPr>
            <w:tcW w:w="226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89"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Outstanding Principal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Original Issue Discount</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13"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Carrying Value (1)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61"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Weighted Average Remaining Life</w:t>
              <w:br/>
              <w:t>(Years)(2)</w:t>
            </w:r>
          </w:p>
        </w:tc>
        <w:tc>
          <w:tcPr>
            <w:tcW w:w="80" w:type="dxa"/>
            <w:tcBorders/>
            <w:shd w:fill="auto" w:val="clear"/>
            <w:vAlign w:val="center"/>
          </w:tcPr>
          <w:p>
            <w:pPr>
              <w:pStyle w:val="TableContents"/>
              <w:spacing w:before="0" w:after="283"/>
              <w:rPr/>
            </w:pPr>
            <w:r>
              <w:rPr/>
              <w:t> </w:t>
            </w:r>
          </w:p>
        </w:tc>
      </w:tr>
      <w:tr>
        <w:trPr/>
        <w:tc>
          <w:tcPr>
            <w:tcW w:w="2268" w:type="dxa"/>
            <w:tcBorders/>
            <w:shd w:fill="CCEEFF" w:val="clear"/>
            <w:vAlign w:val="center"/>
          </w:tcPr>
          <w:p>
            <w:pPr>
              <w:pStyle w:val="TableContents"/>
              <w:spacing w:before="0" w:after="283"/>
              <w:jc w:val="left"/>
              <w:rPr/>
            </w:pPr>
            <w:r>
              <w:rPr/>
              <w:t>Senior Term Loans</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695" w:type="dxa"/>
            <w:tcBorders>
              <w:bottom w:val="single" w:sz="12" w:space="0" w:color="000000"/>
            </w:tcBorders>
            <w:shd w:fill="CCEEFF" w:val="clear"/>
            <w:tcMar>
              <w:bottom w:w="28" w:type="dxa"/>
            </w:tcMar>
            <w:vAlign w:val="center"/>
          </w:tcPr>
          <w:p>
            <w:pPr>
              <w:pStyle w:val="TableContents"/>
              <w:spacing w:before="0" w:after="283"/>
              <w:jc w:val="right"/>
              <w:rPr/>
            </w:pPr>
            <w:r>
              <w:rPr/>
              <w:t>200,632,056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505" w:type="dxa"/>
            <w:tcBorders>
              <w:bottom w:val="single" w:sz="12" w:space="0" w:color="000000"/>
            </w:tcBorders>
            <w:shd w:fill="CCEEFF" w:val="clear"/>
            <w:tcMar>
              <w:bottom w:w="28" w:type="dxa"/>
            </w:tcMar>
            <w:vAlign w:val="center"/>
          </w:tcPr>
          <w:p>
            <w:pPr>
              <w:pStyle w:val="TableContents"/>
              <w:spacing w:before="0" w:after="283"/>
              <w:jc w:val="right"/>
              <w:rPr/>
            </w:pPr>
            <w:r>
              <w:rPr/>
              <w:t>(3,647,490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66"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447" w:type="dxa"/>
            <w:tcBorders>
              <w:bottom w:val="single" w:sz="12" w:space="0" w:color="000000"/>
            </w:tcBorders>
            <w:shd w:fill="CCEEFF" w:val="clear"/>
            <w:tcMar>
              <w:bottom w:w="28" w:type="dxa"/>
            </w:tcMar>
            <w:vAlign w:val="center"/>
          </w:tcPr>
          <w:p>
            <w:pPr>
              <w:pStyle w:val="TableContents"/>
              <w:spacing w:before="0" w:after="283"/>
              <w:jc w:val="right"/>
              <w:rPr/>
            </w:pPr>
            <w:r>
              <w:rPr/>
              <w:t>196,984,566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 </w:t>
            </w:r>
          </w:p>
        </w:tc>
        <w:tc>
          <w:tcPr>
            <w:tcW w:w="1821" w:type="dxa"/>
            <w:tcBorders/>
            <w:shd w:fill="CCEEFF" w:val="clear"/>
            <w:vAlign w:val="center"/>
          </w:tcPr>
          <w:p>
            <w:pPr>
              <w:pStyle w:val="TableContents"/>
              <w:spacing w:before="0" w:after="283"/>
              <w:jc w:val="right"/>
              <w:rPr/>
            </w:pPr>
            <w:r>
              <w:rPr/>
              <w:t>2.2</w:t>
            </w:r>
          </w:p>
        </w:tc>
        <w:tc>
          <w:tcPr>
            <w:tcW w:w="80" w:type="dxa"/>
            <w:tcBorders/>
            <w:shd w:fill="CCEEFF" w:val="clear"/>
            <w:vAlign w:val="center"/>
          </w:tcPr>
          <w:p>
            <w:pPr>
              <w:pStyle w:val="TableContents"/>
              <w:spacing w:before="0" w:after="283"/>
              <w:jc w:val="left"/>
              <w:rPr/>
            </w:pPr>
            <w:r>
              <w:rPr/>
              <w:t> </w:t>
            </w:r>
          </w:p>
        </w:tc>
      </w:tr>
      <w:tr>
        <w:trPr/>
        <w:tc>
          <w:tcPr>
            <w:tcW w:w="2268" w:type="dxa"/>
            <w:tcBorders/>
            <w:shd w:fill="auto" w:val="clear"/>
            <w:vAlign w:val="center"/>
          </w:tcPr>
          <w:p>
            <w:pPr>
              <w:pStyle w:val="TableContents"/>
              <w:spacing w:before="0" w:after="283"/>
              <w:jc w:val="left"/>
              <w:rPr/>
            </w:pPr>
            <w:r>
              <w:rPr/>
              <w:t>Total loans held at carrying value</w:t>
            </w:r>
          </w:p>
        </w:tc>
        <w:tc>
          <w:tcPr>
            <w:tcW w:w="60" w:type="dxa"/>
            <w:tcBorders/>
            <w:shd w:fill="auto" w:val="clear"/>
            <w:vAlign w:val="center"/>
          </w:tcPr>
          <w:p>
            <w:pPr>
              <w:pStyle w:val="TableContents"/>
              <w:spacing w:before="0" w:after="283"/>
              <w:rPr/>
            </w:pPr>
            <w:r>
              <w:rPr/>
              <w:t> </w:t>
            </w:r>
          </w:p>
        </w:tc>
        <w:tc>
          <w:tcPr>
            <w:tcW w:w="194" w:type="dxa"/>
            <w:tcBorders/>
            <w:shd w:fill="auto" w:val="clear"/>
            <w:vAlign w:val="center"/>
          </w:tcPr>
          <w:p>
            <w:pPr>
              <w:pStyle w:val="TableContents"/>
              <w:spacing w:before="0" w:after="283"/>
              <w:jc w:val="left"/>
              <w:rPr/>
            </w:pPr>
            <w:r>
              <w:rPr/>
              <w:t> </w:t>
            </w:r>
          </w:p>
        </w:tc>
        <w:tc>
          <w:tcPr>
            <w:tcW w:w="1695" w:type="dxa"/>
            <w:tcBorders/>
            <w:shd w:fill="auto" w:val="clear"/>
            <w:vAlign w:val="center"/>
          </w:tcPr>
          <w:p>
            <w:pPr>
              <w:pStyle w:val="TableContents"/>
              <w:spacing w:before="0" w:after="283"/>
              <w:jc w:val="right"/>
              <w:rPr/>
            </w:pPr>
            <w:r>
              <w:rPr/>
              <w:t>200,632,056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jc w:val="left"/>
              <w:rPr/>
            </w:pPr>
            <w:r>
              <w:rPr/>
              <w:t> </w:t>
            </w:r>
          </w:p>
        </w:tc>
        <w:tc>
          <w:tcPr>
            <w:tcW w:w="1505" w:type="dxa"/>
            <w:tcBorders/>
            <w:shd w:fill="auto" w:val="clear"/>
            <w:vAlign w:val="center"/>
          </w:tcPr>
          <w:p>
            <w:pPr>
              <w:pStyle w:val="TableContents"/>
              <w:spacing w:before="0" w:after="283"/>
              <w:jc w:val="right"/>
              <w:rPr/>
            </w:pPr>
            <w:r>
              <w:rPr/>
              <w:t>(3,647,490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jc w:val="left"/>
              <w:rPr/>
            </w:pPr>
            <w:r>
              <w:rPr/>
              <w:t> </w:t>
            </w:r>
          </w:p>
        </w:tc>
        <w:tc>
          <w:tcPr>
            <w:tcW w:w="1447" w:type="dxa"/>
            <w:tcBorders/>
            <w:shd w:fill="auto" w:val="clear"/>
            <w:vAlign w:val="center"/>
          </w:tcPr>
          <w:p>
            <w:pPr>
              <w:pStyle w:val="TableContents"/>
              <w:spacing w:before="0" w:after="283"/>
              <w:jc w:val="right"/>
              <w:rPr/>
            </w:pPr>
            <w:r>
              <w:rPr/>
              <w:t>196,984,566</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jc w:val="left"/>
              <w:rPr/>
            </w:pPr>
            <w:r>
              <w:rPr/>
              <w:t> </w:t>
            </w:r>
          </w:p>
        </w:tc>
        <w:tc>
          <w:tcPr>
            <w:tcW w:w="1821" w:type="dxa"/>
            <w:tcBorders/>
            <w:shd w:fill="auto" w:val="clear"/>
            <w:vAlign w:val="center"/>
          </w:tcPr>
          <w:p>
            <w:pPr>
              <w:pStyle w:val="TableContents"/>
              <w:spacing w:before="0" w:after="283"/>
              <w:jc w:val="right"/>
              <w:rPr/>
            </w:pPr>
            <w:r>
              <w:rPr/>
              <w:t>2.2</w:t>
            </w:r>
          </w:p>
        </w:tc>
        <w:tc>
          <w:tcPr>
            <w:tcW w:w="80" w:type="dxa"/>
            <w:tcBorders/>
            <w:shd w:fill="auto" w:val="clear"/>
            <w:vAlign w:val="center"/>
          </w:tcPr>
          <w:p>
            <w:pPr>
              <w:pStyle w:val="TableContents"/>
              <w:spacing w:before="0" w:after="283"/>
              <w:jc w:val="left"/>
              <w:rPr/>
            </w:pPr>
            <w:r>
              <w:rPr/>
              <w:t> </w:t>
            </w:r>
          </w:p>
        </w:tc>
      </w:tr>
      <w:tr>
        <w:trPr/>
        <w:tc>
          <w:tcPr>
            <w:tcW w:w="2268" w:type="dxa"/>
            <w:tcBorders/>
            <w:shd w:fill="CCEEFF" w:val="clear"/>
            <w:vAlign w:val="center"/>
          </w:tcPr>
          <w:p>
            <w:pPr>
              <w:pStyle w:val="TableContents"/>
              <w:spacing w:before="0" w:after="283"/>
              <w:jc w:val="left"/>
              <w:rPr/>
            </w:pPr>
            <w:r>
              <w:rPr/>
              <w:t>Allowance for credit losses</w:t>
            </w:r>
          </w:p>
        </w:tc>
        <w:tc>
          <w:tcPr>
            <w:tcW w:w="60" w:type="dxa"/>
            <w:tcBorders/>
            <w:shd w:fill="CCEEFF" w:val="clear"/>
            <w:vAlign w:val="center"/>
          </w:tcPr>
          <w:p>
            <w:pPr>
              <w:pStyle w:val="TableContents"/>
              <w:spacing w:before="0" w:after="283"/>
              <w:rPr/>
            </w:pPr>
            <w:r>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695" w:type="dxa"/>
            <w:tcBorders>
              <w:bottom w:val="single" w:sz="12" w:space="0" w:color="000000"/>
            </w:tcBorders>
            <w:shd w:fill="CCEEFF" w:val="clear"/>
            <w:tcMar>
              <w:bottom w:w="28" w:type="dxa"/>
            </w:tcMar>
            <w:vAlign w:val="center"/>
          </w:tcPr>
          <w:p>
            <w:pPr>
              <w:pStyle w:val="TableContents"/>
              <w:spacing w:before="0" w:after="283"/>
              <w:jc w:val="right"/>
              <w:rPr/>
            </w:pPr>
            <w:r>
              <w:rPr/>
              <w:t> </w:t>
            </w:r>
            <w:r>
              <w:rPr>
                <w:sz w:val="20"/>
              </w:rPr>
              <w:t xml:space="preserve">N/A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9"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505" w:type="dxa"/>
            <w:tcBorders>
              <w:bottom w:val="single" w:sz="12" w:space="0" w:color="000000"/>
            </w:tcBorders>
            <w:shd w:fill="CCEEFF" w:val="clear"/>
            <w:tcMar>
              <w:bottom w:w="28" w:type="dxa"/>
            </w:tcMar>
            <w:vAlign w:val="center"/>
          </w:tcPr>
          <w:p>
            <w:pPr>
              <w:pStyle w:val="TableContents"/>
              <w:spacing w:before="0" w:after="283"/>
              <w:jc w:val="right"/>
              <w:rPr/>
            </w:pPr>
            <w:r>
              <w:rPr/>
              <w:t> </w:t>
            </w:r>
            <w:r>
              <w:rPr>
                <w:sz w:val="20"/>
              </w:rPr>
              <w:t xml:space="preserve">N/A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66"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447" w:type="dxa"/>
            <w:tcBorders>
              <w:bottom w:val="single" w:sz="12" w:space="0" w:color="000000"/>
            </w:tcBorders>
            <w:shd w:fill="CCEEFF" w:val="clear"/>
            <w:tcMar>
              <w:bottom w:w="28" w:type="dxa"/>
            </w:tcMar>
            <w:vAlign w:val="center"/>
          </w:tcPr>
          <w:p>
            <w:pPr>
              <w:pStyle w:val="TableContents"/>
              <w:spacing w:before="0" w:after="283"/>
              <w:jc w:val="right"/>
              <w:rPr/>
            </w:pPr>
            <w:r>
              <w:rPr/>
              <w:t>(134,542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jc w:val="left"/>
              <w:rPr/>
            </w:pPr>
            <w:r>
              <w:rPr/>
              <w:t> </w:t>
            </w:r>
          </w:p>
        </w:tc>
        <w:tc>
          <w:tcPr>
            <w:tcW w:w="1821"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jc w:val="left"/>
              <w:rPr/>
            </w:pPr>
            <w:r>
              <w:rPr/>
              <w:t> </w:t>
            </w:r>
          </w:p>
        </w:tc>
      </w:tr>
      <w:tr>
        <w:trPr/>
        <w:tc>
          <w:tcPr>
            <w:tcW w:w="2268" w:type="dxa"/>
            <w:tcBorders/>
            <w:shd w:fill="auto" w:val="clear"/>
            <w:vAlign w:val="center"/>
          </w:tcPr>
          <w:p>
            <w:pPr>
              <w:pStyle w:val="TableContents"/>
              <w:spacing w:before="0" w:after="283"/>
              <w:jc w:val="left"/>
              <w:rPr>
                <w:b/>
              </w:rPr>
            </w:pPr>
            <w:r>
              <w:rPr>
                <w:b/>
              </w:rPr>
              <w:t>Total loans held at carrying value, net</w:t>
            </w:r>
          </w:p>
        </w:tc>
        <w:tc>
          <w:tcPr>
            <w:tcW w:w="60" w:type="dxa"/>
            <w:tcBorders/>
            <w:shd w:fill="auto" w:val="clear"/>
            <w:vAlign w:val="center"/>
          </w:tcPr>
          <w:p>
            <w:pPr>
              <w:pStyle w:val="TableContents"/>
              <w:spacing w:before="0" w:after="283"/>
              <w:rPr/>
            </w:pPr>
            <w:r>
              <w:rPr/>
              <w:t> </w:t>
            </w:r>
          </w:p>
        </w:tc>
        <w:tc>
          <w:tcPr>
            <w:tcW w:w="194"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695" w:type="dxa"/>
            <w:tcBorders>
              <w:bottom w:val="double" w:sz="10" w:space="0" w:color="000000"/>
            </w:tcBorders>
            <w:shd w:fill="auto" w:val="clear"/>
            <w:tcMar>
              <w:bottom w:w="28" w:type="dxa"/>
            </w:tcMar>
            <w:vAlign w:val="center"/>
          </w:tcPr>
          <w:p>
            <w:pPr>
              <w:pStyle w:val="TableContents"/>
              <w:spacing w:before="0" w:after="283"/>
              <w:jc w:val="right"/>
              <w:rPr>
                <w:b/>
              </w:rPr>
            </w:pPr>
            <w:r>
              <w:rPr>
                <w:b/>
              </w:rPr>
              <w:t>200,632,056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199"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505" w:type="dxa"/>
            <w:tcBorders>
              <w:bottom w:val="double" w:sz="10" w:space="0" w:color="000000"/>
            </w:tcBorders>
            <w:shd w:fill="auto" w:val="clear"/>
            <w:tcMar>
              <w:bottom w:w="28" w:type="dxa"/>
            </w:tcMar>
            <w:vAlign w:val="center"/>
          </w:tcPr>
          <w:p>
            <w:pPr>
              <w:pStyle w:val="TableContents"/>
              <w:spacing w:before="0" w:after="283"/>
              <w:jc w:val="right"/>
              <w:rPr>
                <w:b/>
              </w:rPr>
            </w:pPr>
            <w:r>
              <w:rPr>
                <w:b/>
              </w:rPr>
              <w:t>(3,647,490</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66"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447" w:type="dxa"/>
            <w:tcBorders>
              <w:bottom w:val="double" w:sz="10" w:space="0" w:color="000000"/>
            </w:tcBorders>
            <w:shd w:fill="auto" w:val="clear"/>
            <w:tcMar>
              <w:bottom w:w="28" w:type="dxa"/>
            </w:tcMar>
            <w:vAlign w:val="center"/>
          </w:tcPr>
          <w:p>
            <w:pPr>
              <w:pStyle w:val="TableContents"/>
              <w:spacing w:before="0" w:after="283"/>
              <w:jc w:val="right"/>
              <w:rPr>
                <w:b/>
              </w:rPr>
            </w:pPr>
            <w:r>
              <w:rPr>
                <w:b/>
              </w:rPr>
              <w:t>196,850,024</w:t>
            </w:r>
          </w:p>
        </w:tc>
        <w:tc>
          <w:tcPr>
            <w:tcW w:w="95"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jc w:val="left"/>
              <w:rPr/>
            </w:pPr>
            <w:r>
              <w:rPr/>
              <w:t> </w:t>
            </w:r>
          </w:p>
        </w:tc>
        <w:tc>
          <w:tcPr>
            <w:tcW w:w="1821" w:type="dxa"/>
            <w:tcBorders/>
            <w:shd w:fill="auto" w:val="clear"/>
            <w:vAlign w:val="center"/>
          </w:tcPr>
          <w:p>
            <w:pPr>
              <w:pStyle w:val="TableContents"/>
              <w:spacing w:before="0" w:after="283"/>
              <w:jc w:val="right"/>
              <w:rPr/>
            </w:pPr>
            <w:r>
              <w:rPr/>
              <w:t> </w:t>
            </w:r>
          </w:p>
        </w:tc>
        <w:tc>
          <w:tcPr>
            <w:tcW w:w="80" w:type="dxa"/>
            <w:tcBorders/>
            <w:shd w:fill="auto"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changes in loans held for investment at carrying value as of and for the three months ended March 31, 2022:</w:t>
      </w:r>
    </w:p>
    <w:p>
      <w:pPr>
        <w:pStyle w:val="TextBody"/>
        <w:spacing w:before="0" w:after="0"/>
        <w:ind w:left="0" w:right="0" w:hanging="0"/>
        <w:jc w:val="both"/>
        <w:rPr>
          <w:caps w:val="false"/>
          <w:smallCaps w:val="false"/>
        </w:rPr>
      </w:pPr>
      <w:r>
        <w:rPr>
          <w:caps w:val="false"/>
          <w:smallCaps w:val="false"/>
        </w:rPr>
        <w:t> </w:t>
      </w:r>
    </w:p>
    <w:tbl>
      <w:tblPr>
        <w:tblW w:w="10187" w:type="dxa"/>
        <w:jc w:val="left"/>
        <w:tblInd w:w="0" w:type="dxa"/>
        <w:tblCellMar>
          <w:top w:w="0" w:type="dxa"/>
          <w:left w:w="0" w:type="dxa"/>
          <w:bottom w:w="0" w:type="dxa"/>
          <w:right w:w="0" w:type="dxa"/>
        </w:tblCellMar>
      </w:tblPr>
      <w:tblGrid>
        <w:gridCol w:w="2930"/>
        <w:gridCol w:w="60"/>
        <w:gridCol w:w="125"/>
        <w:gridCol w:w="1055"/>
        <w:gridCol w:w="80"/>
        <w:gridCol w:w="60"/>
        <w:gridCol w:w="225"/>
        <w:gridCol w:w="1630"/>
        <w:gridCol w:w="144"/>
        <w:gridCol w:w="60"/>
        <w:gridCol w:w="311"/>
        <w:gridCol w:w="1879"/>
        <w:gridCol w:w="199"/>
        <w:gridCol w:w="60"/>
        <w:gridCol w:w="134"/>
        <w:gridCol w:w="1133"/>
        <w:gridCol w:w="102"/>
      </w:tblGrid>
      <w:tr>
        <w:trPr/>
        <w:tc>
          <w:tcPr>
            <w:tcW w:w="293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60" w:type="dxa"/>
            <w:gridSpan w:val="3"/>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Principal</w:t>
            </w:r>
          </w:p>
        </w:tc>
        <w:tc>
          <w:tcPr>
            <w:tcW w:w="60" w:type="dxa"/>
            <w:tcBorders/>
            <w:shd w:fill="auto" w:val="clear"/>
            <w:vAlign w:val="center"/>
          </w:tcPr>
          <w:p>
            <w:pPr>
              <w:pStyle w:val="TableContents"/>
              <w:spacing w:before="0" w:after="283"/>
              <w:rPr/>
            </w:pPr>
            <w:r>
              <w:rPr/>
              <w:t> </w:t>
            </w:r>
          </w:p>
        </w:tc>
        <w:tc>
          <w:tcPr>
            <w:tcW w:w="1999" w:type="dxa"/>
            <w:gridSpan w:val="3"/>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Original Issue Discount</w:t>
            </w:r>
          </w:p>
        </w:tc>
        <w:tc>
          <w:tcPr>
            <w:tcW w:w="60" w:type="dxa"/>
            <w:tcBorders/>
            <w:shd w:fill="auto" w:val="clear"/>
            <w:vAlign w:val="center"/>
          </w:tcPr>
          <w:p>
            <w:pPr>
              <w:pStyle w:val="TableContents"/>
              <w:spacing w:before="0" w:after="283"/>
              <w:rPr/>
            </w:pPr>
            <w:r>
              <w:rPr/>
              <w:t> </w:t>
            </w:r>
          </w:p>
        </w:tc>
        <w:tc>
          <w:tcPr>
            <w:tcW w:w="2389" w:type="dxa"/>
            <w:gridSpan w:val="3"/>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Allowance for Credit Losses</w:t>
            </w:r>
          </w:p>
        </w:tc>
        <w:tc>
          <w:tcPr>
            <w:tcW w:w="60" w:type="dxa"/>
            <w:tcBorders/>
            <w:shd w:fill="auto" w:val="clear"/>
            <w:vAlign w:val="center"/>
          </w:tcPr>
          <w:p>
            <w:pPr>
              <w:pStyle w:val="TableContents"/>
              <w:spacing w:before="0" w:after="283"/>
              <w:rPr/>
            </w:pPr>
            <w:r>
              <w:rPr/>
              <w:t> </w:t>
            </w:r>
          </w:p>
        </w:tc>
        <w:tc>
          <w:tcPr>
            <w:tcW w:w="1369" w:type="dxa"/>
            <w:gridSpan w:val="3"/>
            <w:tcBorders>
              <w:bottom w:val="single" w:sz="12" w:space="0" w:color="000000"/>
            </w:tcBorders>
            <w:shd w:fill="auto" w:val="clear"/>
            <w:tcMar>
              <w:bottom w:w="28" w:type="dxa"/>
            </w:tcMar>
            <w:vAlign w:val="center"/>
          </w:tcPr>
          <w:p>
            <w:pPr>
              <w:pStyle w:val="TableContents"/>
              <w:spacing w:before="0" w:after="283"/>
              <w:jc w:val="center"/>
              <w:rPr>
                <w:b/>
                <w:sz w:val="20"/>
              </w:rPr>
            </w:pPr>
            <w:r>
              <w:rPr>
                <w:b/>
                <w:sz w:val="20"/>
              </w:rPr>
              <w:t>Carrying Value</w:t>
            </w:r>
          </w:p>
        </w:tc>
      </w:tr>
      <w:tr>
        <w:trPr/>
        <w:tc>
          <w:tcPr>
            <w:tcW w:w="2930" w:type="dxa"/>
            <w:tcBorders/>
            <w:shd w:fill="CCEEFF" w:val="clear"/>
            <w:vAlign w:val="center"/>
          </w:tcPr>
          <w:p>
            <w:pPr>
              <w:pStyle w:val="TableContents"/>
              <w:spacing w:before="0" w:after="283"/>
              <w:rPr>
                <w:b/>
                <w:sz w:val="20"/>
              </w:rPr>
            </w:pPr>
            <w:r>
              <w:rPr>
                <w:b/>
                <w:sz w:val="20"/>
              </w:rPr>
              <w:t>Balance at December 31, 2021</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b/>
                <w:sz w:val="20"/>
              </w:rPr>
            </w:pPr>
            <w:r>
              <w:rPr>
                <w:b/>
                <w:sz w:val="20"/>
              </w:rPr>
              <w:t>$</w:t>
            </w:r>
          </w:p>
        </w:tc>
        <w:tc>
          <w:tcPr>
            <w:tcW w:w="1055" w:type="dxa"/>
            <w:tcBorders/>
            <w:shd w:fill="CCEEFF" w:val="clear"/>
            <w:vAlign w:val="center"/>
          </w:tcPr>
          <w:p>
            <w:pPr>
              <w:pStyle w:val="TableContents"/>
              <w:spacing w:before="0" w:after="283"/>
              <w:jc w:val="right"/>
              <w:rPr>
                <w:b/>
                <w:sz w:val="20"/>
              </w:rPr>
            </w:pPr>
            <w:r>
              <w:rPr>
                <w:b/>
                <w:sz w:val="20"/>
              </w:rPr>
              <w:t>200,632,056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b/>
                <w:sz w:val="20"/>
              </w:rPr>
            </w:pPr>
            <w:r>
              <w:rPr>
                <w:b/>
                <w:sz w:val="20"/>
              </w:rPr>
              <w:t>$</w:t>
            </w:r>
          </w:p>
        </w:tc>
        <w:tc>
          <w:tcPr>
            <w:tcW w:w="1630" w:type="dxa"/>
            <w:tcBorders/>
            <w:shd w:fill="CCEEFF" w:val="clear"/>
            <w:vAlign w:val="center"/>
          </w:tcPr>
          <w:p>
            <w:pPr>
              <w:pStyle w:val="TableContents"/>
              <w:spacing w:before="0" w:after="283"/>
              <w:jc w:val="right"/>
              <w:rPr>
                <w:b/>
                <w:sz w:val="20"/>
              </w:rPr>
            </w:pPr>
            <w:r>
              <w:rPr>
                <w:b/>
                <w:sz w:val="20"/>
              </w:rPr>
              <w:t>(3,647,490</w:t>
            </w:r>
          </w:p>
        </w:tc>
        <w:tc>
          <w:tcPr>
            <w:tcW w:w="144" w:type="dxa"/>
            <w:tcBorders/>
            <w:shd w:fill="CCEEFF" w:val="clear"/>
            <w:vAlign w:val="center"/>
          </w:tcPr>
          <w:p>
            <w:pPr>
              <w:pStyle w:val="TableContents"/>
              <w:spacing w:before="0" w:after="283"/>
              <w:rPr>
                <w:b/>
                <w:sz w:val="20"/>
              </w:rPr>
            </w:pPr>
            <w:r>
              <w:rPr>
                <w:b/>
                <w:sz w:val="20"/>
              </w:rPr>
              <w:t>)</w:t>
            </w:r>
          </w:p>
        </w:tc>
        <w:tc>
          <w:tcPr>
            <w:tcW w:w="60" w:type="dxa"/>
            <w:tcBorders/>
            <w:shd w:fill="CCEEFF" w:val="clear"/>
            <w:vAlign w:val="center"/>
          </w:tcPr>
          <w:p>
            <w:pPr>
              <w:pStyle w:val="TableContents"/>
              <w:spacing w:before="0" w:after="283"/>
              <w:rPr/>
            </w:pPr>
            <w:r>
              <w:rPr/>
              <w:t> </w:t>
            </w:r>
          </w:p>
        </w:tc>
        <w:tc>
          <w:tcPr>
            <w:tcW w:w="311" w:type="dxa"/>
            <w:tcBorders/>
            <w:shd w:fill="CCEEFF" w:val="clear"/>
            <w:vAlign w:val="center"/>
          </w:tcPr>
          <w:p>
            <w:pPr>
              <w:pStyle w:val="TableContents"/>
              <w:spacing w:before="0" w:after="283"/>
              <w:rPr>
                <w:b/>
                <w:sz w:val="20"/>
              </w:rPr>
            </w:pPr>
            <w:r>
              <w:rPr>
                <w:b/>
                <w:sz w:val="20"/>
              </w:rPr>
              <w:t>$</w:t>
            </w:r>
          </w:p>
        </w:tc>
        <w:tc>
          <w:tcPr>
            <w:tcW w:w="1879" w:type="dxa"/>
            <w:tcBorders/>
            <w:shd w:fill="CCEEFF" w:val="clear"/>
            <w:vAlign w:val="center"/>
          </w:tcPr>
          <w:p>
            <w:pPr>
              <w:pStyle w:val="TableContents"/>
              <w:spacing w:before="0" w:after="283"/>
              <w:jc w:val="right"/>
              <w:rPr>
                <w:b/>
                <w:sz w:val="20"/>
              </w:rPr>
            </w:pPr>
            <w:r>
              <w:rPr>
                <w:b/>
                <w:sz w:val="20"/>
              </w:rPr>
              <w:t>(134,542</w:t>
            </w:r>
          </w:p>
        </w:tc>
        <w:tc>
          <w:tcPr>
            <w:tcW w:w="199" w:type="dxa"/>
            <w:tcBorders/>
            <w:shd w:fill="CCEEFF" w:val="clear"/>
            <w:vAlign w:val="center"/>
          </w:tcPr>
          <w:p>
            <w:pPr>
              <w:pStyle w:val="TableContents"/>
              <w:spacing w:before="0" w:after="283"/>
              <w:rPr>
                <w:b/>
                <w:sz w:val="20"/>
              </w:rPr>
            </w:pPr>
            <w:r>
              <w:rPr>
                <w:b/>
                <w:sz w:val="20"/>
              </w:rPr>
              <w:t>)</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b/>
                <w:sz w:val="20"/>
              </w:rPr>
            </w:pPr>
            <w:r>
              <w:rPr>
                <w:b/>
                <w:sz w:val="20"/>
              </w:rPr>
              <w:t>$</w:t>
            </w:r>
          </w:p>
        </w:tc>
        <w:tc>
          <w:tcPr>
            <w:tcW w:w="1133" w:type="dxa"/>
            <w:tcBorders/>
            <w:shd w:fill="CCEEFF" w:val="clear"/>
            <w:vAlign w:val="center"/>
          </w:tcPr>
          <w:p>
            <w:pPr>
              <w:pStyle w:val="TableContents"/>
              <w:spacing w:before="0" w:after="283"/>
              <w:jc w:val="right"/>
              <w:rPr>
                <w:b/>
                <w:sz w:val="20"/>
              </w:rPr>
            </w:pPr>
            <w:r>
              <w:rPr>
                <w:b/>
                <w:sz w:val="20"/>
              </w:rPr>
              <w:t>196,850,024</w:t>
            </w:r>
          </w:p>
        </w:tc>
        <w:tc>
          <w:tcPr>
            <w:tcW w:w="102"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sz w:val="20"/>
              </w:rPr>
            </w:pPr>
            <w:r>
              <w:rPr>
                <w:sz w:val="20"/>
              </w:rPr>
              <w:t>New fundings</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sz w:val="20"/>
              </w:rPr>
            </w:pPr>
            <w:r>
              <w:rPr>
                <w:sz w:val="20"/>
              </w:rPr>
              <w:t>86,725,308</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630" w:type="dxa"/>
            <w:tcBorders/>
            <w:shd w:fill="auto" w:val="clear"/>
            <w:vAlign w:val="center"/>
          </w:tcPr>
          <w:p>
            <w:pPr>
              <w:pStyle w:val="TableContents"/>
              <w:spacing w:before="0" w:after="283"/>
              <w:jc w:val="right"/>
              <w:rPr>
                <w:sz w:val="20"/>
              </w:rPr>
            </w:pPr>
            <w:r>
              <w:rPr>
                <w:sz w:val="20"/>
              </w:rPr>
              <w:t>(1,128,415</w:t>
            </w:r>
          </w:p>
        </w:tc>
        <w:tc>
          <w:tcPr>
            <w:tcW w:w="144" w:type="dxa"/>
            <w:tcBorders/>
            <w:shd w:fill="auto" w:val="clear"/>
            <w:vAlign w:val="center"/>
          </w:tcPr>
          <w:p>
            <w:pPr>
              <w:pStyle w:val="TableContents"/>
              <w:spacing w:before="0" w:after="283"/>
              <w:rPr>
                <w:sz w:val="20"/>
              </w:rPr>
            </w:pPr>
            <w:r>
              <w:rPr>
                <w:sz w:val="20"/>
              </w:rPr>
              <w:t>)</w:t>
            </w:r>
          </w:p>
        </w:tc>
        <w:tc>
          <w:tcPr>
            <w:tcW w:w="6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jc w:val="right"/>
              <w:rPr>
                <w:sz w:val="20"/>
              </w:rPr>
            </w:pPr>
            <w:r>
              <w:rPr>
                <w:sz w:val="20"/>
              </w:rPr>
              <w:t>-</w:t>
            </w:r>
          </w:p>
        </w:tc>
        <w:tc>
          <w:tcPr>
            <w:tcW w:w="19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133" w:type="dxa"/>
            <w:tcBorders/>
            <w:shd w:fill="auto" w:val="clear"/>
            <w:vAlign w:val="center"/>
          </w:tcPr>
          <w:p>
            <w:pPr>
              <w:pStyle w:val="TableContents"/>
              <w:spacing w:before="0" w:after="283"/>
              <w:jc w:val="right"/>
              <w:rPr>
                <w:sz w:val="20"/>
              </w:rPr>
            </w:pPr>
            <w:r>
              <w:rPr>
                <w:sz w:val="20"/>
              </w:rPr>
              <w:t>85,596,893</w:t>
            </w:r>
          </w:p>
        </w:tc>
        <w:tc>
          <w:tcPr>
            <w:tcW w:w="102"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283"/>
              <w:rPr>
                <w:sz w:val="20"/>
              </w:rPr>
            </w:pPr>
            <w:r>
              <w:rPr>
                <w:sz w:val="20"/>
              </w:rPr>
              <w:t>Principal repayment of loans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sz w:val="20"/>
              </w:rPr>
            </w:pPr>
            <w:r>
              <w:rPr>
                <w:sz w:val="20"/>
              </w:rPr>
              <w:t>(5,619,201</w:t>
            </w:r>
          </w:p>
        </w:tc>
        <w:tc>
          <w:tcPr>
            <w:tcW w:w="80" w:type="dxa"/>
            <w:tcBorders/>
            <w:shd w:fill="CCEEFF" w:val="clear"/>
            <w:vAlign w:val="center"/>
          </w:tcPr>
          <w:p>
            <w:pPr>
              <w:pStyle w:val="TableContents"/>
              <w:spacing w:before="0" w:after="283"/>
              <w:rPr>
                <w:sz w:val="20"/>
              </w:rPr>
            </w:pPr>
            <w:r>
              <w:rPr>
                <w:sz w:val="20"/>
              </w:rPr>
              <w:t>)</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1630" w:type="dxa"/>
            <w:tcBorders/>
            <w:shd w:fill="CCEEFF" w:val="clear"/>
            <w:vAlign w:val="center"/>
          </w:tcPr>
          <w:p>
            <w:pPr>
              <w:pStyle w:val="TableContents"/>
              <w:spacing w:before="0" w:after="283"/>
              <w:jc w:val="right"/>
              <w:rPr>
                <w:sz w:val="20"/>
              </w:rPr>
            </w:pPr>
            <w:r>
              <w:rPr>
                <w:sz w:val="20"/>
              </w:rPr>
              <w:t>-</w:t>
            </w:r>
          </w:p>
        </w:tc>
        <w:tc>
          <w:tcPr>
            <w:tcW w:w="14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1"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jc w:val="right"/>
              <w:rPr>
                <w:sz w:val="20"/>
              </w:rPr>
            </w:pPr>
            <w:r>
              <w:rPr>
                <w:sz w:val="20"/>
              </w:rPr>
              <w:t>-</w:t>
            </w:r>
          </w:p>
        </w:tc>
        <w:tc>
          <w:tcPr>
            <w:tcW w:w="19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133" w:type="dxa"/>
            <w:tcBorders/>
            <w:shd w:fill="CCEEFF" w:val="clear"/>
            <w:vAlign w:val="center"/>
          </w:tcPr>
          <w:p>
            <w:pPr>
              <w:pStyle w:val="TableContents"/>
              <w:spacing w:before="0" w:after="283"/>
              <w:jc w:val="right"/>
              <w:rPr>
                <w:sz w:val="20"/>
              </w:rPr>
            </w:pPr>
            <w:r>
              <w:rPr>
                <w:sz w:val="20"/>
              </w:rPr>
              <w:t>(5,619,201</w:t>
            </w:r>
          </w:p>
        </w:tc>
        <w:tc>
          <w:tcPr>
            <w:tcW w:w="102" w:type="dxa"/>
            <w:tcBorders/>
            <w:shd w:fill="CCEEFF" w:val="clear"/>
            <w:vAlign w:val="center"/>
          </w:tcPr>
          <w:p>
            <w:pPr>
              <w:pStyle w:val="TableContents"/>
              <w:spacing w:before="0" w:after="283"/>
              <w:rPr>
                <w:sz w:val="20"/>
              </w:rPr>
            </w:pPr>
            <w:r>
              <w:rPr>
                <w:sz w:val="20"/>
              </w:rPr>
              <w:t>)</w:t>
            </w:r>
          </w:p>
        </w:tc>
      </w:tr>
      <w:tr>
        <w:trPr/>
        <w:tc>
          <w:tcPr>
            <w:tcW w:w="2930" w:type="dxa"/>
            <w:tcBorders/>
            <w:shd w:fill="auto" w:val="clear"/>
            <w:vAlign w:val="center"/>
          </w:tcPr>
          <w:p>
            <w:pPr>
              <w:pStyle w:val="TableContents"/>
              <w:spacing w:before="0" w:after="283"/>
              <w:rPr>
                <w:sz w:val="20"/>
              </w:rPr>
            </w:pPr>
            <w:r>
              <w:rPr>
                <w:sz w:val="20"/>
              </w:rPr>
              <w:t>Accretion of original issue discount</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sz w:val="20"/>
              </w:rPr>
            </w:pPr>
            <w:r>
              <w:rPr>
                <w:sz w:val="20"/>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1630" w:type="dxa"/>
            <w:tcBorders/>
            <w:shd w:fill="auto" w:val="clear"/>
            <w:vAlign w:val="center"/>
          </w:tcPr>
          <w:p>
            <w:pPr>
              <w:pStyle w:val="TableContents"/>
              <w:spacing w:before="0" w:after="283"/>
              <w:jc w:val="right"/>
              <w:rPr>
                <w:sz w:val="20"/>
              </w:rPr>
            </w:pPr>
            <w:r>
              <w:rPr>
                <w:sz w:val="20"/>
              </w:rPr>
              <w:t>894,087</w:t>
            </w:r>
          </w:p>
        </w:tc>
        <w:tc>
          <w:tcPr>
            <w:tcW w:w="14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1" w:type="dxa"/>
            <w:tcBorders/>
            <w:shd w:fill="auto" w:val="clear"/>
            <w:vAlign w:val="center"/>
          </w:tcPr>
          <w:p>
            <w:pPr>
              <w:pStyle w:val="TableContents"/>
              <w:spacing w:before="0" w:after="283"/>
              <w:rPr/>
            </w:pPr>
            <w:r>
              <w:rPr/>
              <w:t> </w:t>
            </w:r>
          </w:p>
        </w:tc>
        <w:tc>
          <w:tcPr>
            <w:tcW w:w="1879" w:type="dxa"/>
            <w:tcBorders/>
            <w:shd w:fill="auto" w:val="clear"/>
            <w:vAlign w:val="center"/>
          </w:tcPr>
          <w:p>
            <w:pPr>
              <w:pStyle w:val="TableContents"/>
              <w:spacing w:before="0" w:after="283"/>
              <w:jc w:val="right"/>
              <w:rPr>
                <w:sz w:val="20"/>
              </w:rPr>
            </w:pPr>
            <w:r>
              <w:rPr>
                <w:sz w:val="20"/>
              </w:rPr>
              <w:t>-</w:t>
            </w:r>
          </w:p>
        </w:tc>
        <w:tc>
          <w:tcPr>
            <w:tcW w:w="199"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4" w:type="dxa"/>
            <w:tcBorders/>
            <w:shd w:fill="auto" w:val="clear"/>
            <w:vAlign w:val="center"/>
          </w:tcPr>
          <w:p>
            <w:pPr>
              <w:pStyle w:val="TableContents"/>
              <w:spacing w:before="0" w:after="283"/>
              <w:rPr/>
            </w:pPr>
            <w:r>
              <w:rPr/>
              <w:t> </w:t>
            </w:r>
          </w:p>
        </w:tc>
        <w:tc>
          <w:tcPr>
            <w:tcW w:w="1133" w:type="dxa"/>
            <w:tcBorders/>
            <w:shd w:fill="auto" w:val="clear"/>
            <w:vAlign w:val="center"/>
          </w:tcPr>
          <w:p>
            <w:pPr>
              <w:pStyle w:val="TableContents"/>
              <w:spacing w:before="0" w:after="283"/>
              <w:jc w:val="right"/>
              <w:rPr>
                <w:sz w:val="20"/>
              </w:rPr>
            </w:pPr>
            <w:r>
              <w:rPr>
                <w:sz w:val="20"/>
              </w:rPr>
              <w:t>894,087</w:t>
            </w:r>
          </w:p>
        </w:tc>
        <w:tc>
          <w:tcPr>
            <w:tcW w:w="102" w:type="dxa"/>
            <w:tcBorders/>
            <w:shd w:fill="auto" w:val="clear"/>
            <w:vAlign w:val="center"/>
          </w:tcPr>
          <w:p>
            <w:pPr>
              <w:pStyle w:val="TableContents"/>
              <w:spacing w:before="0" w:after="283"/>
              <w:rPr/>
            </w:pPr>
            <w:r>
              <w:rPr/>
              <w:t> </w:t>
            </w:r>
          </w:p>
        </w:tc>
      </w:tr>
      <w:tr>
        <w:trPr/>
        <w:tc>
          <w:tcPr>
            <w:tcW w:w="2930" w:type="dxa"/>
            <w:tcBorders/>
            <w:shd w:fill="CCEEFF" w:val="clear"/>
            <w:vAlign w:val="center"/>
          </w:tcPr>
          <w:p>
            <w:pPr>
              <w:pStyle w:val="TableContents"/>
              <w:spacing w:before="0" w:after="283"/>
              <w:rPr>
                <w:sz w:val="20"/>
              </w:rPr>
            </w:pPr>
            <w:r>
              <w:rPr>
                <w:sz w:val="20"/>
              </w:rPr>
              <w:t>PIK Interest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sz w:val="20"/>
              </w:rPr>
            </w:pPr>
            <w:r>
              <w:rPr>
                <w:sz w:val="20"/>
              </w:rPr>
              <w:t>970,569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1630" w:type="dxa"/>
            <w:tcBorders/>
            <w:shd w:fill="CCEEFF" w:val="clear"/>
            <w:vAlign w:val="center"/>
          </w:tcPr>
          <w:p>
            <w:pPr>
              <w:pStyle w:val="TableContents"/>
              <w:spacing w:before="0" w:after="283"/>
              <w:jc w:val="right"/>
              <w:rPr>
                <w:sz w:val="20"/>
              </w:rPr>
            </w:pPr>
            <w:r>
              <w:rPr>
                <w:sz w:val="20"/>
              </w:rPr>
              <w:t>-</w:t>
            </w:r>
          </w:p>
        </w:tc>
        <w:tc>
          <w:tcPr>
            <w:tcW w:w="14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311" w:type="dxa"/>
            <w:tcBorders/>
            <w:shd w:fill="CCEEFF" w:val="clear"/>
            <w:vAlign w:val="center"/>
          </w:tcPr>
          <w:p>
            <w:pPr>
              <w:pStyle w:val="TableContents"/>
              <w:spacing w:before="0" w:after="283"/>
              <w:rPr/>
            </w:pPr>
            <w:r>
              <w:rPr/>
              <w:t> </w:t>
            </w:r>
          </w:p>
        </w:tc>
        <w:tc>
          <w:tcPr>
            <w:tcW w:w="1879" w:type="dxa"/>
            <w:tcBorders/>
            <w:shd w:fill="CCEEFF" w:val="clear"/>
            <w:vAlign w:val="center"/>
          </w:tcPr>
          <w:p>
            <w:pPr>
              <w:pStyle w:val="TableContents"/>
              <w:spacing w:before="0" w:after="283"/>
              <w:jc w:val="right"/>
              <w:rPr>
                <w:sz w:val="20"/>
              </w:rPr>
            </w:pPr>
            <w:r>
              <w:rPr>
                <w:sz w:val="20"/>
              </w:rPr>
              <w:t>-</w:t>
            </w:r>
          </w:p>
        </w:tc>
        <w:tc>
          <w:tcPr>
            <w:tcW w:w="199"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4" w:type="dxa"/>
            <w:tcBorders/>
            <w:shd w:fill="CCEEFF" w:val="clear"/>
            <w:vAlign w:val="center"/>
          </w:tcPr>
          <w:p>
            <w:pPr>
              <w:pStyle w:val="TableContents"/>
              <w:spacing w:before="0" w:after="283"/>
              <w:rPr/>
            </w:pPr>
            <w:r>
              <w:rPr/>
              <w:t> </w:t>
            </w:r>
          </w:p>
        </w:tc>
        <w:tc>
          <w:tcPr>
            <w:tcW w:w="1133" w:type="dxa"/>
            <w:tcBorders/>
            <w:shd w:fill="CCEEFF" w:val="clear"/>
            <w:vAlign w:val="center"/>
          </w:tcPr>
          <w:p>
            <w:pPr>
              <w:pStyle w:val="TableContents"/>
              <w:spacing w:before="0" w:after="283"/>
              <w:jc w:val="right"/>
              <w:rPr>
                <w:sz w:val="20"/>
              </w:rPr>
            </w:pPr>
            <w:r>
              <w:rPr>
                <w:sz w:val="20"/>
              </w:rPr>
              <w:t>970,569</w:t>
            </w:r>
          </w:p>
        </w:tc>
        <w:tc>
          <w:tcPr>
            <w:tcW w:w="102" w:type="dxa"/>
            <w:tcBorders/>
            <w:shd w:fill="CCEEFF" w:val="clear"/>
            <w:vAlign w:val="center"/>
          </w:tcPr>
          <w:p>
            <w:pPr>
              <w:pStyle w:val="TableContents"/>
              <w:spacing w:before="0" w:after="283"/>
              <w:rPr/>
            </w:pPr>
            <w:r>
              <w:rPr/>
              <w:t> </w:t>
            </w:r>
          </w:p>
        </w:tc>
      </w:tr>
      <w:tr>
        <w:trPr/>
        <w:tc>
          <w:tcPr>
            <w:tcW w:w="2930" w:type="dxa"/>
            <w:tcBorders/>
            <w:shd w:fill="auto" w:val="clear"/>
            <w:vAlign w:val="center"/>
          </w:tcPr>
          <w:p>
            <w:pPr>
              <w:pStyle w:val="TableContents"/>
              <w:spacing w:before="0" w:after="283"/>
              <w:rPr>
                <w:sz w:val="20"/>
              </w:rPr>
            </w:pPr>
            <w:r>
              <w:rPr>
                <w:sz w:val="20"/>
              </w:rPr>
              <w:t>Provision for credit losses</w:t>
            </w:r>
          </w:p>
        </w:tc>
        <w:tc>
          <w:tcPr>
            <w:tcW w:w="60" w:type="dxa"/>
            <w:tcBorders/>
            <w:shd w:fill="auto" w:val="clear"/>
            <w:vAlign w:val="center"/>
          </w:tcPr>
          <w:p>
            <w:pPr>
              <w:pStyle w:val="TableContents"/>
              <w:spacing w:before="0" w:after="283"/>
              <w:rPr/>
            </w:pPr>
            <w:r>
              <w:rPr/>
              <w:t> </w:t>
            </w:r>
          </w:p>
        </w:tc>
        <w:tc>
          <w:tcPr>
            <w:tcW w:w="125" w:type="dxa"/>
            <w:tcBorders>
              <w:bottom w:val="single" w:sz="12" w:space="0" w:color="000000"/>
            </w:tcBorders>
            <w:shd w:fill="auto" w:val="clear"/>
            <w:tcMar>
              <w:bottom w:w="28" w:type="dxa"/>
            </w:tcMar>
            <w:vAlign w:val="center"/>
          </w:tcPr>
          <w:p>
            <w:pPr>
              <w:pStyle w:val="TableContents"/>
              <w:spacing w:before="0" w:after="283"/>
              <w:rPr/>
            </w:pPr>
            <w:r>
              <w:rPr/>
              <w:t> </w:t>
            </w:r>
          </w:p>
        </w:tc>
        <w:tc>
          <w:tcPr>
            <w:tcW w:w="1055" w:type="dxa"/>
            <w:tcBorders>
              <w:bottom w:val="single" w:sz="12" w:space="0" w:color="000000"/>
            </w:tcBorders>
            <w:shd w:fill="auto" w:val="clear"/>
            <w:tcMar>
              <w:bottom w:w="28" w:type="dxa"/>
            </w:tcMar>
            <w:vAlign w:val="center"/>
          </w:tcPr>
          <w:p>
            <w:pPr>
              <w:pStyle w:val="TableContents"/>
              <w:spacing w:before="0" w:after="283"/>
              <w:jc w:val="right"/>
              <w:rPr>
                <w:sz w:val="20"/>
              </w:rPr>
            </w:pPr>
            <w:r>
              <w:rPr>
                <w:sz w:val="20"/>
              </w:rPr>
              <w: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5" w:type="dxa"/>
            <w:tcBorders>
              <w:bottom w:val="single" w:sz="12" w:space="0" w:color="000000"/>
            </w:tcBorders>
            <w:shd w:fill="auto" w:val="clear"/>
            <w:tcMar>
              <w:bottom w:w="28" w:type="dxa"/>
            </w:tcMar>
            <w:vAlign w:val="center"/>
          </w:tcPr>
          <w:p>
            <w:pPr>
              <w:pStyle w:val="TableContents"/>
              <w:spacing w:before="0" w:after="283"/>
              <w:rPr/>
            </w:pPr>
            <w:r>
              <w:rPr/>
              <w:t> </w:t>
            </w:r>
          </w:p>
        </w:tc>
        <w:tc>
          <w:tcPr>
            <w:tcW w:w="1630" w:type="dxa"/>
            <w:tcBorders>
              <w:bottom w:val="single" w:sz="12" w:space="0" w:color="000000"/>
            </w:tcBorders>
            <w:shd w:fill="auto" w:val="clear"/>
            <w:tcMar>
              <w:bottom w:w="28" w:type="dxa"/>
            </w:tcMar>
            <w:vAlign w:val="center"/>
          </w:tcPr>
          <w:p>
            <w:pPr>
              <w:pStyle w:val="TableContents"/>
              <w:spacing w:before="0" w:after="283"/>
              <w:jc w:val="right"/>
              <w:rPr>
                <w:sz w:val="20"/>
              </w:rPr>
            </w:pPr>
            <w:r>
              <w:rPr>
                <w:sz w:val="20"/>
              </w:rPr>
              <w:t>-</w:t>
            </w:r>
          </w:p>
        </w:tc>
        <w:tc>
          <w:tcPr>
            <w:tcW w:w="14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1" w:type="dxa"/>
            <w:tcBorders>
              <w:bottom w:val="single" w:sz="12" w:space="0" w:color="000000"/>
            </w:tcBorders>
            <w:shd w:fill="auto" w:val="clear"/>
            <w:tcMar>
              <w:bottom w:w="28" w:type="dxa"/>
            </w:tcMar>
            <w:vAlign w:val="center"/>
          </w:tcPr>
          <w:p>
            <w:pPr>
              <w:pStyle w:val="TableContents"/>
              <w:spacing w:before="0" w:after="283"/>
              <w:rPr/>
            </w:pPr>
            <w:r>
              <w:rPr/>
              <w:t> </w:t>
            </w:r>
          </w:p>
        </w:tc>
        <w:tc>
          <w:tcPr>
            <w:tcW w:w="1879" w:type="dxa"/>
            <w:tcBorders>
              <w:bottom w:val="single" w:sz="12" w:space="0" w:color="000000"/>
            </w:tcBorders>
            <w:shd w:fill="auto" w:val="clear"/>
            <w:tcMar>
              <w:bottom w:w="28" w:type="dxa"/>
            </w:tcMar>
            <w:vAlign w:val="center"/>
          </w:tcPr>
          <w:p>
            <w:pPr>
              <w:pStyle w:val="TableContents"/>
              <w:spacing w:before="0" w:after="283"/>
              <w:jc w:val="right"/>
              <w:rPr>
                <w:sz w:val="20"/>
              </w:rPr>
            </w:pPr>
            <w:r>
              <w:rPr>
                <w:sz w:val="20"/>
              </w:rPr>
              <w:t>(48,296</w:t>
            </w:r>
          </w:p>
        </w:tc>
        <w:tc>
          <w:tcPr>
            <w:tcW w:w="199" w:type="dxa"/>
            <w:tcBorders/>
            <w:shd w:fill="auto" w:val="clear"/>
            <w:vAlign w:val="center"/>
          </w:tcPr>
          <w:p>
            <w:pPr>
              <w:pStyle w:val="TableContents"/>
              <w:spacing w:before="0" w:after="283"/>
              <w:rPr>
                <w:sz w:val="20"/>
              </w:rPr>
            </w:pPr>
            <w:r>
              <w:rPr>
                <w:sz w:val="20"/>
              </w:rPr>
              <w:t>)</w:t>
            </w:r>
          </w:p>
        </w:tc>
        <w:tc>
          <w:tcPr>
            <w:tcW w:w="60" w:type="dxa"/>
            <w:tcBorders/>
            <w:shd w:fill="auto" w:val="clear"/>
            <w:vAlign w:val="center"/>
          </w:tcPr>
          <w:p>
            <w:pPr>
              <w:pStyle w:val="TableContents"/>
              <w:spacing w:before="0" w:after="283"/>
              <w:rPr/>
            </w:pPr>
            <w:r>
              <w:rPr/>
              <w:t> </w:t>
            </w:r>
          </w:p>
        </w:tc>
        <w:tc>
          <w:tcPr>
            <w:tcW w:w="134" w:type="dxa"/>
            <w:tcBorders>
              <w:bottom w:val="single" w:sz="12" w:space="0" w:color="000000"/>
            </w:tcBorders>
            <w:shd w:fill="auto" w:val="clear"/>
            <w:tcMar>
              <w:bottom w:w="28" w:type="dxa"/>
            </w:tcMar>
            <w:vAlign w:val="center"/>
          </w:tcPr>
          <w:p>
            <w:pPr>
              <w:pStyle w:val="TableContents"/>
              <w:spacing w:before="0" w:after="283"/>
              <w:rPr/>
            </w:pPr>
            <w:r>
              <w:rPr/>
              <w:t> </w:t>
            </w:r>
          </w:p>
        </w:tc>
        <w:tc>
          <w:tcPr>
            <w:tcW w:w="1133" w:type="dxa"/>
            <w:tcBorders>
              <w:bottom w:val="single" w:sz="12" w:space="0" w:color="000000"/>
            </w:tcBorders>
            <w:shd w:fill="auto" w:val="clear"/>
            <w:tcMar>
              <w:bottom w:w="28" w:type="dxa"/>
            </w:tcMar>
            <w:vAlign w:val="center"/>
          </w:tcPr>
          <w:p>
            <w:pPr>
              <w:pStyle w:val="TableContents"/>
              <w:spacing w:before="0" w:after="283"/>
              <w:jc w:val="right"/>
              <w:rPr>
                <w:sz w:val="20"/>
              </w:rPr>
            </w:pPr>
            <w:r>
              <w:rPr>
                <w:sz w:val="20"/>
              </w:rPr>
              <w:t>(48,296</w:t>
            </w:r>
          </w:p>
        </w:tc>
        <w:tc>
          <w:tcPr>
            <w:tcW w:w="102" w:type="dxa"/>
            <w:tcBorders/>
            <w:shd w:fill="auto" w:val="clear"/>
            <w:vAlign w:val="center"/>
          </w:tcPr>
          <w:p>
            <w:pPr>
              <w:pStyle w:val="TableContents"/>
              <w:spacing w:before="0" w:after="283"/>
              <w:rPr>
                <w:sz w:val="20"/>
              </w:rPr>
            </w:pPr>
            <w:r>
              <w:rPr>
                <w:sz w:val="20"/>
              </w:rPr>
              <w:t>)</w:t>
            </w:r>
          </w:p>
        </w:tc>
      </w:tr>
      <w:tr>
        <w:trPr/>
        <w:tc>
          <w:tcPr>
            <w:tcW w:w="2930" w:type="dxa"/>
            <w:tcBorders/>
            <w:shd w:fill="CCEEFF" w:val="clear"/>
            <w:vAlign w:val="center"/>
          </w:tcPr>
          <w:p>
            <w:pPr>
              <w:pStyle w:val="TableContents"/>
              <w:spacing w:before="0" w:after="283"/>
              <w:rPr>
                <w:b/>
                <w:sz w:val="20"/>
              </w:rPr>
            </w:pPr>
            <w:r>
              <w:rPr>
                <w:b/>
                <w:sz w:val="20"/>
              </w:rPr>
              <w:t>Balance at March 31, 2022</w:t>
            </w:r>
          </w:p>
        </w:tc>
        <w:tc>
          <w:tcPr>
            <w:tcW w:w="60" w:type="dxa"/>
            <w:tcBorders/>
            <w:shd w:fill="CCEEFF" w:val="clear"/>
            <w:vAlign w:val="center"/>
          </w:tcPr>
          <w:p>
            <w:pPr>
              <w:pStyle w:val="TableContents"/>
              <w:spacing w:before="0" w:after="283"/>
              <w:rPr/>
            </w:pPr>
            <w:r>
              <w:rPr/>
              <w:t> </w:t>
            </w:r>
          </w:p>
        </w:tc>
        <w:tc>
          <w:tcPr>
            <w:tcW w:w="125" w:type="dxa"/>
            <w:tcBorders>
              <w:bottom w:val="double" w:sz="12" w:space="0" w:color="000000"/>
            </w:tcBorders>
            <w:shd w:fill="CCEEFF" w:val="clear"/>
            <w:tcMar>
              <w:bottom w:w="28" w:type="dxa"/>
            </w:tcMar>
            <w:vAlign w:val="center"/>
          </w:tcPr>
          <w:p>
            <w:pPr>
              <w:pStyle w:val="TableContents"/>
              <w:spacing w:before="0" w:after="283"/>
              <w:rPr>
                <w:b/>
                <w:sz w:val="20"/>
              </w:rPr>
            </w:pPr>
            <w:r>
              <w:rPr>
                <w:b/>
                <w:sz w:val="20"/>
              </w:rPr>
              <w:t>$</w:t>
            </w:r>
          </w:p>
        </w:tc>
        <w:tc>
          <w:tcPr>
            <w:tcW w:w="1055" w:type="dxa"/>
            <w:tcBorders>
              <w:bottom w:val="double" w:sz="12" w:space="0" w:color="000000"/>
            </w:tcBorders>
            <w:shd w:fill="CCEEFF" w:val="clear"/>
            <w:tcMar>
              <w:bottom w:w="28" w:type="dxa"/>
            </w:tcMar>
            <w:vAlign w:val="center"/>
          </w:tcPr>
          <w:p>
            <w:pPr>
              <w:pStyle w:val="TableContents"/>
              <w:spacing w:before="0" w:after="283"/>
              <w:jc w:val="right"/>
              <w:rPr>
                <w:b/>
                <w:sz w:val="20"/>
              </w:rPr>
            </w:pPr>
            <w:r>
              <w:rPr>
                <w:b/>
                <w:sz w:val="20"/>
              </w:rPr>
              <w:t>282,708,732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5" w:type="dxa"/>
            <w:tcBorders>
              <w:bottom w:val="double" w:sz="12" w:space="0" w:color="000000"/>
            </w:tcBorders>
            <w:shd w:fill="CCEEFF" w:val="clear"/>
            <w:tcMar>
              <w:bottom w:w="28" w:type="dxa"/>
            </w:tcMar>
            <w:vAlign w:val="center"/>
          </w:tcPr>
          <w:p>
            <w:pPr>
              <w:pStyle w:val="TableContents"/>
              <w:spacing w:before="0" w:after="283"/>
              <w:rPr>
                <w:b/>
                <w:sz w:val="20"/>
              </w:rPr>
            </w:pPr>
            <w:r>
              <w:rPr>
                <w:b/>
                <w:sz w:val="20"/>
              </w:rPr>
              <w:t>$</w:t>
            </w:r>
          </w:p>
        </w:tc>
        <w:tc>
          <w:tcPr>
            <w:tcW w:w="1630" w:type="dxa"/>
            <w:tcBorders>
              <w:bottom w:val="double" w:sz="12" w:space="0" w:color="000000"/>
            </w:tcBorders>
            <w:shd w:fill="CCEEFF" w:val="clear"/>
            <w:tcMar>
              <w:bottom w:w="28" w:type="dxa"/>
            </w:tcMar>
            <w:vAlign w:val="center"/>
          </w:tcPr>
          <w:p>
            <w:pPr>
              <w:pStyle w:val="TableContents"/>
              <w:spacing w:before="0" w:after="283"/>
              <w:jc w:val="right"/>
              <w:rPr>
                <w:b/>
                <w:sz w:val="20"/>
              </w:rPr>
            </w:pPr>
            <w:r>
              <w:rPr>
                <w:b/>
                <w:sz w:val="20"/>
              </w:rPr>
              <w:t>(3,881,818</w:t>
            </w:r>
          </w:p>
        </w:tc>
        <w:tc>
          <w:tcPr>
            <w:tcW w:w="144" w:type="dxa"/>
            <w:tcBorders/>
            <w:shd w:fill="CCEEFF" w:val="clear"/>
            <w:vAlign w:val="center"/>
          </w:tcPr>
          <w:p>
            <w:pPr>
              <w:pStyle w:val="TableContents"/>
              <w:spacing w:before="0" w:after="283"/>
              <w:rPr>
                <w:b/>
                <w:sz w:val="20"/>
              </w:rPr>
            </w:pPr>
            <w:r>
              <w:rPr>
                <w:b/>
                <w:sz w:val="20"/>
              </w:rPr>
              <w:t>)</w:t>
            </w:r>
          </w:p>
        </w:tc>
        <w:tc>
          <w:tcPr>
            <w:tcW w:w="60" w:type="dxa"/>
            <w:tcBorders/>
            <w:shd w:fill="CCEEFF" w:val="clear"/>
            <w:vAlign w:val="center"/>
          </w:tcPr>
          <w:p>
            <w:pPr>
              <w:pStyle w:val="TableContents"/>
              <w:spacing w:before="0" w:after="283"/>
              <w:rPr/>
            </w:pPr>
            <w:r>
              <w:rPr/>
              <w:t> </w:t>
            </w:r>
          </w:p>
        </w:tc>
        <w:tc>
          <w:tcPr>
            <w:tcW w:w="311" w:type="dxa"/>
            <w:tcBorders>
              <w:bottom w:val="double" w:sz="12" w:space="0" w:color="000000"/>
            </w:tcBorders>
            <w:shd w:fill="CCEEFF" w:val="clear"/>
            <w:tcMar>
              <w:bottom w:w="28" w:type="dxa"/>
            </w:tcMar>
            <w:vAlign w:val="center"/>
          </w:tcPr>
          <w:p>
            <w:pPr>
              <w:pStyle w:val="TableContents"/>
              <w:spacing w:before="0" w:after="283"/>
              <w:rPr>
                <w:b/>
                <w:sz w:val="20"/>
              </w:rPr>
            </w:pPr>
            <w:r>
              <w:rPr>
                <w:b/>
                <w:sz w:val="20"/>
              </w:rPr>
              <w:t>$</w:t>
            </w:r>
          </w:p>
        </w:tc>
        <w:tc>
          <w:tcPr>
            <w:tcW w:w="1879" w:type="dxa"/>
            <w:tcBorders>
              <w:bottom w:val="double" w:sz="12" w:space="0" w:color="000000"/>
            </w:tcBorders>
            <w:shd w:fill="CCEEFF" w:val="clear"/>
            <w:tcMar>
              <w:bottom w:w="28" w:type="dxa"/>
            </w:tcMar>
            <w:vAlign w:val="center"/>
          </w:tcPr>
          <w:p>
            <w:pPr>
              <w:pStyle w:val="TableContents"/>
              <w:spacing w:before="0" w:after="283"/>
              <w:jc w:val="right"/>
              <w:rPr>
                <w:b/>
                <w:sz w:val="20"/>
              </w:rPr>
            </w:pPr>
            <w:r>
              <w:rPr>
                <w:b/>
                <w:sz w:val="20"/>
              </w:rPr>
              <w:t>(182,838</w:t>
            </w:r>
          </w:p>
        </w:tc>
        <w:tc>
          <w:tcPr>
            <w:tcW w:w="199" w:type="dxa"/>
            <w:tcBorders/>
            <w:shd w:fill="CCEEFF" w:val="clear"/>
            <w:vAlign w:val="center"/>
          </w:tcPr>
          <w:p>
            <w:pPr>
              <w:pStyle w:val="TableContents"/>
              <w:spacing w:before="0" w:after="283"/>
              <w:rPr>
                <w:b/>
                <w:sz w:val="20"/>
              </w:rPr>
            </w:pPr>
            <w:r>
              <w:rPr>
                <w:b/>
                <w:sz w:val="20"/>
              </w:rPr>
              <w:t>)</w:t>
            </w:r>
          </w:p>
        </w:tc>
        <w:tc>
          <w:tcPr>
            <w:tcW w:w="60" w:type="dxa"/>
            <w:tcBorders/>
            <w:shd w:fill="CCEEFF" w:val="clear"/>
            <w:vAlign w:val="center"/>
          </w:tcPr>
          <w:p>
            <w:pPr>
              <w:pStyle w:val="TableContents"/>
              <w:spacing w:before="0" w:after="283"/>
              <w:rPr/>
            </w:pPr>
            <w:r>
              <w:rPr/>
              <w:t> </w:t>
            </w:r>
          </w:p>
        </w:tc>
        <w:tc>
          <w:tcPr>
            <w:tcW w:w="134" w:type="dxa"/>
            <w:tcBorders>
              <w:bottom w:val="double" w:sz="12" w:space="0" w:color="000000"/>
            </w:tcBorders>
            <w:shd w:fill="CCEEFF" w:val="clear"/>
            <w:tcMar>
              <w:bottom w:w="28" w:type="dxa"/>
            </w:tcMar>
            <w:vAlign w:val="center"/>
          </w:tcPr>
          <w:p>
            <w:pPr>
              <w:pStyle w:val="TableContents"/>
              <w:spacing w:before="0" w:after="283"/>
              <w:rPr>
                <w:b/>
                <w:sz w:val="20"/>
              </w:rPr>
            </w:pPr>
            <w:r>
              <w:rPr>
                <w:b/>
                <w:sz w:val="20"/>
              </w:rPr>
              <w:t>$</w:t>
            </w:r>
          </w:p>
        </w:tc>
        <w:tc>
          <w:tcPr>
            <w:tcW w:w="1133" w:type="dxa"/>
            <w:tcBorders>
              <w:bottom w:val="double" w:sz="12" w:space="0" w:color="000000"/>
            </w:tcBorders>
            <w:shd w:fill="CCEEFF" w:val="clear"/>
            <w:tcMar>
              <w:bottom w:w="28" w:type="dxa"/>
            </w:tcMar>
            <w:vAlign w:val="center"/>
          </w:tcPr>
          <w:p>
            <w:pPr>
              <w:pStyle w:val="TableContents"/>
              <w:spacing w:before="0" w:after="283"/>
              <w:jc w:val="right"/>
              <w:rPr>
                <w:b/>
                <w:sz w:val="20"/>
              </w:rPr>
            </w:pPr>
            <w:r>
              <w:rPr>
                <w:b/>
                <w:sz w:val="20"/>
              </w:rPr>
              <w:t>278,644,076</w:t>
            </w:r>
          </w:p>
        </w:tc>
        <w:tc>
          <w:tcPr>
            <w:tcW w:w="102" w:type="dxa"/>
            <w:tcBorders/>
            <w:shd w:fill="CCEEFF" w:val="cle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3"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Carrying Value and the Outstanding Principal amount of the loans consists of unaccreted original issue discount and loan origination costs.</w:t>
            </w:r>
          </w:p>
        </w:tc>
      </w:tr>
    </w:tbl>
    <w:tbl>
      <w:tblPr>
        <w:tblW w:w="9085" w:type="dxa"/>
        <w:jc w:val="left"/>
        <w:tblInd w:w="0" w:type="dxa"/>
        <w:tblCellMar>
          <w:top w:w="0" w:type="dxa"/>
          <w:left w:w="0" w:type="dxa"/>
          <w:bottom w:w="0" w:type="dxa"/>
          <w:right w:w="0" w:type="dxa"/>
        </w:tblCellMar>
      </w:tblPr>
      <w:tblGrid>
        <w:gridCol w:w="260"/>
        <w:gridCol w:w="8825"/>
      </w:tblGrid>
      <w:tr>
        <w:trPr/>
        <w:tc>
          <w:tcPr>
            <w:tcW w:w="26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82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life is calculated based on the carrying value of the loans as of March 31, 2022.</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the potential impacts of the COVID-19 pandemic on our loans.</w:t>
      </w:r>
    </w:p>
    <w:p>
      <w:pPr>
        <w:pStyle w:val="TextBody"/>
        <w:spacing w:before="0" w:after="0"/>
        <w:ind w:left="0" w:right="0" w:firstLine="360"/>
        <w:jc w:val="both"/>
        <w:rPr>
          <w:caps w:val="false"/>
          <w:smallCaps w:val="false"/>
        </w:rPr>
      </w:pPr>
      <w:r>
        <w:rPr>
          <w:caps w:val="false"/>
          <w:smallCaps w:val="false"/>
        </w:rPr>
        <w:t xml:space="preserve">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Measures and Key Financial Measures and Indicators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commercial real estate finance company, we believe the key financial measures and indicators for our business are Distributable Earnings, Adjusted Distributable Earnings, book value per share and dividends declared per share.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Distributable Earnings and Adjusted Distributable Earnings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Annual Report on Form 10-K, we defined Distributable Earnings so that, in addition to the exclusions noted above, the term also excluded from net income Incentive Compensation paid to our Manager. We believe that revising the term Distributable Earnings so that it is presented net of Incentive Compensation, while not a direct measure of net taxable income, over time, can be considered a more useful indicator of our ability to pay dividends. This adjustment to the calculation of Distributable Earnings has no impact on period-to-period comparisons.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GAAP net income to Distributable Earnings and Adjusted Distributable Earnings (in thousands, except per share data):</w:t>
      </w:r>
    </w:p>
    <w:p>
      <w:pPr>
        <w:pStyle w:val="TextBody"/>
        <w:spacing w:before="0" w:after="0"/>
        <w:ind w:left="0" w:right="0" w:firstLine="480"/>
        <w:rPr>
          <w:caps w:val="false"/>
          <w:smallCaps w:val="false"/>
        </w:rPr>
      </w:pPr>
      <w:r>
        <w:rPr>
          <w:caps w:val="false"/>
          <w:smallCaps w:val="false"/>
        </w:rPr>
        <w:t> </w:t>
      </w:r>
    </w:p>
    <w:tbl>
      <w:tblPr>
        <w:tblW w:w="9845" w:type="dxa"/>
        <w:jc w:val="left"/>
        <w:tblInd w:w="0" w:type="dxa"/>
        <w:tblCellMar>
          <w:top w:w="0" w:type="dxa"/>
          <w:left w:w="0" w:type="dxa"/>
          <w:bottom w:w="0" w:type="dxa"/>
          <w:right w:w="0" w:type="dxa"/>
        </w:tblCellMar>
      </w:tblPr>
      <w:tblGrid>
        <w:gridCol w:w="6995"/>
        <w:gridCol w:w="60"/>
        <w:gridCol w:w="140"/>
        <w:gridCol w:w="1100"/>
        <w:gridCol w:w="60"/>
        <w:gridCol w:w="60"/>
        <w:gridCol w:w="271"/>
        <w:gridCol w:w="1084"/>
        <w:gridCol w:w="75"/>
      </w:tblGrid>
      <w:tr>
        <w:trPr/>
        <w:tc>
          <w:tcPr>
            <w:tcW w:w="69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w:t>
              <w:br/>
              <w:t>months</w:t>
              <w:br/>
              <w:t>ended</w:t>
              <w:br/>
              <w:t>March 31,</w:t>
              <w:b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5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Period from</w:t>
              <w:br/>
              <w:t>March 30,</w:t>
              <w:br/>
              <w:t>2021</w:t>
              <w:br/>
              <w:t>(inception) to</w:t>
              <w:br/>
              <w:t>March 31,</w:t>
              <w:br/>
              <w:t>2021</w:t>
            </w:r>
          </w:p>
        </w:tc>
        <w:tc>
          <w:tcPr>
            <w:tcW w:w="75" w:type="dxa"/>
            <w:tcBorders/>
            <w:shd w:fill="auto" w:val="clear"/>
            <w:vAlign w:val="center"/>
          </w:tcPr>
          <w:p>
            <w:pPr>
              <w:pStyle w:val="TableContents"/>
              <w:spacing w:before="0" w:after="283"/>
              <w:rPr/>
            </w:pPr>
            <w:r>
              <w:rPr/>
              <w:t> </w:t>
            </w:r>
          </w:p>
        </w:tc>
      </w:tr>
      <w:tr>
        <w:trPr/>
        <w:tc>
          <w:tcPr>
            <w:tcW w:w="6995" w:type="dxa"/>
            <w:tcBorders/>
            <w:shd w:fill="CCEEFF" w:val="clear"/>
            <w:vAlign w:val="center"/>
          </w:tcPr>
          <w:p>
            <w:pPr>
              <w:pStyle w:val="TableContents"/>
              <w:spacing w:before="0" w:after="283"/>
              <w:jc w:val="left"/>
              <w:rPr>
                <w:b/>
              </w:rPr>
            </w:pPr>
            <w:r>
              <w:rPr>
                <w:b/>
              </w:rPr>
              <w:t>Net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00" w:type="dxa"/>
            <w:tcBorders/>
            <w:shd w:fill="CCEEFF" w:val="clear"/>
            <w:vAlign w:val="center"/>
          </w:tcPr>
          <w:p>
            <w:pPr>
              <w:pStyle w:val="TableContents"/>
              <w:spacing w:before="0" w:after="283"/>
              <w:jc w:val="right"/>
              <w:rPr/>
            </w:pPr>
            <w:r>
              <w:rPr/>
              <w:t>7,803,952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w:t>
            </w:r>
          </w:p>
        </w:tc>
        <w:tc>
          <w:tcPr>
            <w:tcW w:w="1084"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jc w:val="left"/>
              <w:rPr>
                <w:b/>
              </w:rPr>
            </w:pPr>
            <w:r>
              <w:rPr>
                <w:b/>
              </w:rPr>
              <w:t>Adjustments to net income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jc w:val="left"/>
              <w:rPr/>
            </w:pPr>
            <w:r>
              <w:rPr/>
              <w:t>Non-cash equity compensation expense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120,940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jc w:val="left"/>
              <w:rPr/>
            </w:pPr>
            <w:r>
              <w:rPr/>
              <w:t>Depreciation and amortization</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pPr>
            <w:r>
              <w:rPr/>
              <w:t>72,268</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jc w:val="left"/>
              <w:rPr/>
            </w:pPr>
            <w:r>
              <w:rPr/>
              <w:t>Provision for current expected credit losses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51,343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84" w:type="dxa"/>
            <w:tcBorders>
              <w:bottom w:val="single" w:sz="12" w:space="0" w:color="000000"/>
            </w:tcBorders>
            <w:shd w:fill="CCEEFF" w:val="clear"/>
            <w:tcMar>
              <w:bottom w:w="28" w:type="dxa"/>
            </w:tcM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jc w:val="left"/>
              <w:rPr>
                <w:b/>
              </w:rPr>
            </w:pPr>
            <w:r>
              <w:rPr>
                <w:b/>
              </w:rPr>
              <w:t>Distributable Earnings</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00" w:type="dxa"/>
            <w:tcBorders>
              <w:bottom w:val="double" w:sz="10" w:space="0" w:color="000000"/>
            </w:tcBorders>
            <w:shd w:fill="auto" w:val="clear"/>
            <w:tcMar>
              <w:bottom w:w="28" w:type="dxa"/>
            </w:tcMar>
            <w:vAlign w:val="center"/>
          </w:tcPr>
          <w:p>
            <w:pPr>
              <w:pStyle w:val="TableContents"/>
              <w:spacing w:before="0" w:after="283"/>
              <w:jc w:val="right"/>
              <w:rPr>
                <w:b/>
              </w:rPr>
            </w:pPr>
            <w:r>
              <w:rPr>
                <w:b/>
              </w:rPr>
              <w:t>8,048,503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84" w:type="dxa"/>
            <w:tcBorders>
              <w:bottom w:val="double" w:sz="10" w:space="0" w:color="000000"/>
            </w:tcBorders>
            <w:shd w:fill="auto" w:val="clear"/>
            <w:tcMar>
              <w:bottom w:w="28" w:type="dxa"/>
            </w:tcMar>
            <w:vAlign w:val="center"/>
          </w:tcPr>
          <w:p>
            <w:pPr>
              <w:pStyle w:val="TableContents"/>
              <w:spacing w:before="0" w:after="283"/>
              <w:jc w:val="right"/>
              <w:rPr>
                <w:b/>
              </w:rPr>
            </w:pPr>
            <w:r>
              <w:rPr>
                <w:b/>
              </w:rPr>
              <w:t>-</w:t>
            </w:r>
          </w:p>
        </w:tc>
        <w:tc>
          <w:tcPr>
            <w:tcW w:w="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jc w:val="left"/>
              <w:rPr>
                <w:b/>
              </w:rPr>
            </w:pPr>
            <w:r>
              <w:rPr>
                <w:b/>
              </w:rPr>
              <w:t>Adjustments to Distributable Earnings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jc w:val="left"/>
              <w:rPr>
                <w:b/>
              </w:rPr>
            </w:pPr>
            <w:r>
              <w:rPr>
                <w:b/>
              </w:rPr>
              <w:t>Adjusted Distributable Earnings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00" w:type="dxa"/>
            <w:tcBorders/>
            <w:shd w:fill="auto" w:val="clear"/>
            <w:vAlign w:val="center"/>
          </w:tcPr>
          <w:p>
            <w:pPr>
              <w:pStyle w:val="TableContents"/>
              <w:spacing w:before="0" w:after="283"/>
              <w:jc w:val="right"/>
              <w:rPr>
                <w:b/>
              </w:rPr>
            </w:pPr>
            <w:r>
              <w:rPr>
                <w:b/>
              </w:rPr>
              <w:t>8,048,503</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pPr>
            <w:r>
              <w:rPr/>
              <w:t> </w:t>
            </w:r>
          </w:p>
        </w:tc>
        <w:tc>
          <w:tcPr>
            <w:tcW w:w="1084" w:type="dxa"/>
            <w:tcBorders/>
            <w:shd w:fill="auto" w:val="clear"/>
            <w:vAlign w:val="center"/>
          </w:tcPr>
          <w:p>
            <w:pPr>
              <w:pStyle w:val="TableContents"/>
              <w:spacing w:before="0" w:after="283"/>
              <w:jc w:val="right"/>
              <w:rPr>
                <w:b/>
              </w:rPr>
            </w:pPr>
            <w:r>
              <w:rPr>
                <w:b/>
              </w:rPr>
              <w:t>-</w:t>
            </w:r>
          </w:p>
        </w:tc>
        <w:tc>
          <w:tcPr>
            <w:tcW w:w="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rPr/>
            </w:pPr>
            <w:r>
              <w:rPr/>
              <w:t>Basic weighted average shares of common stock outstanding (in shares)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17,641,090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6,427</w:t>
            </w:r>
          </w:p>
        </w:tc>
        <w:tc>
          <w:tcPr>
            <w:tcW w:w="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b/>
              </w:rPr>
            </w:pPr>
            <w:r>
              <w:rPr>
                <w:b/>
              </w:rPr>
              <w:t>Adjusted Distributable Earnings per Weighted Average Share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b/>
              </w:rPr>
            </w:pPr>
            <w:r>
              <w:rPr>
                <w:b/>
              </w:rPr>
              <w:t>$</w:t>
            </w:r>
          </w:p>
        </w:tc>
        <w:tc>
          <w:tcPr>
            <w:tcW w:w="1100" w:type="dxa"/>
            <w:tcBorders/>
            <w:shd w:fill="auto" w:val="clear"/>
            <w:vAlign w:val="center"/>
          </w:tcPr>
          <w:p>
            <w:pPr>
              <w:pStyle w:val="TableContents"/>
              <w:spacing w:before="0" w:after="283"/>
              <w:jc w:val="right"/>
              <w:rPr>
                <w:b/>
              </w:rPr>
            </w:pPr>
            <w:r>
              <w:rPr>
                <w:b/>
              </w:rPr>
              <w:t>0.46</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b/>
              </w:rPr>
            </w:pPr>
            <w:r>
              <w:rPr>
                <w:b/>
              </w:rPr>
              <w:t>$</w:t>
            </w:r>
          </w:p>
        </w:tc>
        <w:tc>
          <w:tcPr>
            <w:tcW w:w="1084" w:type="dxa"/>
            <w:tcBorders/>
            <w:shd w:fill="auto" w:val="clear"/>
            <w:vAlign w:val="center"/>
          </w:tcPr>
          <w:p>
            <w:pPr>
              <w:pStyle w:val="TableContents"/>
              <w:spacing w:before="0" w:after="283"/>
              <w:jc w:val="right"/>
              <w:rPr>
                <w:b/>
              </w:rPr>
            </w:pPr>
            <w:r>
              <w:rPr>
                <w:b/>
              </w:rPr>
              <w:t>-</w:t>
            </w:r>
          </w:p>
        </w:tc>
        <w:tc>
          <w:tcPr>
            <w:tcW w:w="75" w:type="dxa"/>
            <w:tcBorders/>
            <w:shd w:fill="auto" w:val="clear"/>
            <w:vAlign w:val="center"/>
          </w:tcPr>
          <w:p>
            <w:pPr>
              <w:pStyle w:val="TableContents"/>
              <w:spacing w:before="0" w:after="283"/>
              <w:jc w:val="left"/>
              <w:rPr/>
            </w:pPr>
            <w:r>
              <w:rPr/>
              <w:t> </w:t>
            </w:r>
          </w:p>
        </w:tc>
      </w:tr>
      <w:tr>
        <w:trPr/>
        <w:tc>
          <w:tcPr>
            <w:tcW w:w="6995" w:type="dxa"/>
            <w:tcBorders/>
            <w:shd w:fill="CCEEFF" w:val="clear"/>
            <w:vAlign w:val="center"/>
          </w:tcPr>
          <w:p>
            <w:pPr>
              <w:pStyle w:val="TableContents"/>
              <w:spacing w:before="0" w:after="283"/>
              <w:rPr/>
            </w:pPr>
            <w:r>
              <w:rPr/>
              <w:t>Diluted weighted average shares of common stock outstanding (in shares)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17,737,975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271" w:type="dxa"/>
            <w:tcBorders/>
            <w:shd w:fill="CCEEFF" w:val="clear"/>
            <w:vAlign w:val="center"/>
          </w:tcPr>
          <w:p>
            <w:pPr>
              <w:pStyle w:val="TableContents"/>
              <w:spacing w:before="0" w:after="283"/>
              <w:jc w:val="left"/>
              <w:rPr/>
            </w:pPr>
            <w:r>
              <w:rPr/>
              <w:t> </w:t>
            </w:r>
          </w:p>
        </w:tc>
        <w:tc>
          <w:tcPr>
            <w:tcW w:w="1084" w:type="dxa"/>
            <w:tcBorders/>
            <w:shd w:fill="CCEEFF" w:val="clear"/>
            <w:vAlign w:val="center"/>
          </w:tcPr>
          <w:p>
            <w:pPr>
              <w:pStyle w:val="TableContents"/>
              <w:spacing w:before="0" w:after="283"/>
              <w:jc w:val="right"/>
              <w:rPr/>
            </w:pPr>
            <w:r>
              <w:rPr/>
              <w:t>6,427</w:t>
            </w:r>
          </w:p>
        </w:tc>
        <w:tc>
          <w:tcPr>
            <w:tcW w:w="75" w:type="dxa"/>
            <w:tcBorders/>
            <w:shd w:fill="CCEEFF" w:val="clear"/>
            <w:vAlign w:val="center"/>
          </w:tcPr>
          <w:p>
            <w:pPr>
              <w:pStyle w:val="TableContents"/>
              <w:spacing w:before="0" w:after="283"/>
              <w:jc w:val="left"/>
              <w:rPr/>
            </w:pPr>
            <w:r>
              <w:rPr/>
              <w:t> </w:t>
            </w:r>
          </w:p>
        </w:tc>
      </w:tr>
      <w:tr>
        <w:trPr/>
        <w:tc>
          <w:tcPr>
            <w:tcW w:w="6995" w:type="dxa"/>
            <w:tcBorders/>
            <w:shd w:fill="auto" w:val="clear"/>
            <w:vAlign w:val="center"/>
          </w:tcPr>
          <w:p>
            <w:pPr>
              <w:pStyle w:val="TableContents"/>
              <w:spacing w:before="0" w:after="283"/>
              <w:rPr>
                <w:b/>
              </w:rPr>
            </w:pPr>
            <w:r>
              <w:rPr>
                <w:b/>
              </w:rPr>
              <w:t>Adjusted Distributable Earnings per Weighted Average Share</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b/>
              </w:rPr>
            </w:pPr>
            <w:r>
              <w:rPr>
                <w:b/>
              </w:rPr>
              <w:t>$</w:t>
            </w:r>
          </w:p>
        </w:tc>
        <w:tc>
          <w:tcPr>
            <w:tcW w:w="1100" w:type="dxa"/>
            <w:tcBorders/>
            <w:shd w:fill="auto" w:val="clear"/>
            <w:vAlign w:val="center"/>
          </w:tcPr>
          <w:p>
            <w:pPr>
              <w:pStyle w:val="TableContents"/>
              <w:spacing w:before="0" w:after="283"/>
              <w:jc w:val="right"/>
              <w:rPr>
                <w:b/>
              </w:rPr>
            </w:pPr>
            <w:r>
              <w:rPr>
                <w:b/>
              </w:rPr>
              <w:t>0.45</w:t>
            </w:r>
          </w:p>
        </w:tc>
        <w:tc>
          <w:tcPr>
            <w:tcW w:w="60" w:type="dxa"/>
            <w:tcBorders/>
            <w:shd w:fill="auto" w:val="clear"/>
            <w:vAlign w:val="center"/>
          </w:tcPr>
          <w:p>
            <w:pPr>
              <w:pStyle w:val="TableContents"/>
              <w:spacing w:before="0" w:after="283"/>
              <w:jc w:val="left"/>
              <w:rPr/>
            </w:pPr>
            <w:r>
              <w:rPr/>
              <w:t> </w:t>
            </w:r>
          </w:p>
        </w:tc>
        <w:tc>
          <w:tcPr>
            <w:tcW w:w="60" w:type="dxa"/>
            <w:tcBorders/>
            <w:shd w:fill="auto" w:val="clear"/>
            <w:vAlign w:val="center"/>
          </w:tcPr>
          <w:p>
            <w:pPr>
              <w:pStyle w:val="TableContents"/>
              <w:spacing w:before="0" w:after="283"/>
              <w:rPr/>
            </w:pPr>
            <w:r>
              <w:rPr/>
              <w:t> </w:t>
            </w:r>
          </w:p>
        </w:tc>
        <w:tc>
          <w:tcPr>
            <w:tcW w:w="271" w:type="dxa"/>
            <w:tcBorders/>
            <w:shd w:fill="auto" w:val="clear"/>
            <w:vAlign w:val="center"/>
          </w:tcPr>
          <w:p>
            <w:pPr>
              <w:pStyle w:val="TableContents"/>
              <w:spacing w:before="0" w:after="283"/>
              <w:jc w:val="left"/>
              <w:rPr>
                <w:b/>
              </w:rPr>
            </w:pPr>
            <w:r>
              <w:rPr>
                <w:b/>
              </w:rPr>
              <w:t>$</w:t>
            </w:r>
          </w:p>
        </w:tc>
        <w:tc>
          <w:tcPr>
            <w:tcW w:w="1084" w:type="dxa"/>
            <w:tcBorders/>
            <w:shd w:fill="auto" w:val="clear"/>
            <w:vAlign w:val="center"/>
          </w:tcPr>
          <w:p>
            <w:pPr>
              <w:pStyle w:val="TableContents"/>
              <w:spacing w:before="0" w:after="283"/>
              <w:jc w:val="right"/>
              <w:rPr>
                <w:b/>
              </w:rPr>
            </w:pPr>
            <w:r>
              <w:rPr>
                <w:b/>
              </w:rPr>
              <w:t>-</w:t>
            </w:r>
          </w:p>
        </w:tc>
        <w:tc>
          <w:tcPr>
            <w:tcW w:w="75" w:type="dxa"/>
            <w:tcBorders/>
            <w:shd w:fill="auto" w:val="clear"/>
            <w:vAlign w:val="center"/>
          </w:tcPr>
          <w:p>
            <w:pPr>
              <w:pStyle w:val="TableContents"/>
              <w:spacing w:before="0" w:after="283"/>
              <w:jc w:val="left"/>
              <w:rPr/>
            </w:pPr>
            <w:r>
              <w:rPr/>
              <w:t> </w:t>
            </w:r>
          </w:p>
        </w:tc>
      </w:tr>
    </w:tbl>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 Value Per Share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 value per share of our common stock as of March 31, 2022 and December 31, 2021 was approximately $15.17 and $15.13,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sources of cash generally consist of unused borrowing capacity under our financing sources, the net proceeds of future offerings, payments of principal and interest we receive on our portfolio of assets and cash generated from our operating results. We expect that our primary sources of financing will be, to the extent available to us, through (a) credit facilities and (b) public and private offerings of our equity and debt securities. In the future, we may utilize other sources of financing to the extent available to us. As the cannabis industry continues to evolve and to the extent that additional states legalize cannabis, the demand for capital continues to increase as operators seek to enter and build out new markets. We expect the principal amount of the loans we originate to increase and that we will need to raise additional equity and/or debt financing to increase our liquidity in the near future.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all of our cash was unrestricted and totaled approximately $6.1 million and $80.2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Facilities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in connection with our acquisition of our financing subsidiary, CAL, we were assigned a secured revolving credit facility (the “Revolving Loan”). The Revolving Loan has an aggregate borrowing base of up to $10,000,000 and bears interest, payable in cash in arrears, at a per annum rate equal to the greater of (x) Prime Rate plus 1.00% and (y) 4.75%. We incurred debt issuance costs of $100,000 related to the origination of the Revolving Loan, which were capitalized and are subsequently being amortized through maturity. The maturity date of the Revolving Loan is the earlier of (i) February 12, 2023 and (ii) the date on which the Revolving Loan is terminated pursuant to terms in the Revolving Loan agreement.</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we amended the Revolving Loan (the “First Amendment”). The First Amendment increased the loan commitment from $10,000,000 to $45,000,000, decreased the interest rate, from the greater of the (1) Prime Rate plus 1.00% and (2) 4.75% to the greater of (1) the Prime Rate plus the applicable margin and (2) 3.25%. The applicable margin depends on the ratio of debt to equity of CAL and increases from 0% at a ratio of 0.25 to 1 to 1.25% at a ratio of 1.5 to 1. The First Amendment also extended the maturity date from February 12, 2023 to the earlier of (i) December 16, 2023 and (ii) the date on which the Revolving Loan is terminated pursuant to terms in the Revolving Loan agreement. We incurred debt issuance costs of $859,500 related to the First Amendment, which were capitalized and are subsequently being amortized through maturity. As of March 31, 2022 and December 31, 2021, unamortized debt issuance costs related to the Revolving Loan and First Amendment of $795,754 and $868,022, respectively, are recorded in Other Assets on the Consolidated Balance Sheet.</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we amended the Revolving Loan (the “Second Amendment” which provides for an increase in the aggregate commitment from $45 million to $65 million.  No other material terms of the Revolving Loan were modified as a result of the execution of the Second Amendment.</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incurs unused fees at a rate of 0.25% per annum. During the three month ended March 31, 2022, we incurred zero unused fees as these fees were waived until June 2022 in connection with the First Amendment. For the period from January 1, 2022 to March 31, 2022, we did not borrow against the Revolving Loan and therefore no interest expense was incurred for the period then ended. In the future, we may use certain sources of financing to fund the origination or acquisition of our target investments, including credit facilities and other secured and unsecured forms of borrowing. These financings may be collateralized or non-collateralized and may involve one or more lenders. We expect that these facilities will typically have maturities ranging from two to five years and may accrue interest at either fixed or floating rates.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Amendment and the Second Amendment provide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To the best of our knowledge, as of March 31, 2022, we were in compliance in all material respects with the covenants with respect to the Revolving Loan.</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periods ended March 31, 2022 and December 31, 2021, we did not borrow against the Revolving Loan and had therefore have $0 outstanding under the Revolving Loan as of such dates. As of May 12, 2022, the Company has borrowed $30.0 million against the Revolving Loan, and has $35.0 million of borrowing capacity remaining.</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to raise further equity capital and issue debt securities in order to fund our future investments in loans.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changes in cash for the three months ended March 31, 2022 and the period March 30, 2021 (inception) to March 31, 2021, respectively:</w:t>
      </w:r>
    </w:p>
    <w:p>
      <w:pPr>
        <w:pStyle w:val="TextBody"/>
        <w:spacing w:before="0" w:after="0"/>
        <w:ind w:left="0" w:right="0" w:firstLine="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364"/>
        <w:gridCol w:w="60"/>
        <w:gridCol w:w="140"/>
        <w:gridCol w:w="1175"/>
        <w:gridCol w:w="95"/>
        <w:gridCol w:w="60"/>
        <w:gridCol w:w="182"/>
        <w:gridCol w:w="1052"/>
        <w:gridCol w:w="77"/>
      </w:tblGrid>
      <w:tr>
        <w:trPr/>
        <w:tc>
          <w:tcPr>
            <w:tcW w:w="7364"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131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For the</w:t>
              <w:br/>
              <w:t>three</w:t>
              <w:br/>
              <w:t>months</w:t>
              <w:br/>
              <w:t>ended</w:t>
              <w:br/>
              <w:t>March 31,</w:t>
              <w:b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4"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Period from</w:t>
              <w:br/>
              <w:t>March 30,</w:t>
              <w:br/>
              <w:t>2021</w:t>
              <w:br/>
              <w:t>(inception) to</w:t>
              <w:br/>
              <w:t>March 31,</w:t>
              <w:br/>
              <w:t>2021</w:t>
            </w:r>
          </w:p>
        </w:tc>
        <w:tc>
          <w:tcPr>
            <w:tcW w:w="77" w:type="dxa"/>
            <w:tcBorders/>
            <w:shd w:fill="auto" w:val="clear"/>
            <w:vAlign w:val="center"/>
          </w:tcPr>
          <w:p>
            <w:pPr>
              <w:pStyle w:val="TableContents"/>
              <w:spacing w:before="0" w:after="283"/>
              <w:ind w:left="0" w:right="0" w:hanging="180"/>
              <w:rPr/>
            </w:pPr>
            <w:r>
              <w:rPr/>
              <w:t> </w:t>
            </w:r>
          </w:p>
        </w:tc>
      </w:tr>
      <w:tr>
        <w:trPr/>
        <w:tc>
          <w:tcPr>
            <w:tcW w:w="7364" w:type="dxa"/>
            <w:tcBorders/>
            <w:shd w:fill="CCEEFF" w:val="clear"/>
            <w:vAlign w:val="center"/>
          </w:tcPr>
          <w:p>
            <w:pPr>
              <w:pStyle w:val="TableContents"/>
              <w:spacing w:before="0" w:after="283"/>
              <w:jc w:val="left"/>
              <w:rPr/>
            </w:pPr>
            <w:r>
              <w:rPr/>
              <w:t>Net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1175" w:type="dxa"/>
            <w:tcBorders/>
            <w:shd w:fill="CCEEFF" w:val="clear"/>
            <w:vAlign w:val="center"/>
          </w:tcPr>
          <w:p>
            <w:pPr>
              <w:pStyle w:val="TableContents"/>
              <w:spacing w:before="0" w:after="283"/>
              <w:jc w:val="right"/>
              <w:rPr/>
            </w:pPr>
            <w:r>
              <w:rPr/>
              <w:t>7,803,952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jc w:val="left"/>
              <w:rPr/>
            </w:pPr>
            <w:r>
              <w:rPr/>
              <w:t>$</w:t>
            </w:r>
          </w:p>
        </w:tc>
        <w:tc>
          <w:tcPr>
            <w:tcW w:w="1052" w:type="dxa"/>
            <w:tcBorders/>
            <w:shd w:fill="CCEEFF" w:val="clear"/>
            <w:vAlign w:val="center"/>
          </w:tcPr>
          <w:p>
            <w:pPr>
              <w:pStyle w:val="TableContents"/>
              <w:spacing w:before="0" w:after="283"/>
              <w:jc w:val="right"/>
              <w:rPr/>
            </w:pPr>
            <w:r>
              <w:rPr/>
              <w:t>-</w:t>
            </w:r>
          </w:p>
        </w:tc>
        <w:tc>
          <w:tcPr>
            <w:tcW w:w="77" w:type="dxa"/>
            <w:tcBorders/>
            <w:shd w:fill="CCEEFF" w:val="clear"/>
            <w:vAlign w:val="center"/>
          </w:tcPr>
          <w:p>
            <w:pPr>
              <w:pStyle w:val="TableContents"/>
              <w:spacing w:before="0" w:after="283"/>
              <w:ind w:left="0" w:right="0" w:hanging="180"/>
              <w:jc w:val="left"/>
              <w:rPr/>
            </w:pPr>
            <w:r>
              <w:rPr/>
              <w:t> </w:t>
            </w:r>
          </w:p>
        </w:tc>
      </w:tr>
      <w:tr>
        <w:trPr/>
        <w:tc>
          <w:tcPr>
            <w:tcW w:w="7364" w:type="dxa"/>
            <w:tcBorders/>
            <w:shd w:fill="auto" w:val="clear"/>
            <w:vAlign w:val="center"/>
          </w:tcPr>
          <w:p>
            <w:pPr>
              <w:pStyle w:val="TableContents"/>
              <w:spacing w:before="0" w:after="283"/>
              <w:jc w:val="left"/>
              <w:rPr/>
            </w:pPr>
            <w:r>
              <w:rPr/>
              <w:t>Adjustments to reconcile net income to net cash provided by (used in) operating activities and changes in operating assets and liabilities</w:t>
            </w:r>
          </w:p>
        </w:tc>
        <w:tc>
          <w:tcPr>
            <w:tcW w:w="60" w:type="dxa"/>
            <w:tcBorders/>
            <w:shd w:fill="auto" w:val="clear"/>
            <w:vAlign w:val="center"/>
          </w:tcPr>
          <w:p>
            <w:pPr>
              <w:pStyle w:val="TableContents"/>
              <w:spacing w:before="0" w:after="283"/>
              <w:rPr/>
            </w:pPr>
            <w:r>
              <w:rPr/>
              <w:t> </w:t>
            </w:r>
          </w:p>
        </w:tc>
        <w:tc>
          <w:tcPr>
            <w:tcW w:w="140"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auto" w:val="clear"/>
            <w:tcMar>
              <w:bottom w:w="28" w:type="dxa"/>
            </w:tcMar>
            <w:vAlign w:val="center"/>
          </w:tcPr>
          <w:p>
            <w:pPr>
              <w:pStyle w:val="TableContents"/>
              <w:spacing w:before="0" w:after="283"/>
              <w:jc w:val="right"/>
              <w:rPr/>
            </w:pPr>
            <w:r>
              <w:rPr/>
              <w:t>(4,768,320</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2" w:type="dxa"/>
            <w:tcBorders>
              <w:bottom w:val="single" w:sz="12" w:space="0" w:color="000000"/>
            </w:tcBorders>
            <w:shd w:fill="auto" w:val="clear"/>
            <w:tcMar>
              <w:bottom w:w="28" w:type="dxa"/>
            </w:tcMar>
            <w:vAlign w:val="center"/>
          </w:tcPr>
          <w:p>
            <w:pPr>
              <w:pStyle w:val="TableContents"/>
              <w:spacing w:before="0" w:after="283"/>
              <w:jc w:val="left"/>
              <w:rPr/>
            </w:pPr>
            <w:r>
              <w:rPr/>
              <w:t> </w:t>
            </w:r>
          </w:p>
        </w:tc>
        <w:tc>
          <w:tcPr>
            <w:tcW w:w="1052" w:type="dxa"/>
            <w:tcBorders>
              <w:bottom w:val="single" w:sz="12" w:space="0" w:color="000000"/>
            </w:tcBorders>
            <w:shd w:fill="auto" w:val="clear"/>
            <w:tcMar>
              <w:bottom w:w="28" w:type="dxa"/>
            </w:tcMar>
            <w:vAlign w:val="center"/>
          </w:tcPr>
          <w:p>
            <w:pPr>
              <w:pStyle w:val="TableContents"/>
              <w:spacing w:before="0" w:after="283"/>
              <w:jc w:val="right"/>
              <w:rPr/>
            </w:pPr>
            <w:r>
              <w:rPr/>
              <w:t>-</w:t>
            </w:r>
          </w:p>
        </w:tc>
        <w:tc>
          <w:tcPr>
            <w:tcW w:w="77" w:type="dxa"/>
            <w:tcBorders/>
            <w:shd w:fill="auto" w:val="clear"/>
            <w:vAlign w:val="center"/>
          </w:tcPr>
          <w:p>
            <w:pPr>
              <w:pStyle w:val="TableContents"/>
              <w:spacing w:before="0" w:after="283"/>
              <w:ind w:left="0" w:right="0" w:hanging="180"/>
              <w:jc w:val="left"/>
              <w:rPr/>
            </w:pPr>
            <w:r>
              <w:rPr/>
              <w:t> </w:t>
            </w:r>
          </w:p>
        </w:tc>
      </w:tr>
      <w:tr>
        <w:trPr/>
        <w:tc>
          <w:tcPr>
            <w:tcW w:w="7364" w:type="dxa"/>
            <w:tcBorders/>
            <w:shd w:fill="CCEEFF" w:val="clear"/>
            <w:vAlign w:val="center"/>
          </w:tcPr>
          <w:p>
            <w:pPr>
              <w:pStyle w:val="TableContents"/>
              <w:spacing w:before="0" w:after="283"/>
              <w:jc w:val="left"/>
              <w:rPr/>
            </w:pPr>
            <w:r>
              <w:rPr/>
              <w:t>Net cash provided by operating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75" w:type="dxa"/>
            <w:tcBorders/>
            <w:shd w:fill="CCEEFF" w:val="clear"/>
            <w:vAlign w:val="center"/>
          </w:tcPr>
          <w:p>
            <w:pPr>
              <w:pStyle w:val="TableContents"/>
              <w:spacing w:before="0" w:after="283"/>
              <w:jc w:val="right"/>
              <w:rPr/>
            </w:pPr>
            <w:r>
              <w:rPr/>
              <w:t>3,035,632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jc w:val="left"/>
              <w:rPr/>
            </w:pPr>
            <w:r>
              <w:rPr/>
              <w:t> </w:t>
            </w:r>
          </w:p>
        </w:tc>
        <w:tc>
          <w:tcPr>
            <w:tcW w:w="1052" w:type="dxa"/>
            <w:tcBorders/>
            <w:shd w:fill="CCEEFF" w:val="clear"/>
            <w:vAlign w:val="center"/>
          </w:tcPr>
          <w:p>
            <w:pPr>
              <w:pStyle w:val="TableContents"/>
              <w:spacing w:before="0" w:after="283"/>
              <w:jc w:val="right"/>
              <w:rPr/>
            </w:pPr>
            <w:r>
              <w:rPr/>
              <w:t>-</w:t>
            </w:r>
          </w:p>
        </w:tc>
        <w:tc>
          <w:tcPr>
            <w:tcW w:w="77" w:type="dxa"/>
            <w:tcBorders/>
            <w:shd w:fill="CCEEFF" w:val="clear"/>
            <w:vAlign w:val="center"/>
          </w:tcPr>
          <w:p>
            <w:pPr>
              <w:pStyle w:val="TableContents"/>
              <w:spacing w:before="0" w:after="283"/>
              <w:ind w:left="0" w:right="0" w:hanging="180"/>
              <w:jc w:val="left"/>
              <w:rPr/>
            </w:pPr>
            <w:r>
              <w:rPr/>
              <w:t> </w:t>
            </w:r>
          </w:p>
        </w:tc>
      </w:tr>
      <w:tr>
        <w:trPr/>
        <w:tc>
          <w:tcPr>
            <w:tcW w:w="7364" w:type="dxa"/>
            <w:tcBorders/>
            <w:shd w:fill="auto" w:val="clear"/>
            <w:vAlign w:val="center"/>
          </w:tcPr>
          <w:p>
            <w:pPr>
              <w:pStyle w:val="TableContents"/>
              <w:spacing w:before="0" w:after="283"/>
              <w:jc w:val="left"/>
              <w:rPr/>
            </w:pPr>
            <w:r>
              <w:rPr/>
              <w:t>Net cash used in investing activities</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left"/>
              <w:rPr/>
            </w:pPr>
            <w:r>
              <w:rPr/>
              <w:t> </w:t>
            </w:r>
          </w:p>
        </w:tc>
        <w:tc>
          <w:tcPr>
            <w:tcW w:w="1175" w:type="dxa"/>
            <w:tcBorders/>
            <w:shd w:fill="auto" w:val="clear"/>
            <w:vAlign w:val="center"/>
          </w:tcPr>
          <w:p>
            <w:pPr>
              <w:pStyle w:val="TableContents"/>
              <w:spacing w:before="0" w:after="283"/>
              <w:jc w:val="right"/>
              <w:rPr/>
            </w:pPr>
            <w:r>
              <w:rPr/>
              <w:t>(77,175,374</w:t>
            </w:r>
          </w:p>
        </w:tc>
        <w:tc>
          <w:tcPr>
            <w:tcW w:w="95"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jc w:val="left"/>
              <w:rPr/>
            </w:pPr>
            <w:r>
              <w:rPr/>
              <w:t> </w:t>
            </w:r>
          </w:p>
        </w:tc>
        <w:tc>
          <w:tcPr>
            <w:tcW w:w="1052" w:type="dxa"/>
            <w:tcBorders/>
            <w:shd w:fill="auto" w:val="clear"/>
            <w:vAlign w:val="center"/>
          </w:tcPr>
          <w:p>
            <w:pPr>
              <w:pStyle w:val="TableContents"/>
              <w:spacing w:before="0" w:after="283"/>
              <w:jc w:val="right"/>
              <w:rPr/>
            </w:pPr>
            <w:r>
              <w:rPr/>
              <w:t>-</w:t>
            </w:r>
          </w:p>
        </w:tc>
        <w:tc>
          <w:tcPr>
            <w:tcW w:w="77" w:type="dxa"/>
            <w:tcBorders/>
            <w:shd w:fill="auto" w:val="clear"/>
            <w:vAlign w:val="center"/>
          </w:tcPr>
          <w:p>
            <w:pPr>
              <w:pStyle w:val="TableContents"/>
              <w:spacing w:before="0" w:after="283"/>
              <w:jc w:val="left"/>
              <w:rPr/>
            </w:pPr>
            <w:r>
              <w:rPr/>
              <w:t> </w:t>
            </w:r>
          </w:p>
        </w:tc>
      </w:tr>
      <w:tr>
        <w:trPr/>
        <w:tc>
          <w:tcPr>
            <w:tcW w:w="7364" w:type="dxa"/>
            <w:tcBorders/>
            <w:shd w:fill="CCEEFF" w:val="clear"/>
            <w:vAlign w:val="center"/>
          </w:tcPr>
          <w:p>
            <w:pPr>
              <w:pStyle w:val="TableContents"/>
              <w:spacing w:before="0" w:after="283"/>
              <w:jc w:val="left"/>
              <w:rPr/>
            </w:pPr>
            <w:r>
              <w:rPr/>
              <w:t>Net cash used in (provided by) financing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spacing w:before="0" w:after="283"/>
              <w:jc w:val="right"/>
              <w:rPr/>
            </w:pPr>
            <w:r>
              <w:rPr/>
              <w:t>(30,606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8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052" w:type="dxa"/>
            <w:tcBorders>
              <w:bottom w:val="single" w:sz="12" w:space="0" w:color="000000"/>
            </w:tcBorders>
            <w:shd w:fill="CCEEFF" w:val="clear"/>
            <w:tcMar>
              <w:bottom w:w="28" w:type="dxa"/>
            </w:tcMar>
            <w:vAlign w:val="center"/>
          </w:tcPr>
          <w:p>
            <w:pPr>
              <w:pStyle w:val="TableContents"/>
              <w:spacing w:before="0" w:after="283"/>
              <w:jc w:val="right"/>
              <w:rPr/>
            </w:pPr>
            <w:r>
              <w:rPr/>
              <w:t>100,000</w:t>
            </w:r>
          </w:p>
        </w:tc>
        <w:tc>
          <w:tcPr>
            <w:tcW w:w="77" w:type="dxa"/>
            <w:tcBorders/>
            <w:shd w:fill="CCEEFF" w:val="clear"/>
            <w:vAlign w:val="center"/>
          </w:tcPr>
          <w:p>
            <w:pPr>
              <w:pStyle w:val="TableContents"/>
              <w:spacing w:before="0" w:after="283"/>
              <w:ind w:left="0" w:right="0" w:hanging="180"/>
              <w:jc w:val="left"/>
              <w:rPr/>
            </w:pPr>
            <w:r>
              <w:rPr/>
              <w:t> </w:t>
            </w:r>
          </w:p>
        </w:tc>
      </w:tr>
      <w:tr>
        <w:trPr/>
        <w:tc>
          <w:tcPr>
            <w:tcW w:w="7364" w:type="dxa"/>
            <w:tcBorders/>
            <w:shd w:fill="auto" w:val="clear"/>
            <w:vAlign w:val="center"/>
          </w:tcPr>
          <w:p>
            <w:pPr>
              <w:pStyle w:val="TableContents"/>
              <w:spacing w:before="0" w:after="283"/>
              <w:jc w:val="left"/>
              <w:rPr>
                <w:b/>
              </w:rPr>
            </w:pPr>
            <w:r>
              <w:rPr>
                <w:b/>
              </w:rPr>
              <w:t>Change in cash</w:t>
            </w:r>
          </w:p>
        </w:tc>
        <w:tc>
          <w:tcPr>
            <w:tcW w:w="60" w:type="dxa"/>
            <w:tcBorders/>
            <w:shd w:fill="auto" w:val="clear"/>
            <w:vAlign w:val="center"/>
          </w:tcPr>
          <w:p>
            <w:pPr>
              <w:pStyle w:val="TableContents"/>
              <w:spacing w:before="0" w:after="283"/>
              <w:rPr/>
            </w:pPr>
            <w:r>
              <w:rPr/>
              <w:t> </w:t>
            </w:r>
          </w:p>
        </w:tc>
        <w:tc>
          <w:tcPr>
            <w:tcW w:w="140"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175" w:type="dxa"/>
            <w:tcBorders>
              <w:bottom w:val="double" w:sz="10" w:space="0" w:color="000000"/>
            </w:tcBorders>
            <w:shd w:fill="auto" w:val="clear"/>
            <w:tcMar>
              <w:bottom w:w="28" w:type="dxa"/>
            </w:tcMar>
            <w:vAlign w:val="center"/>
          </w:tcPr>
          <w:p>
            <w:pPr>
              <w:pStyle w:val="TableContents"/>
              <w:spacing w:before="0" w:after="283"/>
              <w:jc w:val="right"/>
              <w:rPr>
                <w:b/>
              </w:rPr>
            </w:pPr>
            <w:r>
              <w:rPr>
                <w:b/>
              </w:rPr>
              <w:t>(74,170,348</w:t>
            </w:r>
          </w:p>
        </w:tc>
        <w:tc>
          <w:tcPr>
            <w:tcW w:w="95" w:type="dxa"/>
            <w:tcBorders/>
            <w:shd w:fill="auto" w:val="clear"/>
            <w:vAlign w:val="center"/>
          </w:tcPr>
          <w:p>
            <w:pPr>
              <w:pStyle w:val="TableContents"/>
              <w:spacing w:before="0" w:after="283"/>
              <w:jc w:val="left"/>
              <w:rPr>
                <w:b/>
              </w:rPr>
            </w:pPr>
            <w:r>
              <w:rPr>
                <w:b/>
              </w:rPr>
              <w:t>)</w:t>
            </w:r>
          </w:p>
        </w:tc>
        <w:tc>
          <w:tcPr>
            <w:tcW w:w="60" w:type="dxa"/>
            <w:tcBorders/>
            <w:shd w:fill="auto" w:val="clear"/>
            <w:vAlign w:val="center"/>
          </w:tcPr>
          <w:p>
            <w:pPr>
              <w:pStyle w:val="TableContents"/>
              <w:spacing w:before="0" w:after="283"/>
              <w:rPr/>
            </w:pPr>
            <w:r>
              <w:rPr/>
              <w:t> </w:t>
            </w:r>
          </w:p>
        </w:tc>
        <w:tc>
          <w:tcPr>
            <w:tcW w:w="182" w:type="dxa"/>
            <w:tcBorders>
              <w:bottom w:val="double" w:sz="10" w:space="0" w:color="000000"/>
            </w:tcBorders>
            <w:shd w:fill="auto" w:val="clear"/>
            <w:tcMar>
              <w:bottom w:w="28" w:type="dxa"/>
            </w:tcMar>
            <w:vAlign w:val="center"/>
          </w:tcPr>
          <w:p>
            <w:pPr>
              <w:pStyle w:val="TableContents"/>
              <w:spacing w:before="0" w:after="283"/>
              <w:jc w:val="left"/>
              <w:rPr>
                <w:b/>
              </w:rPr>
            </w:pPr>
            <w:r>
              <w:rPr>
                <w:b/>
              </w:rPr>
              <w:t>$</w:t>
            </w:r>
          </w:p>
        </w:tc>
        <w:tc>
          <w:tcPr>
            <w:tcW w:w="1052" w:type="dxa"/>
            <w:tcBorders>
              <w:bottom w:val="double" w:sz="10" w:space="0" w:color="000000"/>
            </w:tcBorders>
            <w:shd w:fill="auto" w:val="clear"/>
            <w:tcMar>
              <w:bottom w:w="28" w:type="dxa"/>
            </w:tcMar>
            <w:vAlign w:val="center"/>
          </w:tcPr>
          <w:p>
            <w:pPr>
              <w:pStyle w:val="TableContents"/>
              <w:spacing w:before="0" w:after="283"/>
              <w:jc w:val="right"/>
              <w:rPr>
                <w:b/>
              </w:rPr>
            </w:pPr>
            <w:r>
              <w:rPr>
                <w:b/>
              </w:rPr>
              <w:t>100,000</w:t>
            </w:r>
          </w:p>
        </w:tc>
        <w:tc>
          <w:tcPr>
            <w:tcW w:w="77" w:type="dxa"/>
            <w:tcBorders/>
            <w:shd w:fill="auto" w:val="clear"/>
            <w:vAlign w:val="center"/>
          </w:tcPr>
          <w:p>
            <w:pPr>
              <w:pStyle w:val="TableContents"/>
              <w:spacing w:before="0" w:after="283"/>
              <w:jc w:val="left"/>
              <w:rPr/>
            </w:pPr>
            <w:r>
              <w:rPr/>
              <w:t> </w:t>
            </w:r>
          </w:p>
        </w:tc>
      </w:tr>
    </w:tbl>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Operating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net cash provided by operating activities totaled approximately $3.0 million. For the three months ended March 31, 2022, adjustments to net income related to operating activities primarily included accretion of deferred loan original issue discount and other discounts of approximately $894,000, PIK interest of approximately $971,000, provision for current expected credit losses of approximately $48,000, amortization of deferred financing costs relating to the revolving credit facility of approximately $72,000, and stock-based compensation expense of approximately $121,000. Additionally, other changes in operating assets and liabilities were approximately $3.1 million, of which $3.0 million is attributable to interest reserves disbursed.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Investing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net cash used in investing activities totaled approximately $77.2 million. The net cash used in investing activities was primarily a result of the cash used for the origination and funding of loans held for investment of approximately $82.8 million, exceeding the cash received from principal repayment of loans held for investment of approximately $5.6 million, and payment of a related party payable of approximately $1.8 million for the period of January 1, 2022 through March 31, 2022.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(Used in) Financing Activities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2022, net cash used in financing activities totaled approximately $31,000 and related to proceeds received from the underwriters’ partial exercise of their over-allotment option, less approximately $4.5 million in dividends paid and offering costs relating to our initial public offering of approximately $24,000.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March 30, 2021 (inception) through March 31, 2021, we received $100,000 in cash from financing activities related to the initial capitalization and issuance of 6,427 shares of the Company’s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Leverage Policies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CECL Reserve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326, we record allowances for our loans held for investment. The allowances are deducted from the gross carrying amount of the assets to present the net carrying value of the amounts expected to be collected on such assets. We estimate our CECL Reserve using a probability-weighted model that considers the likelihood of default and expected loss given default for each individual loan based on the risk profile for approximately three years after which we immediately revert to use of historical loss data. In the future, we may use other acceptable methods, such as a discounted cash flow method, WARM method, or other methods permitted under the standard.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326 requires an entity to consider historical loss experience, current conditions, and a reasonable and supportable forecast of the macroeconomic environment. We evaluate our loans on a collective (pool) basis by aggregating on the basis of similar risk characteristics, primarily: (i) industry sector of the borrower, (ii) risk ratings, (iii) collateral type, and (iv) term, among other characteristics. We make the judgment that loans to cannabis-related borrowers with risk ratings indicating very low or low risk (1 and 2, respectively) that are fully collateralized by real estate with short maturities of less than three years exhibit similar risk characteristics and are evaluated as a pool. Further, loans that are not fully collateralized by real estate, but other forms of collateral, including equity pledges of the borrower, and otherwise have similar characteristics as those collateralized by real estate are evaluated as a pool. All other loans are analyzed individually, either because they operate in a different industry, have higher risk, or have maturities that extend beyond the forecast horizon for which we are able to derive reasonable and supportable forecasts.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two fiscal years and has made investments in similar loans, that have similar characteristics including; interest rate, collateral coverage, guarantees, and prepayment/make whole provisions, which fall into the pools identified above. The Sponsor has experienced prepayment on six loans since its inception history, and in no such case was an event of loss experienced. 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review each loan on a quarterly basis and evaluates the borrower’s ability to pay the monthly interest and principal, if required, as well as the loan-to-value (LTV) ratio. In considering the potential current expected credit loss, the Manager primarily considered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loan-term, geographic location, and expected timing and amount of future loan fundings, (ii) performance against the underwritten business plan and our internal loan risk rating and (iii) a macro-economic forecast. Regarding real estate collateral, we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CapitalIQ as of March 31, 2022,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estimate the future expected loan losses relevant to our portfolio, we utilize historical market loan loss data obtained from Federal Reserve economic data for bank business loans, which we believe is a reasonably comparable and available data set to our loans. We expect the period from 2018-2021 to be representative for future credit losses during the years of 2022-2024, as the cannabis industry is maturing, consumer adoption is increasing, and demand for production and retail capacity is increasing. For periods beyond the reasonable and supportable forecast period, we revert back to historical loss data. The measurement of expected credit losses under CECL is applicable to financial assets measured at amortized cost, and off-balance sheet credit exposures such as unfunded loan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Ratings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pStyle w:val="TextBody"/>
        <w:spacing w:before="0" w:after="0"/>
        <w:ind w:left="0" w:right="0" w:firstLine="48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05"/>
        <w:gridCol w:w="60"/>
        <w:gridCol w:w="9540"/>
      </w:tblGrid>
      <w:tr>
        <w:trPr/>
        <w:tc>
          <w:tcPr>
            <w:tcW w:w="60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Rating</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tcMar>
              <w:bottom w:w="0" w:type="dxa"/>
            </w:tcMar>
            <w:vAlign w:val="center"/>
          </w:tcPr>
          <w:p>
            <w:pPr>
              <w:pStyle w:val="TableContents"/>
              <w:spacing w:before="0" w:after="283"/>
              <w:ind w:left="0" w:right="0" w:hanging="200"/>
              <w:rPr>
                <w:caps w:val="false"/>
                <w:smallCaps w:val="false"/>
              </w:rPr>
            </w:pPr>
            <w:r>
              <w:rPr>
                <w:caps w:val="false"/>
                <w:smallCaps w:val="false"/>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low risk</w:t>
            </w:r>
          </w:p>
        </w:tc>
      </w:tr>
      <w:tr>
        <w:trPr/>
        <w:tc>
          <w:tcPr>
            <w:tcW w:w="60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auto" w:val="clear"/>
            <w:tcMar>
              <w:bottom w:w="0" w:type="dxa"/>
            </w:tcMar>
            <w:vAlign w:val="center"/>
          </w:tcPr>
          <w:p>
            <w:pPr>
              <w:pStyle w:val="TableContents"/>
              <w:spacing w:before="0" w:after="283"/>
              <w:ind w:left="0" w:right="0" w:hanging="200"/>
              <w:rPr>
                <w:caps w:val="false"/>
                <w:smallCaps w:val="false"/>
              </w:rPr>
            </w:pPr>
            <w:r>
              <w:rPr>
                <w:caps w:val="false"/>
                <w:smallCaps w:val="false"/>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 risk</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spacing w:before="0" w:after="283"/>
              <w:ind w:left="0" w:right="0" w:hanging="200"/>
              <w:rPr>
                <w:caps w:val="false"/>
                <w:smallCaps w:val="false"/>
              </w:rPr>
            </w:pPr>
            <w:r>
              <w:rPr>
                <w:caps w:val="false"/>
                <w:smallCaps w:val="false"/>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Moderate/average risk</w:t>
            </w:r>
          </w:p>
        </w:tc>
      </w:tr>
      <w:tr>
        <w:trPr/>
        <w:tc>
          <w:tcPr>
            <w:tcW w:w="605" w:type="dxa"/>
            <w:tcBorders/>
            <w:shd w:fill="auto"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auto" w:val="clear"/>
            <w:tcMar>
              <w:bottom w:w="0" w:type="dxa"/>
            </w:tcMar>
            <w:vAlign w:val="center"/>
          </w:tcPr>
          <w:p>
            <w:pPr>
              <w:pStyle w:val="TableContents"/>
              <w:spacing w:before="0" w:after="283"/>
              <w:ind w:left="0" w:right="0" w:hanging="200"/>
              <w:rPr>
                <w:caps w:val="false"/>
                <w:smallCaps w:val="false"/>
              </w:rPr>
            </w:pPr>
            <w:r>
              <w:rPr>
                <w:caps w:val="false"/>
                <w:smallCaps w:val="false"/>
              </w:rPr>
              <w:t> </w:t>
            </w:r>
          </w:p>
        </w:tc>
        <w:tc>
          <w:tcPr>
            <w:tcW w:w="954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risk/potential for loss: a loan that has a risk of realizing a principal loss</w:t>
            </w:r>
          </w:p>
        </w:tc>
      </w:tr>
      <w:tr>
        <w:trPr/>
        <w:tc>
          <w:tcPr>
            <w:tcW w:w="60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54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Impaired/loss likely: a loan that has a high risk of realizing principal loss, has incurred principal loss or an impairment has been recorded</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ratings are primarily based on historical data and current conditions specific to each portfolio company, as well as consideration of future economic conditions and each borrower’s estimated ability to meet debt service requirements.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and December 31, 2021, the carrying value, excluding the CECL reserve, of the Company’s loans within each risk rating by year of origination is as follows:</w:t>
      </w:r>
    </w:p>
    <w:p>
      <w:pPr>
        <w:pStyle w:val="TextBody"/>
        <w:spacing w:before="0" w:after="0"/>
        <w:ind w:left="0" w:right="0" w:firstLine="480"/>
        <w:rPr>
          <w:caps w:val="false"/>
          <w:smallCaps w:val="false"/>
        </w:rPr>
      </w:pPr>
      <w:r>
        <w:rPr>
          <w:caps w:val="false"/>
          <w:smallCaps w:val="false"/>
        </w:rPr>
        <w:t> </w:t>
      </w:r>
    </w:p>
    <w:tbl>
      <w:tblPr>
        <w:tblW w:w="6645" w:type="dxa"/>
        <w:jc w:val="left"/>
        <w:tblInd w:w="0" w:type="dxa"/>
        <w:tblCellMar>
          <w:top w:w="0" w:type="dxa"/>
          <w:left w:w="0" w:type="dxa"/>
          <w:bottom w:w="0" w:type="dxa"/>
          <w:right w:w="0" w:type="dxa"/>
        </w:tblCellMar>
      </w:tblPr>
      <w:tblGrid>
        <w:gridCol w:w="1025"/>
        <w:gridCol w:w="60"/>
        <w:gridCol w:w="60"/>
        <w:gridCol w:w="950"/>
        <w:gridCol w:w="60"/>
        <w:gridCol w:w="60"/>
        <w:gridCol w:w="60"/>
        <w:gridCol w:w="1055"/>
        <w:gridCol w:w="60"/>
        <w:gridCol w:w="60"/>
        <w:gridCol w:w="60"/>
        <w:gridCol w:w="950"/>
        <w:gridCol w:w="60"/>
        <w:gridCol w:w="60"/>
        <w:gridCol w:w="60"/>
        <w:gridCol w:w="695"/>
        <w:gridCol w:w="60"/>
        <w:gridCol w:w="60"/>
        <w:gridCol w:w="60"/>
        <w:gridCol w:w="1055"/>
        <w:gridCol w:w="75"/>
      </w:tblGrid>
      <w:tr>
        <w:trPr/>
        <w:tc>
          <w:tcPr>
            <w:tcW w:w="102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485" w:type="dxa"/>
            <w:gridSpan w:val="18"/>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2022</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2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Rating</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1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0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122,035,698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29,482,094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556,808</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152,074,600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90,840,054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29,194,429</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6,717,831</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126,752,314</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950"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9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1055" w:type="dxa"/>
            <w:tcBorders/>
            <w:shd w:fill="auto"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02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90,840,054</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151,230,127</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50"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36,199,925</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9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556,808</w:t>
            </w:r>
          </w:p>
        </w:tc>
        <w:tc>
          <w:tcPr>
            <w:tcW w:w="6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bottom w:val="double" w:sz="10" w:space="0" w:color="000000"/>
            </w:tcBorders>
            <w:shd w:fill="auto"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55" w:type="dxa"/>
            <w:tcBorders>
              <w:bottom w:val="double" w:sz="10" w:space="0" w:color="000000"/>
            </w:tcBorders>
            <w:shd w:fill="auto"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278,826,914</w:t>
            </w:r>
          </w:p>
        </w:tc>
        <w:tc>
          <w:tcPr>
            <w:tcW w:w="75" w:type="dxa"/>
            <w:tcBorders/>
            <w:shd w:fill="auto"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firstLine="480"/>
        <w:rPr>
          <w:caps w:val="false"/>
          <w:smallCaps w:val="false"/>
        </w:rPr>
      </w:pPr>
      <w:r>
        <w:rPr>
          <w:caps w:val="false"/>
          <w:smallCaps w:val="false"/>
        </w:rPr>
        <w:t> </w:t>
      </w:r>
    </w:p>
    <w:tbl>
      <w:tblPr>
        <w:tblW w:w="5835" w:type="dxa"/>
        <w:jc w:val="left"/>
        <w:tblInd w:w="0" w:type="dxa"/>
        <w:tblCellMar>
          <w:top w:w="0" w:type="dxa"/>
          <w:left w:w="0" w:type="dxa"/>
          <w:bottom w:w="0" w:type="dxa"/>
          <w:right w:w="0" w:type="dxa"/>
        </w:tblCellMar>
      </w:tblPr>
      <w:tblGrid>
        <w:gridCol w:w="1025"/>
        <w:gridCol w:w="60"/>
        <w:gridCol w:w="60"/>
        <w:gridCol w:w="125"/>
        <w:gridCol w:w="1055"/>
        <w:gridCol w:w="60"/>
        <w:gridCol w:w="60"/>
        <w:gridCol w:w="125"/>
        <w:gridCol w:w="950"/>
        <w:gridCol w:w="60"/>
        <w:gridCol w:w="60"/>
        <w:gridCol w:w="125"/>
        <w:gridCol w:w="695"/>
        <w:gridCol w:w="60"/>
        <w:gridCol w:w="60"/>
        <w:gridCol w:w="125"/>
        <w:gridCol w:w="1055"/>
        <w:gridCol w:w="75"/>
      </w:tblGrid>
      <w:tr>
        <w:trPr/>
        <w:tc>
          <w:tcPr>
            <w:tcW w:w="10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615"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As of December 31, 2021</w:t>
            </w:r>
          </w:p>
        </w:tc>
        <w:tc>
          <w:tcPr>
            <w:tcW w:w="75" w:type="dxa"/>
            <w:tcBorders/>
            <w:shd w:fill="auto" w:val="clear"/>
            <w:vAlign w:val="center"/>
          </w:tcPr>
          <w:p>
            <w:pPr>
              <w:pStyle w:val="TableContents"/>
              <w:spacing w:before="0" w:after="283"/>
              <w:rPr/>
            </w:pPr>
            <w:r>
              <w:rPr/>
              <w:t> </w:t>
            </w:r>
          </w:p>
        </w:tc>
      </w:tr>
      <w:tr>
        <w:trPr/>
        <w:tc>
          <w:tcPr>
            <w:tcW w:w="102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Risk Rating</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2021</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0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2019</w:t>
            </w:r>
          </w:p>
        </w:tc>
        <w:tc>
          <w:tcPr>
            <w:tcW w:w="6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shd w:fill="auto" w:val="clear"/>
            <w:vAlign w:val="center"/>
          </w:tcPr>
          <w:p>
            <w:pPr>
              <w:pStyle w:val="TableContents"/>
              <w:spacing w:before="0" w:after="283"/>
              <w:jc w:val="center"/>
              <w:rPr/>
            </w:pPr>
            <w:r>
              <w:rPr/>
              <w:t> </w:t>
            </w:r>
          </w:p>
        </w:tc>
      </w:tr>
      <w:tr>
        <w:trPr/>
        <w:tc>
          <w:tcPr>
            <w:tcW w:w="10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135,076,307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32,242,114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590,384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167,908,805</w:t>
            </w:r>
          </w:p>
        </w:tc>
        <w:tc>
          <w:tcPr>
            <w:tcW w:w="75"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29,075,761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29,075,761</w:t>
            </w:r>
          </w:p>
        </w:tc>
        <w:tc>
          <w:tcPr>
            <w:tcW w:w="75"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5"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auto" w:val="clear"/>
            <w:vAlign w:val="center"/>
          </w:tcPr>
          <w:p>
            <w:pPr>
              <w:pStyle w:val="TableContents"/>
              <w:spacing w:before="0" w:after="283"/>
              <w:rPr/>
            </w:pPr>
            <w:r>
              <w:rPr/>
              <w:t> </w:t>
            </w:r>
          </w:p>
        </w:tc>
      </w:tr>
      <w:tr>
        <w:trPr/>
        <w:tc>
          <w:tcPr>
            <w:tcW w:w="102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9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69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12" w:space="0" w:color="000000"/>
            </w:tcBorders>
            <w:shd w:fill="CCEEFF" w:val="clear"/>
            <w:tcMar>
              <w:bottom w:w="28" w:type="dxa"/>
            </w:tcMar>
            <w:vAlign w:val="center"/>
          </w:tcPr>
          <w:p>
            <w:pPr>
              <w:pStyle w:val="TableContents"/>
              <w:spacing w:before="0" w:after="283"/>
              <w:rPr/>
            </w:pPr>
            <w:r>
              <w:rPr/>
              <w:t> </w:t>
            </w:r>
          </w:p>
        </w:tc>
        <w:tc>
          <w:tcPr>
            <w:tcW w:w="10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spacing w:before="0" w:after="283"/>
              <w:rPr/>
            </w:pPr>
            <w:r>
              <w:rPr/>
              <w:t> </w:t>
            </w:r>
          </w:p>
        </w:tc>
      </w:tr>
      <w:tr>
        <w:trPr/>
        <w:tc>
          <w:tcPr>
            <w:tcW w:w="10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Total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2" w:space="0" w:color="000000"/>
            </w:tcBorders>
            <w:shd w:fill="auto" w:val="clear"/>
            <w:tcMar>
              <w:bottom w:w="28" w:type="dxa"/>
            </w:tcMar>
            <w:vAlign w:val="center"/>
          </w:tcPr>
          <w:p>
            <w:pPr>
              <w:pStyle w:val="TableContents"/>
              <w:spacing w:before="0" w:after="283"/>
              <w:rPr/>
            </w:pPr>
            <w:r>
              <w:rPr/>
              <w:t> </w:t>
            </w:r>
          </w:p>
        </w:tc>
        <w:tc>
          <w:tcPr>
            <w:tcW w:w="1055"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164,152,068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2" w:space="0" w:color="000000"/>
            </w:tcBorders>
            <w:shd w:fill="auto" w:val="clear"/>
            <w:tcMar>
              <w:bottom w:w="28" w:type="dxa"/>
            </w:tcMar>
            <w:vAlign w:val="center"/>
          </w:tcPr>
          <w:p>
            <w:pPr>
              <w:pStyle w:val="TableContents"/>
              <w:spacing w:before="0" w:after="283"/>
              <w:rPr/>
            </w:pPr>
            <w:r>
              <w:rPr/>
              <w:t> </w:t>
            </w:r>
          </w:p>
        </w:tc>
        <w:tc>
          <w:tcPr>
            <w:tcW w:w="950"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32,242,114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2" w:space="0" w:color="000000"/>
            </w:tcBorders>
            <w:shd w:fill="auto" w:val="clear"/>
            <w:tcMar>
              <w:bottom w:w="28" w:type="dxa"/>
            </w:tcMar>
            <w:vAlign w:val="center"/>
          </w:tcPr>
          <w:p>
            <w:pPr>
              <w:pStyle w:val="TableContents"/>
              <w:spacing w:before="0" w:after="283"/>
              <w:rPr/>
            </w:pPr>
            <w:r>
              <w:rPr/>
              <w:t> </w:t>
            </w:r>
          </w:p>
        </w:tc>
        <w:tc>
          <w:tcPr>
            <w:tcW w:w="695"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590,384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bottom w:val="double" w:sz="12" w:space="0" w:color="000000"/>
            </w:tcBorders>
            <w:shd w:fill="auto" w:val="clear"/>
            <w:tcMar>
              <w:bottom w:w="28" w:type="dxa"/>
            </w:tcMar>
            <w:vAlign w:val="center"/>
          </w:tcPr>
          <w:p>
            <w:pPr>
              <w:pStyle w:val="TableContents"/>
              <w:spacing w:before="0" w:after="283"/>
              <w:rPr/>
            </w:pPr>
            <w:r>
              <w:rPr/>
              <w:t> </w:t>
            </w:r>
          </w:p>
        </w:tc>
        <w:tc>
          <w:tcPr>
            <w:tcW w:w="1055" w:type="dxa"/>
            <w:tcBorders>
              <w:bottom w:val="double" w:sz="12" w:space="0" w:color="000000"/>
            </w:tcBorders>
            <w:shd w:fill="auto"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196,984,566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will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consolidated financial statements may not be comparable to companies that comply with new or revised accounting pronouncements as of public company effective dates.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of (i) the last day of the fiscal year following the fifth anniversary of the consummation of this offering,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 Policies and Estimates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2022, there were no significant changes in or changes in the application of our accounting policies or estimates from those presented in our annual report on Form 10-K. Refer to Note 2 to our consolidated financial statements for the three months ended March 31, 2022, titled “</w:t>
      </w:r>
      <w:r>
        <w:rPr>
          <w:rFonts w:ascii="Times New Roman;Times;Serif" w:hAnsi="Times New Roman;Times;Serif"/>
          <w:b w:val="false"/>
          <w:i/>
          <w:caps w:val="false"/>
          <w:smallCaps w:val="false"/>
          <w:sz w:val="20"/>
        </w:rPr>
        <w:t>Significant Accounting Policies</w:t>
      </w:r>
      <w:r>
        <w:rPr>
          <w:rFonts w:ascii="Times New Roman;Times;Serif" w:hAnsi="Times New Roman;Times;Serif"/>
          <w:b w:val="false"/>
          <w:i w:val="false"/>
          <w:caps w:val="false"/>
          <w:smallCaps w:val="false"/>
          <w:sz w:val="20"/>
        </w:rPr>
        <w:t>” for information on recent accounting pronouncements.</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3. Quantitative and Qualitative Disclosures About Market Risk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market risks in the ordinary course of our business. These risks primarily relate to fluctuations in interest rates. Our loans are typically valued using a yield analysis, which is typically performed for non-credit impaired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March 31, 2022, we had 13 floating-rate loans, representing approximately 63.4% of our loan portfolio based on aggregate outstanding principal balances, subject to a prime rate floor. We estimate that a hypothetical 100 basis points increase in the prime rate would result in an increase in annual interest income of approximately $1,245,000 and a 100 basis points decrease in prime rate would not affect our interest income due to the prime rate floor on our loans. This assumes that the prime rate floor of our floating-rate loans remains at 3.50%, the effective prime rate as of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Market Interest Rates and Effect on Net Interest Income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Cap Risk</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could lower our net interest income or cause a net loss during periods of rising interest rates, which would harm our financial condition, cash flows and results of operations. As of March 31, 2022, all of our floating rate loans have interest rate floors, and none of our loans are subject to interest rate caps.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Mismatch Risk</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Conditions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capitalize on these opportunities and growing the size of our portfolio.</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manage our portfolio through an interactive process with our Manager and generally service our self-originated loans through our Manager’s servicer;</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in a mix of floating-and fixed-rate loans to mitigate the interest rate risk associated with the financing of our portfolio;</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jc w:val="left"/>
              <w:rPr>
                <w:caps w:val="false"/>
                <w:smallCaps w:val="false"/>
              </w:rPr>
            </w:pPr>
            <w:r>
              <w:rPr>
                <w:caps w:val="false"/>
                <w:smallCaps w:val="false"/>
              </w:rPr>
              <w:t>●</w:t>
            </w:r>
          </w:p>
        </w:tc>
        <w:tc>
          <w:tcPr>
            <w:tcW w:w="9997"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tc>
      </w:tr>
    </w:tbl>
    <w:p>
      <w:pPr>
        <w:pStyle w:val="TextBody"/>
        <w:spacing w:before="0" w:after="0"/>
        <w:ind w:left="960" w:right="0" w:hanging="48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Fair Value of Our Assets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hold our target investments as long-term loans; however, we may occasionally classify some of our loans as held for sale. We may carry our loans at fair value or carrying value in our balance sheet. As of March 31, 2022 and December 31, 2021, none of our loans held for investment were carried at fair value.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our loans on a quarterly basis. We may use an independent third-party valuation firm to provide input in the valuation of certain of our unquoted investments, which we consider along with other various subjective and objective factors in making our evaluations.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loans are typically valued using a yield analysis, which is typically performed for non-credit impaired loans to borrowers. To determine fair value using a yield analysis, a current price is imputed for the loan based upon an assessment of the expected market yield for a similarly structured loan with a similar level of risk. In the yield analysis, we consider the current contractual interest rate, the maturity and other terms of the loan relative to risk of the borrower and the specific loan. A key determinant of risk, among other things, is the leverage through the loan relative to the enterprise value of the borrower. As loans held by us are substantially illiquid with no active transaction market, we depend on primary market data, including newly funded loans, as well as secondary market data with respect to high-yield debt instruments and syndicated loans, as inputs in determining the appropriate market yield, as applicable. Changes in market yields may change the fair value of certain of our loans. Generally, an increase in market yields may result in a decrease in the fair value of certain of our loans, however this is mitigated to the extent our loans bear interest at a floating rate.</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inherent uncertainty of determining the fair value of loans that do not have a readily available market value, the fair value of our loans may fluctuate from period to period. Additionally, the fair value of our loans may differ significantly from the values that would have been used had a ready market existed for such loans and may differ materially from the values that we may ultimately realize. Further, such loans are generally subject to legal and other restrictions on resale or otherwise are less liquid than publicly traded securities. If we were required to liquidate our investment in a loan in a forced or liquidation sale, we could realize significantly less than the value at which we had recorded such loan investment.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Conditions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pStyle w:val="TextBody"/>
        <w:spacing w:before="0" w:after="0"/>
        <w:ind w:left="0" w:right="0" w:firstLine="93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March 31, 2022, 94% of our portfolio is fully secured by real estate and 6% has limited or no real estate collateral. Our portfolio on average had real estate collateral coverage of 1.9x as of March 31, 2022, and all of our loans are secured by equity pledges of the borrower and all asset liens.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Risk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will also be addressed through our Manager’s on-going review, and loans will be monitored for variance from expected prepayments, defaults, severities, losses and cash flow on a quarterly basis.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loan portfolio as of March 31, 2022 and December 31, 2021, was concentrated with the top three borrowers representing approximately 31.6% and 34.6% of the funded principal and approximately 27.8% and 31.9% of the total commitments to borrowers, respectively. The largest loan represented approximately 10.7% and 15.0% of the funded principal and approximately 9.3% and 12.8% of the total commitments as of March 31, 2022 and December 31, 2021,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Risk</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4. Controls and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CEO and CFO, to allow timely decisions regarding required disclosures.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this quarterly report on Form 10-Q, our management, including the CEO and CFO, evaluated the effectiveness of the design and operation of our disclosure controls and procedures as of March 31, 2022. Based on that evaluation, our CEO and CFO have concluded that our disclosure controls and procedures were not effective at the reasonable assurance level as of March 31, 2022 because of the material weakness in our internal control over financial reporting that was previously reported in our Annual Report on Form 10-K for the year ended December 31, 2021 (the “2021 10-K”). Such material weakness relates to inadequate design and implementation of information technology general controls that prevent the information systems from providing appropriate segregation of duties, and delivery of complete and accurate information consistent with financial reporting objectives and current needs. Additionally, as previously reported in the 2021 10-K, a control deficiency in our internal control over financial reporting was identified which constitutes a material weakness relating to inadequate design and implementation of controls relating to the development of our allowance for current expected credit losses.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certain measures to remediate the material weakness related to information technology general controls described above, including hiring additional personnel and designing and implementing formal user access controls and information technology systems conducive to a more robust control environment. We have begun to take certain measures to remediate the material weakness related to the Company’s development of its allowance for credit losses, including designing and implementing formal procedures and controls, such as controls over the preparation and review of risk ratings and the estimation of enterprise value of our borrowers and over the preparation and review over the development of reasonable and supportable forecasts of the performance of its loans. We are in the process of implementing additional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 personnel, evaluating our financial and information technology control environment, including engaging a third party vendor to implement a new ERP system with capabilities better suited to support us as a public company, and augmenting our internal controls with new accounting policies and procedures, and designing and implementing both business process controls and information technology general controls.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the efforts taken to date and those planned for remediation will improve the effectiveness of our internal control over financial reporting, these remediation efforts are ongoing and will require a sufficient period of time to operate for management to be able to conclude that the design is effective to address the risks of material misstatement and that such controls are operating effectively through testing of such controls. We may conclude that additional measures are necessary to remediate the material weaknesses in our internal control over financial reporting, which may necessitate additional evaluation and implementation time.</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material weaknesses, the Company has concluded that the consolidated financial statements included in this report present fairly, in all material respects, the financial position of the Company as of March 31, 2022, and the results of its operations and its cash flows for the year then ended in conformity with accounting principles generally accepted in the United States of America.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defined in Rules 13a-15(f) and 15d-15(f) under the Exchange Act) during the quarter ended March 31, 2022 that have materially affected, or that are reasonably likely to materially affect, our internal control over financial reporting.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PART II - OTHER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Item 1. Legal Proceedings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we may be subject to various legal proceedings from time to time. We are not party to any material pending legal proceedings required to be disclosed pursuant to Item 103 of Regulation S-K.</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1A. Risk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year ended December 31, 2021. The risks described in our Annual Report on Form 10-K are not the only risks facing our Company. Additional risks and uncertainties not currently known to us or that we currently deem to be immaterial also may materially adversely affect our business, financial condition and/or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2. Unregistered Sales of Equity Securities and Use of Proceeds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Proceeds from Initial Public Offering</w:t>
      </w:r>
    </w:p>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2021, our registration statement on Form S-11/A (File No. 333-260505) was declared effective for our initial public offering, pursuant to which we registered and sold 6,250,000 shares of our common stock at a public offering price of $16.00 per share. The underwriters partially exercised their 30-day option by purchasing an additional 302,800 shares of our common stock. We received net proceeds of approximately $96.2 million after deducting underwriting discounts and commissions and our offering expenses. JMP Securities LLC, Compass Point Research &amp; Trading, LLC and Oppenheimer &amp; Co. Inc. acted as joint book-running managers for the offering. Concurrent with the closing of our initial public offering, we raised approximately $7.5 million in a private placement with the founders of our Sponsor.</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initial public offering, we have deployed the net proceeds from the IPO and the concurrent private placement (i) to fund loans to seven new portfolio companies in an aggregate principal amount of approximately $78.6 million, (ii) to fund loans to existing portfolio companies in an aggregate principal amount of approximately $36.1 million, and (iii) for working capital and other general corporate purposes.</w:t>
      </w:r>
    </w:p>
    <w:p>
      <w:pPr>
        <w:pStyle w:val="TextBody"/>
        <w:spacing w:before="0" w:after="0"/>
        <w:ind w:left="0" w:right="0" w:firstLine="48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has been no material change in the planned use of proceeds from our initial public offering as described in our final prospectus filed with the SEC pursuant to Rule 424(b) of the Securities Act.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6" w:name="a_017"/>
      <w:bookmarkEnd w:id="16"/>
      <w:r>
        <w:rPr>
          <w:rFonts w:ascii="Times New Roman;Times;Serif" w:hAnsi="Times New Roman;Times;Serif"/>
          <w:b/>
          <w:i w:val="false"/>
          <w:caps w:val="false"/>
          <w:smallCaps w:val="false"/>
          <w:sz w:val="20"/>
        </w:rPr>
        <w:t>Item 3. Defaults Upon Senior Securities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7" w:name="a_018"/>
      <w:bookmarkEnd w:id="17"/>
      <w:r>
        <w:rPr>
          <w:rFonts w:ascii="Times New Roman;Times;Serif" w:hAnsi="Times New Roman;Times;Serif"/>
          <w:b/>
          <w:i w:val="false"/>
          <w:caps w:val="false"/>
          <w:smallCaps w:val="false"/>
          <w:sz w:val="20"/>
        </w:rPr>
        <w:t>Item 4. Mine Safety Disclosures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8" w:name="a_019"/>
      <w:bookmarkEnd w:id="18"/>
      <w:r>
        <w:rPr>
          <w:rFonts w:ascii="Times New Roman;Times;Serif" w:hAnsi="Times New Roman;Times;Serif"/>
          <w:b/>
          <w:i w:val="false"/>
          <w:caps w:val="false"/>
          <w:smallCaps w:val="false"/>
          <w:sz w:val="20"/>
        </w:rPr>
        <w:t>Item 5. Other Information</w:t>
      </w:r>
    </w:p>
    <w:p>
      <w:pPr>
        <w:pStyle w:val="TextBody"/>
        <w:spacing w:before="0" w:after="0"/>
        <w:rPr>
          <w:caps w:val="false"/>
          <w:smallCaps w:val="false"/>
        </w:rPr>
      </w:pPr>
      <w:r>
        <w:rPr>
          <w:caps w:val="false"/>
          <w:smallCaps w:val="false"/>
        </w:rPr>
        <w:t> </w:t>
      </w:r>
    </w:p>
    <w:p>
      <w:pPr>
        <w:pStyle w:val="TextBody"/>
        <w:spacing w:before="0" w:after="0"/>
        <w:ind w:left="0" w:right="0" w:firstLine="48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rPr>
          <w:caps w:val="false"/>
          <w:smallCaps w:val="false"/>
        </w:rPr>
      </w:pPr>
      <w:r>
        <w:rPr>
          <w:caps w:val="false"/>
          <w:smallCaps w:val="false"/>
        </w:rPr>
        <w:t> </w:t>
      </w:r>
    </w:p>
    <w:p>
      <w:pPr>
        <w:pStyle w:val="TextBody"/>
        <w:spacing w:before="0" w:after="0"/>
        <w:rPr>
          <w:rFonts w:ascii="Times New Roman;Times;Serif" w:hAnsi="Times New Roman;Times;Serif"/>
          <w:b/>
          <w:i w:val="false"/>
          <w:caps w:val="false"/>
          <w:smallCaps w:val="false"/>
          <w:sz w:val="20"/>
        </w:rPr>
      </w:pPr>
      <w:bookmarkStart w:id="19" w:name="a_020"/>
      <w:bookmarkEnd w:id="19"/>
      <w:r>
        <w:rPr>
          <w:rFonts w:ascii="Times New Roman;Times;Serif" w:hAnsi="Times New Roman;Times;Serif"/>
          <w:b/>
          <w:i w:val="false"/>
          <w:caps w:val="false"/>
          <w:smallCaps w:val="false"/>
          <w:sz w:val="20"/>
        </w:rPr>
        <w:t>Item 6.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870"/>
        <w:gridCol w:w="60"/>
        <w:gridCol w:w="9275"/>
      </w:tblGrid>
      <w:tr>
        <w:trPr/>
        <w:tc>
          <w:tcPr>
            <w:tcW w:w="87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bottom w:val="single" w:sz="12" w:space="0" w:color="000000"/>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Exhibits</w:t>
            </w:r>
          </w:p>
        </w:tc>
      </w:tr>
      <w:tr>
        <w:trPr/>
        <w:tc>
          <w:tcPr>
            <w:tcW w:w="87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CCEEFF" w:val="clear"/>
            <w:tcMar>
              <w:bottom w:w="0" w:type="dxa"/>
            </w:tcMar>
            <w:vAlign w:val="center"/>
          </w:tcPr>
          <w:p>
            <w:pPr>
              <w:pStyle w:val="TableContents"/>
              <w:spacing w:before="0" w:after="283"/>
              <w:jc w:val="both"/>
              <w:rPr/>
            </w:pPr>
            <w:hyperlink w:anchor="f10q0322ex31-1_chicago.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auto" w:val="clear"/>
            <w:tcMar>
              <w:bottom w:w="0" w:type="dxa"/>
            </w:tcMar>
            <w:vAlign w:val="center"/>
          </w:tcPr>
          <w:p>
            <w:pPr>
              <w:pStyle w:val="TableContents"/>
              <w:spacing w:before="0" w:after="283"/>
              <w:jc w:val="both"/>
              <w:rPr/>
            </w:pPr>
            <w:hyperlink w:anchor="f10q0322ex31-2_chicago.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87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CCEEFF" w:val="clear"/>
            <w:tcMar>
              <w:bottom w:w="0" w:type="dxa"/>
            </w:tcMar>
            <w:vAlign w:val="center"/>
          </w:tcPr>
          <w:p>
            <w:pPr>
              <w:pStyle w:val="TableContents"/>
              <w:spacing w:before="0" w:after="283"/>
              <w:jc w:val="both"/>
              <w:rPr/>
            </w:pPr>
            <w:hyperlink w:anchor="f10q0322ex32-1_chicago.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8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auto" w:val="clear"/>
            <w:tcMar>
              <w:bottom w:w="0" w:type="dxa"/>
            </w:tcMar>
            <w:vAlign w:val="center"/>
          </w:tcPr>
          <w:p>
            <w:pPr>
              <w:pStyle w:val="TableContents"/>
              <w:spacing w:before="0" w:after="283"/>
              <w:jc w:val="both"/>
              <w:rPr/>
            </w:pPr>
            <w:hyperlink w:anchor="f10q0322ex32-2_chicago.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87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 - the instance document does not appear in the Interactive Data File because its XBRL tags are embedded within the Inline XBRL document.</w:t>
            </w:r>
          </w:p>
        </w:tc>
      </w:tr>
      <w:tr>
        <w:trPr/>
        <w:tc>
          <w:tcPr>
            <w:tcW w:w="8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87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8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87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87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870"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9275" w:type="dxa"/>
            <w:tcBorders/>
            <w:shd w:fill="CCEEFF"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spacing w:before="0" w:after="0"/>
        <w:ind w:left="0" w:right="0" w:hanging="0"/>
        <w:rPr>
          <w:caps w:val="false"/>
          <w:smallCaps w:val="false"/>
        </w:rPr>
      </w:pPr>
      <w:r>
        <w:rPr>
          <w:caps w:val="false"/>
          <w:smallCaps w:val="false"/>
        </w:rPr>
        <w:t> </w:t>
      </w:r>
    </w:p>
    <w:tbl>
      <w:tblPr>
        <w:tblW w:w="1833" w:type="dxa"/>
        <w:jc w:val="left"/>
        <w:tblInd w:w="0" w:type="dxa"/>
        <w:tblCellMar>
          <w:top w:w="0" w:type="dxa"/>
          <w:left w:w="0" w:type="dxa"/>
          <w:bottom w:w="0" w:type="dxa"/>
          <w:right w:w="0" w:type="dxa"/>
        </w:tblCellMar>
      </w:tblPr>
      <w:tblGrid>
        <w:gridCol w:w="38"/>
        <w:gridCol w:w="125"/>
        <w:gridCol w:w="1670"/>
      </w:tblGrid>
      <w:tr>
        <w:trPr/>
        <w:tc>
          <w:tcPr>
            <w:tcW w:w="3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670" w:type="dxa"/>
            <w:tcBorders/>
            <w:shd w:fill="auto" w:val="clear"/>
            <w:vAlign w:val="center"/>
          </w:tcPr>
          <w:p>
            <w:pPr>
              <w:pStyle w:val="TableContents"/>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 herewith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240" w:after="240"/>
        <w:ind w:left="240" w:right="2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24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as amended, the registrant has duly caused this report to be signed on its behalf by the undersigned, thereunto duly authorized.</w:t>
      </w:r>
    </w:p>
    <w:tbl>
      <w:tblPr>
        <w:tblW w:w="8229" w:type="dxa"/>
        <w:jc w:val="left"/>
        <w:tblInd w:w="0" w:type="dxa"/>
        <w:tblCellMar>
          <w:top w:w="0" w:type="dxa"/>
          <w:left w:w="0" w:type="dxa"/>
          <w:bottom w:w="0" w:type="dxa"/>
          <w:right w:w="0" w:type="dxa"/>
        </w:tblCellMar>
      </w:tblPr>
      <w:tblGrid>
        <w:gridCol w:w="2060"/>
        <w:gridCol w:w="719"/>
        <w:gridCol w:w="5450"/>
      </w:tblGrid>
      <w:tr>
        <w:trPr/>
        <w:tc>
          <w:tcPr>
            <w:tcW w:w="2060" w:type="dxa"/>
            <w:tcBorders/>
            <w:shd w:fill="auto" w:val="clear"/>
            <w:vAlign w:val="center"/>
          </w:tcPr>
          <w:p>
            <w:pPr>
              <w:pStyle w:val="TableContents"/>
              <w:spacing w:before="0" w:after="283"/>
              <w:rPr/>
            </w:pPr>
            <w:r>
              <w:rPr/>
              <w:t> </w:t>
            </w:r>
          </w:p>
        </w:tc>
        <w:tc>
          <w:tcPr>
            <w:tcW w:w="719" w:type="dxa"/>
            <w:tcBorders/>
            <w:shd w:fill="auto" w:val="clear"/>
            <w:vAlign w:val="center"/>
          </w:tcPr>
          <w:p>
            <w:pPr>
              <w:pStyle w:val="TableContents"/>
              <w:spacing w:before="0" w:after="283"/>
              <w:rPr/>
            </w:pPr>
            <w:r>
              <w:rPr/>
              <w:t> </w:t>
            </w:r>
          </w:p>
        </w:tc>
        <w:tc>
          <w:tcPr>
            <w:tcW w:w="5450" w:type="dxa"/>
            <w:tcBorders/>
            <w:shd w:fill="auto" w:val="clear"/>
            <w:vAlign w:val="center"/>
          </w:tcPr>
          <w:p>
            <w:pPr>
              <w:pStyle w:val="TableContents"/>
              <w:spacing w:before="0" w:after="283"/>
              <w:ind w:left="0" w:right="0" w:hanging="0"/>
              <w:rPr/>
            </w:pPr>
            <w:r>
              <w:rPr/>
              <w:t> </w:t>
            </w:r>
          </w:p>
        </w:tc>
      </w:tr>
      <w:tr>
        <w:trPr/>
        <w:tc>
          <w:tcPr>
            <w:tcW w:w="2060" w:type="dxa"/>
            <w:tcBorders/>
            <w:shd w:fill="auto" w:val="clear"/>
            <w:vAlign w:val="center"/>
          </w:tcPr>
          <w:p>
            <w:pPr>
              <w:pStyle w:val="TableContents"/>
              <w:spacing w:before="0" w:after="283"/>
              <w:ind w:left="0" w:right="0" w:hanging="0"/>
              <w:rPr/>
            </w:pPr>
            <w:r>
              <w:rPr/>
              <w:t> </w:t>
            </w:r>
          </w:p>
        </w:tc>
        <w:tc>
          <w:tcPr>
            <w:tcW w:w="6169" w:type="dxa"/>
            <w:gridSpan w:val="2"/>
            <w:tcBorders/>
            <w:shd w:fill="auto" w:val="clear"/>
            <w:vAlign w:val="center"/>
          </w:tcPr>
          <w:p>
            <w:pPr>
              <w:pStyle w:val="TableContents"/>
              <w:spacing w:before="0" w:after="283"/>
              <w:ind w:left="0" w:right="0" w:hanging="0"/>
              <w:rPr>
                <w:b/>
              </w:rPr>
            </w:pPr>
            <w:r>
              <w:rPr>
                <w:b/>
              </w:rPr>
              <w:t>CHICAGO ATLANTIC REAL ESTATE FINANCE, INC.</w:t>
            </w:r>
          </w:p>
        </w:tc>
      </w:tr>
      <w:tr>
        <w:trPr/>
        <w:tc>
          <w:tcPr>
            <w:tcW w:w="2060" w:type="dxa"/>
            <w:tcBorders/>
            <w:shd w:fill="auto" w:val="clear"/>
            <w:vAlign w:val="center"/>
          </w:tcPr>
          <w:p>
            <w:pPr>
              <w:pStyle w:val="TableContents"/>
              <w:spacing w:before="0" w:after="283"/>
              <w:ind w:left="0" w:right="0" w:hanging="0"/>
              <w:rPr/>
            </w:pPr>
            <w:r>
              <w:rPr/>
              <w:t> </w:t>
            </w:r>
          </w:p>
        </w:tc>
        <w:tc>
          <w:tcPr>
            <w:tcW w:w="6169" w:type="dxa"/>
            <w:gridSpan w:val="2"/>
            <w:tcBorders/>
            <w:shd w:fill="auto" w:val="clear"/>
            <w:vAlign w:val="center"/>
          </w:tcPr>
          <w:p>
            <w:pPr>
              <w:pStyle w:val="TableContents"/>
              <w:spacing w:before="0" w:after="283"/>
              <w:ind w:left="0" w:right="0" w:hanging="0"/>
              <w:rPr/>
            </w:pPr>
            <w:r>
              <w:rPr/>
              <w:t> </w:t>
            </w:r>
          </w:p>
        </w:tc>
      </w:tr>
      <w:tr>
        <w:trPr/>
        <w:tc>
          <w:tcPr>
            <w:tcW w:w="2060" w:type="dxa"/>
            <w:tcBorders/>
            <w:shd w:fill="auto" w:val="clear"/>
            <w:vAlign w:val="center"/>
          </w:tcPr>
          <w:p>
            <w:pPr>
              <w:pStyle w:val="TableContents"/>
              <w:spacing w:before="0" w:after="283"/>
              <w:ind w:left="0" w:right="0" w:hanging="0"/>
              <w:rPr/>
            </w:pPr>
            <w:r>
              <w:rPr/>
              <w:t>Dated: May 12, 2022</w:t>
            </w:r>
          </w:p>
        </w:tc>
        <w:tc>
          <w:tcPr>
            <w:tcW w:w="719" w:type="dxa"/>
            <w:tcBorders/>
            <w:shd w:fill="auto" w:val="clear"/>
            <w:vAlign w:val="center"/>
          </w:tcPr>
          <w:p>
            <w:pPr>
              <w:pStyle w:val="TableContents"/>
              <w:spacing w:before="0" w:after="283"/>
              <w:ind w:left="0" w:right="0" w:hanging="0"/>
              <w:rPr/>
            </w:pPr>
            <w:r>
              <w:rPr/>
              <w:t>By:</w:t>
            </w:r>
          </w:p>
        </w:tc>
        <w:tc>
          <w:tcPr>
            <w:tcW w:w="5450" w:type="dxa"/>
            <w:tcBorders>
              <w:bottom w:val="single" w:sz="8" w:space="0" w:color="000000"/>
            </w:tcBorders>
            <w:shd w:fill="auto" w:val="clear"/>
            <w:tcMar>
              <w:bottom w:w="28" w:type="dxa"/>
            </w:tcMar>
            <w:vAlign w:val="center"/>
          </w:tcPr>
          <w:p>
            <w:pPr>
              <w:pStyle w:val="TableContents"/>
              <w:spacing w:before="0" w:after="283"/>
              <w:ind w:left="0" w:right="0" w:hanging="0"/>
              <w:rPr/>
            </w:pPr>
            <w:r>
              <w:rPr/>
              <w:t>/s/ Anthony Cappell</w:t>
            </w:r>
          </w:p>
        </w:tc>
      </w:tr>
      <w:tr>
        <w:trPr/>
        <w:tc>
          <w:tcPr>
            <w:tcW w:w="2060" w:type="dxa"/>
            <w:tcBorders/>
            <w:shd w:fill="auto" w:val="clear"/>
            <w:vAlign w:val="center"/>
          </w:tcPr>
          <w:p>
            <w:pPr>
              <w:pStyle w:val="TableContents"/>
              <w:spacing w:before="0" w:after="283"/>
              <w:ind w:left="0" w:right="0" w:hanging="0"/>
              <w:rPr/>
            </w:pPr>
            <w:r>
              <w:rPr/>
              <w:t> </w:t>
            </w:r>
          </w:p>
        </w:tc>
        <w:tc>
          <w:tcPr>
            <w:tcW w:w="719" w:type="dxa"/>
            <w:tcBorders/>
            <w:shd w:fill="auto" w:val="clear"/>
            <w:vAlign w:val="center"/>
          </w:tcPr>
          <w:p>
            <w:pPr>
              <w:pStyle w:val="TableContents"/>
              <w:spacing w:before="0" w:after="283"/>
              <w:ind w:left="0" w:right="0" w:hanging="0"/>
              <w:rPr/>
            </w:pPr>
            <w:r>
              <w:rPr/>
              <w:t> </w:t>
            </w:r>
          </w:p>
        </w:tc>
        <w:tc>
          <w:tcPr>
            <w:tcW w:w="5450" w:type="dxa"/>
            <w:tcBorders/>
            <w:shd w:fill="auto" w:val="clear"/>
            <w:vAlign w:val="center"/>
          </w:tcPr>
          <w:p>
            <w:pPr>
              <w:pStyle w:val="TableContents"/>
              <w:spacing w:before="0" w:after="283"/>
              <w:ind w:left="0" w:right="0" w:hanging="0"/>
              <w:rPr/>
            </w:pPr>
            <w:r>
              <w:rPr/>
              <w:t>Anthony Cappell</w:t>
            </w:r>
          </w:p>
        </w:tc>
      </w:tr>
      <w:tr>
        <w:trPr/>
        <w:tc>
          <w:tcPr>
            <w:tcW w:w="2060" w:type="dxa"/>
            <w:tcBorders/>
            <w:shd w:fill="auto" w:val="clear"/>
            <w:vAlign w:val="center"/>
          </w:tcPr>
          <w:p>
            <w:pPr>
              <w:pStyle w:val="TableContents"/>
              <w:spacing w:before="0" w:after="283"/>
              <w:ind w:left="0" w:right="0" w:hanging="0"/>
              <w:rPr/>
            </w:pPr>
            <w:r>
              <w:rPr/>
              <w:t> </w:t>
            </w:r>
          </w:p>
        </w:tc>
        <w:tc>
          <w:tcPr>
            <w:tcW w:w="719" w:type="dxa"/>
            <w:tcBorders/>
            <w:shd w:fill="auto" w:val="clear"/>
            <w:vAlign w:val="center"/>
          </w:tcPr>
          <w:p>
            <w:pPr>
              <w:pStyle w:val="TableContents"/>
              <w:spacing w:before="0" w:after="283"/>
              <w:ind w:left="0" w:right="0" w:hanging="0"/>
              <w:rPr/>
            </w:pPr>
            <w:r>
              <w:rPr/>
              <w:t> </w:t>
            </w:r>
          </w:p>
        </w:tc>
        <w:tc>
          <w:tcPr>
            <w:tcW w:w="5450" w:type="dxa"/>
            <w:tcBorders/>
            <w:shd w:fill="auto" w:val="clear"/>
            <w:vAlign w:val="center"/>
          </w:tcPr>
          <w:p>
            <w:pPr>
              <w:pStyle w:val="TableContents"/>
              <w:spacing w:before="0" w:after="283"/>
              <w:ind w:left="0" w:right="0" w:hanging="0"/>
              <w:rPr/>
            </w:pPr>
            <w:r>
              <w:rPr/>
              <w:t>Chief Executive Officer</w:t>
            </w:r>
          </w:p>
        </w:tc>
      </w:tr>
      <w:tr>
        <w:trPr/>
        <w:tc>
          <w:tcPr>
            <w:tcW w:w="2060" w:type="dxa"/>
            <w:tcBorders/>
            <w:shd w:fill="auto" w:val="clear"/>
            <w:vAlign w:val="center"/>
          </w:tcPr>
          <w:p>
            <w:pPr>
              <w:pStyle w:val="TableContents"/>
              <w:spacing w:before="0" w:after="283"/>
              <w:ind w:left="0" w:right="0" w:hanging="0"/>
              <w:rPr/>
            </w:pPr>
            <w:r>
              <w:rPr/>
              <w:t> </w:t>
            </w:r>
          </w:p>
        </w:tc>
        <w:tc>
          <w:tcPr>
            <w:tcW w:w="719" w:type="dxa"/>
            <w:tcBorders/>
            <w:shd w:fill="auto" w:val="clear"/>
            <w:vAlign w:val="center"/>
          </w:tcPr>
          <w:p>
            <w:pPr>
              <w:pStyle w:val="TableContents"/>
              <w:spacing w:before="0" w:after="283"/>
              <w:ind w:left="0" w:right="0" w:hanging="0"/>
              <w:rPr/>
            </w:pPr>
            <w:r>
              <w:rPr/>
              <w:t> </w:t>
            </w:r>
          </w:p>
        </w:tc>
        <w:tc>
          <w:tcPr>
            <w:tcW w:w="5450" w:type="dxa"/>
            <w:tcBorders/>
            <w:shd w:fill="auto" w:val="clear"/>
            <w:vAlign w:val="center"/>
          </w:tcPr>
          <w:p>
            <w:pPr>
              <w:pStyle w:val="TableContents"/>
              <w:spacing w:before="0" w:after="283"/>
              <w:rPr/>
            </w:pPr>
            <w:r>
              <w:rPr/>
              <w:t>(Principal Executive Officer)</w:t>
            </w:r>
          </w:p>
        </w:tc>
      </w:tr>
    </w:tbl>
    <w:p>
      <w:pPr>
        <w:pStyle w:val="TextBody"/>
        <w:ind w:left="0" w:right="0" w:firstLine="720"/>
        <w:rPr>
          <w:caps w:val="false"/>
          <w:smallCaps w:val="false"/>
        </w:rPr>
      </w:pPr>
      <w:r>
        <w:rPr>
          <w:caps w:val="false"/>
          <w:smallCaps w:val="false"/>
        </w:rPr>
        <w:t> </w:t>
      </w:r>
    </w:p>
    <w:p>
      <w:pPr>
        <w:pStyle w:val="TextBody"/>
        <w:ind w:left="0" w:right="0" w:firstLine="720"/>
        <w:rPr>
          <w:caps w:val="false"/>
          <w:smallCaps w:val="false"/>
        </w:rPr>
      </w:pPr>
      <w:r>
        <w:rPr>
          <w:caps w:val="false"/>
          <w:smallCaps w:val="false"/>
        </w:rPr>
        <w:t> </w:t>
      </w:r>
    </w:p>
    <w:tbl>
      <w:tblPr>
        <w:tblW w:w="6690" w:type="dxa"/>
        <w:jc w:val="left"/>
        <w:tblInd w:w="0" w:type="dxa"/>
        <w:tblCellMar>
          <w:top w:w="0" w:type="dxa"/>
          <w:left w:w="0" w:type="dxa"/>
          <w:bottom w:w="0" w:type="dxa"/>
          <w:right w:w="0" w:type="dxa"/>
        </w:tblCellMar>
      </w:tblPr>
      <w:tblGrid>
        <w:gridCol w:w="2060"/>
        <w:gridCol w:w="365"/>
        <w:gridCol w:w="4265"/>
      </w:tblGrid>
      <w:tr>
        <w:trPr/>
        <w:tc>
          <w:tcPr>
            <w:tcW w:w="2060"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ind w:left="0" w:right="0" w:hanging="0"/>
              <w:rPr/>
            </w:pPr>
            <w:r>
              <w:rPr/>
              <w:t> </w:t>
            </w:r>
          </w:p>
        </w:tc>
      </w:tr>
      <w:tr>
        <w:trPr/>
        <w:tc>
          <w:tcPr>
            <w:tcW w:w="2060" w:type="dxa"/>
            <w:tcBorders/>
            <w:shd w:fill="auto" w:val="clear"/>
            <w:vAlign w:val="center"/>
          </w:tcPr>
          <w:p>
            <w:pPr>
              <w:pStyle w:val="TableContents"/>
              <w:spacing w:before="0" w:after="283"/>
              <w:ind w:left="0" w:right="0" w:hanging="0"/>
              <w:rPr/>
            </w:pPr>
            <w:r>
              <w:rPr/>
              <w:t> </w:t>
            </w:r>
          </w:p>
        </w:tc>
        <w:tc>
          <w:tcPr>
            <w:tcW w:w="4630" w:type="dxa"/>
            <w:gridSpan w:val="2"/>
            <w:tcBorders/>
            <w:shd w:fill="auto" w:val="clear"/>
            <w:vAlign w:val="center"/>
          </w:tcPr>
          <w:p>
            <w:pPr>
              <w:pStyle w:val="TableContents"/>
              <w:spacing w:before="0" w:after="283"/>
              <w:ind w:left="0" w:right="0" w:hanging="0"/>
              <w:rPr/>
            </w:pPr>
            <w:r>
              <w:rPr/>
              <w:t> </w:t>
            </w:r>
          </w:p>
        </w:tc>
      </w:tr>
      <w:tr>
        <w:trPr/>
        <w:tc>
          <w:tcPr>
            <w:tcW w:w="2060" w:type="dxa"/>
            <w:tcBorders/>
            <w:shd w:fill="auto" w:val="clear"/>
            <w:vAlign w:val="center"/>
          </w:tcPr>
          <w:p>
            <w:pPr>
              <w:pStyle w:val="TableContents"/>
              <w:spacing w:before="0" w:after="283"/>
              <w:ind w:left="0" w:right="0" w:hanging="0"/>
              <w:rPr/>
            </w:pPr>
            <w:r>
              <w:rPr/>
              <w:t>Dated: May 12, 2022</w:t>
            </w:r>
          </w:p>
        </w:tc>
        <w:tc>
          <w:tcPr>
            <w:tcW w:w="365" w:type="dxa"/>
            <w:tcBorders/>
            <w:shd w:fill="auto" w:val="clear"/>
            <w:vAlign w:val="center"/>
          </w:tcPr>
          <w:p>
            <w:pPr>
              <w:pStyle w:val="TableContents"/>
              <w:spacing w:before="0" w:after="283"/>
              <w:ind w:left="0" w:right="0" w:hanging="0"/>
              <w:rPr/>
            </w:pPr>
            <w:r>
              <w:rPr/>
              <w:t>By:</w:t>
            </w:r>
          </w:p>
        </w:tc>
        <w:tc>
          <w:tcPr>
            <w:tcW w:w="4265" w:type="dxa"/>
            <w:tcBorders>
              <w:bottom w:val="single" w:sz="8" w:space="0" w:color="000000"/>
            </w:tcBorders>
            <w:shd w:fill="auto" w:val="clear"/>
            <w:tcMar>
              <w:bottom w:w="28" w:type="dxa"/>
            </w:tcMar>
            <w:vAlign w:val="center"/>
          </w:tcPr>
          <w:p>
            <w:pPr>
              <w:pStyle w:val="TableContents"/>
              <w:spacing w:before="0" w:after="283"/>
              <w:ind w:left="0" w:right="0" w:hanging="0"/>
              <w:rPr/>
            </w:pPr>
            <w:r>
              <w:rPr/>
              <w:t>/s/ Lindsay Menze</w:t>
            </w:r>
          </w:p>
        </w:tc>
      </w:tr>
      <w:tr>
        <w:trPr/>
        <w:tc>
          <w:tcPr>
            <w:tcW w:w="2060" w:type="dxa"/>
            <w:tcBorders/>
            <w:shd w:fill="auto" w:val="clear"/>
            <w:vAlign w:val="center"/>
          </w:tcPr>
          <w:p>
            <w:pPr>
              <w:pStyle w:val="TableContents"/>
              <w:spacing w:before="0" w:after="283"/>
              <w:ind w:left="0" w:right="0" w:hanging="0"/>
              <w:rPr/>
            </w:pPr>
            <w:r>
              <w:rPr/>
              <w:t> </w:t>
            </w:r>
          </w:p>
        </w:tc>
        <w:tc>
          <w:tcPr>
            <w:tcW w:w="365" w:type="dxa"/>
            <w:tcBorders/>
            <w:shd w:fill="auto" w:val="clear"/>
            <w:vAlign w:val="center"/>
          </w:tcPr>
          <w:p>
            <w:pPr>
              <w:pStyle w:val="TableContents"/>
              <w:spacing w:before="0" w:after="283"/>
              <w:ind w:left="0" w:right="0" w:hanging="0"/>
              <w:rPr/>
            </w:pPr>
            <w:r>
              <w:rPr/>
              <w:t> </w:t>
            </w:r>
          </w:p>
        </w:tc>
        <w:tc>
          <w:tcPr>
            <w:tcW w:w="4265" w:type="dxa"/>
            <w:tcBorders/>
            <w:shd w:fill="auto" w:val="clear"/>
            <w:vAlign w:val="center"/>
          </w:tcPr>
          <w:p>
            <w:pPr>
              <w:pStyle w:val="TableContents"/>
              <w:spacing w:before="0" w:after="283"/>
              <w:ind w:left="0" w:right="0" w:hanging="0"/>
              <w:rPr/>
            </w:pPr>
            <w:r>
              <w:rPr/>
              <w:t>Lindsay Menze</w:t>
            </w:r>
          </w:p>
        </w:tc>
      </w:tr>
      <w:tr>
        <w:trPr/>
        <w:tc>
          <w:tcPr>
            <w:tcW w:w="2060" w:type="dxa"/>
            <w:tcBorders/>
            <w:shd w:fill="auto" w:val="clear"/>
            <w:vAlign w:val="center"/>
          </w:tcPr>
          <w:p>
            <w:pPr>
              <w:pStyle w:val="TableContents"/>
              <w:spacing w:before="0" w:after="283"/>
              <w:ind w:left="0" w:right="0" w:hanging="0"/>
              <w:rPr/>
            </w:pPr>
            <w:r>
              <w:rPr/>
              <w:t> </w:t>
            </w:r>
          </w:p>
        </w:tc>
        <w:tc>
          <w:tcPr>
            <w:tcW w:w="365" w:type="dxa"/>
            <w:tcBorders/>
            <w:shd w:fill="auto" w:val="clear"/>
            <w:vAlign w:val="center"/>
          </w:tcPr>
          <w:p>
            <w:pPr>
              <w:pStyle w:val="TableContents"/>
              <w:spacing w:before="0" w:after="283"/>
              <w:ind w:left="0" w:right="0" w:hanging="0"/>
              <w:rPr/>
            </w:pPr>
            <w:r>
              <w:rPr/>
              <w:t> </w:t>
            </w:r>
          </w:p>
        </w:tc>
        <w:tc>
          <w:tcPr>
            <w:tcW w:w="4265" w:type="dxa"/>
            <w:tcBorders/>
            <w:shd w:fill="auto" w:val="clear"/>
            <w:vAlign w:val="center"/>
          </w:tcPr>
          <w:p>
            <w:pPr>
              <w:pStyle w:val="TableContents"/>
              <w:spacing w:before="0" w:after="283"/>
              <w:ind w:left="0" w:right="0" w:hanging="0"/>
              <w:rPr/>
            </w:pPr>
            <w:r>
              <w:rPr/>
              <w:t>Chief Financial Officer and Treasurer</w:t>
            </w:r>
          </w:p>
        </w:tc>
      </w:tr>
      <w:tr>
        <w:trPr/>
        <w:tc>
          <w:tcPr>
            <w:tcW w:w="2060" w:type="dxa"/>
            <w:tcBorders/>
            <w:shd w:fill="auto" w:val="clear"/>
            <w:vAlign w:val="center"/>
          </w:tcPr>
          <w:p>
            <w:pPr>
              <w:pStyle w:val="TableContents"/>
              <w:spacing w:before="0" w:after="283"/>
              <w:ind w:left="0" w:right="0" w:hanging="0"/>
              <w:rPr/>
            </w:pPr>
            <w:r>
              <w:rPr/>
              <w:t> </w:t>
            </w:r>
          </w:p>
        </w:tc>
        <w:tc>
          <w:tcPr>
            <w:tcW w:w="365" w:type="dxa"/>
            <w:tcBorders/>
            <w:shd w:fill="auto" w:val="clear"/>
            <w:vAlign w:val="center"/>
          </w:tcPr>
          <w:p>
            <w:pPr>
              <w:pStyle w:val="TableContents"/>
              <w:spacing w:before="0" w:after="283"/>
              <w:ind w:left="0" w:right="0" w:hanging="0"/>
              <w:rPr/>
            </w:pPr>
            <w:r>
              <w:rPr/>
              <w:t> </w:t>
            </w:r>
          </w:p>
        </w:tc>
        <w:tc>
          <w:tcPr>
            <w:tcW w:w="4265" w:type="dxa"/>
            <w:tcBorders/>
            <w:shd w:fill="auto" w:val="clear"/>
            <w:vAlign w:val="center"/>
          </w:tcPr>
          <w:p>
            <w:pPr>
              <w:pStyle w:val="TableContents"/>
              <w:spacing w:before="0" w:after="283"/>
              <w:rPr/>
            </w:pPr>
            <w:r>
              <w:rPr/>
              <w:t>(Principal Financial and Accounting Officer)</w:t>
            </w:r>
          </w:p>
        </w:tc>
      </w:tr>
    </w:tbl>
    <w:p>
      <w:pPr>
        <w:pStyle w:val="TextBody"/>
        <w:spacing w:before="0" w:after="20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TextBody"/>
        <w:rPr>
          <w:caps w:val="false"/>
          <w:smallCaps w:val="false"/>
          <w:bdr w:val="single" w:sz="12" w:space="1" w:color="000000"/>
        </w:rPr>
      </w:pPr>
      <w:r>
        <w:rPr>
          <w:caps w:val="false"/>
          <w:smallCaps w:val="false"/>
          <w:bdr w:val="single" w:sz="12" w:space="1" w:color="000000"/>
        </w:rPr>
        <w:t> </w:t>
      </w:r>
      <w:r>
        <w:br w:type="page"/>
      </w:r>
    </w:p>
    <w:p>
      <w:pPr>
        <w:pStyle w:val="TextBody"/>
        <w:spacing w:before="0" w:after="0"/>
        <w:ind w:left="0" w:right="0" w:hanging="0"/>
        <w:jc w:val="right"/>
        <w:rPr>
          <w:rFonts w:ascii="Times New Roman;Times;Serif" w:hAnsi="Times New Roman;Times;Serif"/>
          <w:b/>
          <w:i w:val="false"/>
          <w:caps w:val="false"/>
          <w:smallCaps w:val="false"/>
          <w:sz w:val="20"/>
        </w:rPr>
      </w:pPr>
      <w:bookmarkStart w:id="20" w:name="f10q0322ex31-1_chicago.htm"/>
      <w:bookmarkStart w:id="21" w:name="ksf10q0322ex311_chicago"/>
      <w:bookmarkEnd w:id="20"/>
      <w:bookmarkEnd w:id="21"/>
      <w:r>
        <w:rPr>
          <w:rFonts w:ascii="Times New Roman;Times;Serif" w:hAnsi="Times New Roman;Times;Serif"/>
          <w:b/>
          <w:i w:val="false"/>
          <w:caps w:val="false"/>
          <w:smallCaps w:val="false"/>
          <w:sz w:val="20"/>
        </w:rPr>
        <w:t>Exhibit 31.1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r>
    </w:p>
    <w:p>
      <w:pPr>
        <w:pStyle w:val="TextBody"/>
        <w:spacing w:before="0" w:after="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Anthony Cappell, Chief Executive Officer of Chicago Atlantic Real Estate Finance, Inc., certify that:</w:t>
      </w:r>
    </w:p>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215"/>
        <w:gridCol w:w="9950"/>
      </w:tblGrid>
      <w:tr>
        <w:trPr/>
        <w:tc>
          <w:tcPr>
            <w:tcW w:w="4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pPr>
            <w:r>
              <w:rPr/>
              <w:t>1.</w:t>
            </w:r>
          </w:p>
        </w:tc>
        <w:tc>
          <w:tcPr>
            <w:tcW w:w="9950" w:type="dxa"/>
            <w:tcBorders/>
            <w:shd w:fill="auto" w:val="clear"/>
            <w:vAlign w:val="center"/>
          </w:tcPr>
          <w:p>
            <w:pPr>
              <w:pStyle w:val="TableContents"/>
              <w:spacing w:before="0" w:after="283"/>
              <w:rPr/>
            </w:pPr>
            <w:r>
              <w:rPr/>
              <w:t>I have reviewed this quarterly report on Form 10-Q of Chicago Atlantic Real Estate Finance, Inc.;</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9"/>
        <w:gridCol w:w="10009"/>
      </w:tblGrid>
      <w:tr>
        <w:trPr/>
        <w:tc>
          <w:tcPr>
            <w:tcW w:w="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pPr>
            <w:r>
              <w:rPr/>
              <w:t>2.</w:t>
            </w:r>
          </w:p>
        </w:tc>
        <w:tc>
          <w:tcPr>
            <w:tcW w:w="10009" w:type="dxa"/>
            <w:tcBorders/>
            <w:shd w:fill="auto" w:val="clear"/>
            <w:vAlign w:val="cente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2"/>
        <w:gridCol w:w="10006"/>
      </w:tblGrid>
      <w:tr>
        <w:trPr/>
        <w:tc>
          <w:tcPr>
            <w:tcW w:w="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3.</w:t>
            </w:r>
          </w:p>
        </w:tc>
        <w:tc>
          <w:tcPr>
            <w:tcW w:w="10006" w:type="dxa"/>
            <w:tcBorders/>
            <w:shd w:fill="auto" w:val="clear"/>
            <w:vAlign w:val="cente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7"/>
        <w:gridCol w:w="10001"/>
      </w:tblGrid>
      <w:tr>
        <w:trPr/>
        <w:tc>
          <w:tcPr>
            <w:tcW w:w="3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pPr>
            <w:r>
              <w:rPr/>
              <w:t>4.</w:t>
            </w:r>
          </w:p>
        </w:tc>
        <w:tc>
          <w:tcPr>
            <w:tcW w:w="10001" w:type="dxa"/>
            <w:tcBorders/>
            <w:shd w:fill="auto" w:val="clear"/>
            <w:vAlign w:val="cente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5"/>
        <w:gridCol w:w="10023"/>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a)</w:t>
            </w:r>
          </w:p>
        </w:tc>
        <w:tc>
          <w:tcPr>
            <w:tcW w:w="10023" w:type="dxa"/>
            <w:tcBorders/>
            <w:shd w:fill="auto" w:val="clear"/>
            <w:vAlign w:val="cente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7"/>
        <w:gridCol w:w="10001"/>
      </w:tblGrid>
      <w:tr>
        <w:trPr/>
        <w:tc>
          <w:tcPr>
            <w:tcW w:w="3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pPr>
            <w:r>
              <w:rPr/>
              <w:t>b)</w:t>
            </w:r>
          </w:p>
        </w:tc>
        <w:tc>
          <w:tcPr>
            <w:tcW w:w="10001" w:type="dxa"/>
            <w:tcBorders/>
            <w:shd w:fill="auto" w:val="clear"/>
            <w:vAlign w:val="cente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5"/>
        <w:gridCol w:w="10023"/>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c)</w:t>
            </w:r>
          </w:p>
        </w:tc>
        <w:tc>
          <w:tcPr>
            <w:tcW w:w="10023" w:type="dxa"/>
            <w:tcBorders/>
            <w:shd w:fill="auto" w:val="clear"/>
            <w:vAlign w:val="cente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1"/>
        <w:gridCol w:w="10007"/>
      </w:tblGrid>
      <w:tr>
        <w:trPr/>
        <w:tc>
          <w:tcPr>
            <w:tcW w:w="3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pPr>
            <w:r>
              <w:rPr/>
              <w:t>5.</w:t>
            </w:r>
          </w:p>
        </w:tc>
        <w:tc>
          <w:tcPr>
            <w:tcW w:w="10007" w:type="dxa"/>
            <w:tcBorders/>
            <w:shd w:fill="auto" w:val="clear"/>
            <w:vAlign w:val="cente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pPr>
            <w:r>
              <w:rPr/>
              <w:t>a)</w:t>
            </w:r>
          </w:p>
        </w:tc>
        <w:tc>
          <w:tcPr>
            <w:tcW w:w="10015" w:type="dxa"/>
            <w:tcBorders/>
            <w:shd w:fill="auto" w:val="clear"/>
            <w:vAlign w:val="cente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b)</w:t>
            </w:r>
          </w:p>
        </w:tc>
        <w:tc>
          <w:tcPr>
            <w:tcW w:w="9983" w:type="dxa"/>
            <w:tcBorders/>
            <w:shd w:fill="auto" w:val="clear"/>
            <w:vAlign w:val="cente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5025" w:type="dxa"/>
        <w:jc w:val="left"/>
        <w:tblInd w:w="0" w:type="dxa"/>
        <w:tblCellMar>
          <w:top w:w="0" w:type="dxa"/>
          <w:left w:w="0" w:type="dxa"/>
          <w:bottom w:w="0" w:type="dxa"/>
          <w:right w:w="0" w:type="dxa"/>
        </w:tblCellMar>
      </w:tblPr>
      <w:tblGrid>
        <w:gridCol w:w="1655"/>
        <w:gridCol w:w="320"/>
        <w:gridCol w:w="3050"/>
      </w:tblGrid>
      <w:tr>
        <w:trPr/>
        <w:tc>
          <w:tcPr>
            <w:tcW w:w="1655" w:type="dxa"/>
            <w:tcBorders/>
            <w:shd w:fill="auto" w:val="clear"/>
            <w:vAlign w:val="center"/>
          </w:tcPr>
          <w:p>
            <w:pPr>
              <w:pStyle w:val="TableContents"/>
              <w:spacing w:before="0" w:after="283"/>
              <w:rPr>
                <w:sz w:val="20"/>
              </w:rPr>
            </w:pPr>
            <w:r>
              <w:rPr>
                <w:sz w:val="20"/>
              </w:rPr>
              <w:t>Date: May 12, 2022</w:t>
            </w:r>
          </w:p>
        </w:tc>
        <w:tc>
          <w:tcPr>
            <w:tcW w:w="3370"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3370"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3050"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Anthony Cappell</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5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Cappell</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22" w:name="f10q0322ex31-2_chicago.htm"/>
      <w:bookmarkStart w:id="23" w:name="ksf10q0322ex312_chicago"/>
      <w:bookmarkEnd w:id="22"/>
      <w:bookmarkEnd w:id="23"/>
      <w:r>
        <w:rPr>
          <w:rFonts w:ascii="Times New Roman;Times;Serif" w:hAnsi="Times New Roman;Times;Serif"/>
          <w:b/>
          <w:i w:val="false"/>
          <w:caps w:val="false"/>
          <w:smallCaps w:val="false"/>
          <w:sz w:val="20"/>
        </w:rPr>
        <w:t>Exhibit 31.2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r>
    </w:p>
    <w:p>
      <w:pPr>
        <w:pStyle w:val="TextBody"/>
        <w:spacing w:before="0" w:after="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Lindsay Menze, Chief Financial Officer of Chicago Atlantic Real Estate Finance, Inc., certify that:</w:t>
      </w:r>
    </w:p>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0"/>
        <w:gridCol w:w="215"/>
        <w:gridCol w:w="9950"/>
      </w:tblGrid>
      <w:tr>
        <w:trPr/>
        <w:tc>
          <w:tcPr>
            <w:tcW w:w="4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pPr>
            <w:r>
              <w:rPr/>
              <w:t>1.</w:t>
            </w:r>
          </w:p>
        </w:tc>
        <w:tc>
          <w:tcPr>
            <w:tcW w:w="9950" w:type="dxa"/>
            <w:tcBorders/>
            <w:shd w:fill="auto" w:val="clear"/>
            <w:vAlign w:val="center"/>
          </w:tcPr>
          <w:p>
            <w:pPr>
              <w:pStyle w:val="TableContents"/>
              <w:spacing w:before="0" w:after="283"/>
              <w:rPr/>
            </w:pPr>
            <w:r>
              <w:rPr/>
              <w:t>I have reviewed this quarterly report on Form 10-Q of Chicago Atlantic Real Estate Finance, Inc.;</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9"/>
        <w:gridCol w:w="10009"/>
      </w:tblGrid>
      <w:tr>
        <w:trPr/>
        <w:tc>
          <w:tcPr>
            <w:tcW w:w="3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pPr>
            <w:r>
              <w:rPr/>
              <w:t>2.</w:t>
            </w:r>
          </w:p>
        </w:tc>
        <w:tc>
          <w:tcPr>
            <w:tcW w:w="10009" w:type="dxa"/>
            <w:tcBorders/>
            <w:shd w:fill="auto" w:val="clear"/>
            <w:vAlign w:val="cente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2"/>
        <w:gridCol w:w="10006"/>
      </w:tblGrid>
      <w:tr>
        <w:trPr/>
        <w:tc>
          <w:tcPr>
            <w:tcW w:w="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3.</w:t>
            </w:r>
          </w:p>
        </w:tc>
        <w:tc>
          <w:tcPr>
            <w:tcW w:w="10006" w:type="dxa"/>
            <w:tcBorders/>
            <w:shd w:fill="auto" w:val="clear"/>
            <w:vAlign w:val="cente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7"/>
        <w:gridCol w:w="10001"/>
      </w:tblGrid>
      <w:tr>
        <w:trPr/>
        <w:tc>
          <w:tcPr>
            <w:tcW w:w="3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pPr>
            <w:r>
              <w:rPr/>
              <w:t>4.</w:t>
            </w:r>
          </w:p>
        </w:tc>
        <w:tc>
          <w:tcPr>
            <w:tcW w:w="10001" w:type="dxa"/>
            <w:tcBorders/>
            <w:shd w:fill="auto" w:val="clear"/>
            <w:vAlign w:val="center"/>
          </w:tcPr>
          <w:p>
            <w:pPr>
              <w:pStyle w:val="TableContents"/>
              <w:spacing w:before="0" w:after="283"/>
              <w:rPr/>
            </w:pPr>
            <w:r>
              <w:rPr/>
              <w:t>The registrant’s other certifying officer and I are responsible for establishing and maintaining disclosure controls and procedures (as defined in Exchange Act Rules 13a-15(e) and 15d-15(e)) for the registrant and have:</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5"/>
        <w:gridCol w:w="10023"/>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a)</w:t>
            </w:r>
          </w:p>
        </w:tc>
        <w:tc>
          <w:tcPr>
            <w:tcW w:w="10023" w:type="dxa"/>
            <w:tcBorders/>
            <w:shd w:fill="auto" w:val="clear"/>
            <w:vAlign w:val="cente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7"/>
        <w:gridCol w:w="10001"/>
      </w:tblGrid>
      <w:tr>
        <w:trPr/>
        <w:tc>
          <w:tcPr>
            <w:tcW w:w="3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pPr>
            <w:r>
              <w:rPr/>
              <w:t>b)</w:t>
            </w:r>
          </w:p>
        </w:tc>
        <w:tc>
          <w:tcPr>
            <w:tcW w:w="10001" w:type="dxa"/>
            <w:tcBorders/>
            <w:shd w:fill="auto" w:val="clear"/>
            <w:vAlign w:val="cente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5"/>
        <w:gridCol w:w="10023"/>
      </w:tblGrid>
      <w:tr>
        <w:trPr/>
        <w:tc>
          <w:tcPr>
            <w:tcW w:w="3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c)</w:t>
            </w:r>
          </w:p>
        </w:tc>
        <w:tc>
          <w:tcPr>
            <w:tcW w:w="10023" w:type="dxa"/>
            <w:tcBorders/>
            <w:shd w:fill="auto" w:val="clear"/>
            <w:vAlign w:val="center"/>
          </w:tcPr>
          <w:p>
            <w:pPr>
              <w:pStyle w:val="TableContents"/>
              <w:spacing w:before="0" w:after="283"/>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116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1"/>
        <w:gridCol w:w="10007"/>
      </w:tblGrid>
      <w:tr>
        <w:trPr/>
        <w:tc>
          <w:tcPr>
            <w:tcW w:w="3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pPr>
            <w:r>
              <w:rPr/>
              <w:t>5.</w:t>
            </w:r>
          </w:p>
        </w:tc>
        <w:tc>
          <w:tcPr>
            <w:tcW w:w="10007" w:type="dxa"/>
            <w:tcBorders/>
            <w:shd w:fill="auto" w:val="clear"/>
            <w:vAlign w:val="cente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3"/>
        <w:gridCol w:w="10015"/>
      </w:tblGrid>
      <w:tr>
        <w:trPr/>
        <w:tc>
          <w:tcPr>
            <w:tcW w:w="3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pPr>
            <w:r>
              <w:rPr/>
              <w:t>a)</w:t>
            </w:r>
          </w:p>
        </w:tc>
        <w:tc>
          <w:tcPr>
            <w:tcW w:w="10015" w:type="dxa"/>
            <w:tcBorders/>
            <w:shd w:fill="auto" w:val="clear"/>
            <w:vAlign w:val="cente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640" w:right="200" w:hanging="48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5"/>
        <w:gridCol w:w="9983"/>
      </w:tblGrid>
      <w:tr>
        <w:trPr/>
        <w:tc>
          <w:tcPr>
            <w:tcW w:w="3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pPr>
            <w:r>
              <w:rPr/>
              <w:t>b)</w:t>
            </w:r>
          </w:p>
        </w:tc>
        <w:tc>
          <w:tcPr>
            <w:tcW w:w="9983" w:type="dxa"/>
            <w:tcBorders/>
            <w:shd w:fill="auto" w:val="clear"/>
            <w:vAlign w:val="cente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tbl>
      <w:tblPr>
        <w:tblW w:w="4380" w:type="dxa"/>
        <w:jc w:val="left"/>
        <w:tblInd w:w="0" w:type="dxa"/>
        <w:tblCellMar>
          <w:top w:w="0" w:type="dxa"/>
          <w:left w:w="0" w:type="dxa"/>
          <w:bottom w:w="0" w:type="dxa"/>
          <w:right w:w="0" w:type="dxa"/>
        </w:tblCellMar>
      </w:tblPr>
      <w:tblGrid>
        <w:gridCol w:w="1655"/>
        <w:gridCol w:w="320"/>
        <w:gridCol w:w="2405"/>
      </w:tblGrid>
      <w:tr>
        <w:trPr/>
        <w:tc>
          <w:tcPr>
            <w:tcW w:w="1655" w:type="dxa"/>
            <w:tcBorders/>
            <w:shd w:fill="auto" w:val="clear"/>
            <w:vAlign w:val="center"/>
          </w:tcPr>
          <w:p>
            <w:pPr>
              <w:pStyle w:val="TableContents"/>
              <w:spacing w:before="0" w:after="283"/>
              <w:rPr>
                <w:sz w:val="20"/>
              </w:rPr>
            </w:pPr>
            <w:r>
              <w:rPr>
                <w:sz w:val="20"/>
              </w:rPr>
              <w:t>Date: May 12, 2022</w:t>
            </w:r>
          </w:p>
        </w:tc>
        <w:tc>
          <w:tcPr>
            <w:tcW w:w="272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272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405"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Lindsay Menze</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Menze</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24" w:name="f10q0322ex32-1_chicago.htm"/>
      <w:bookmarkStart w:id="25" w:name="ksf10q0322ex321_chicago"/>
      <w:bookmarkEnd w:id="24"/>
      <w:bookmarkEnd w:id="25"/>
      <w:r>
        <w:rPr>
          <w:rFonts w:ascii="Times New Roman;Times;Serif" w:hAnsi="Times New Roman;Times;Serif"/>
          <w:b/>
          <w:i w:val="false"/>
          <w:caps w:val="false"/>
          <w:smallCaps w:val="false"/>
          <w:sz w:val="20"/>
        </w:rPr>
        <w:t>Exhibit 32.1</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EXECUTIVE OFFICER</w:t>
        <w:br/>
        <w:t>PURSUANT TO</w:t>
        <w:br/>
        <w:t>SECTION 906 OF THE SARBANES-OXLEY ACT OF 2002 (18 U.S.C. 1350)</w:t>
      </w:r>
    </w:p>
    <w:p>
      <w:pPr>
        <w:pStyle w:val="TextBody"/>
        <w:spacing w:before="0" w:after="0"/>
        <w:jc w:val="center"/>
        <w:rPr>
          <w:caps w:val="false"/>
          <w:smallCaps w:val="false"/>
        </w:rPr>
      </w:pPr>
      <w:r>
        <w:rPr>
          <w:caps w:val="false"/>
          <w:smallCaps w:val="false"/>
        </w:rPr>
        <w:t> </w:t>
      </w:r>
    </w:p>
    <w:p>
      <w:pPr>
        <w:pStyle w:val="TextBody"/>
        <w:spacing w:before="0" w:after="0"/>
        <w:ind w:left="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period ended March 31, 2022 (the “Report”) of Chicago Atlantic Real Estate Finance, Inc. (the “Registrant”), as filed with the Securities and Exchange Commission on the date hereof, I, Anthony Cappell, the Chief Executive Officer of the Registrant, hereby certify, to the best of my knowledge, that:</w:t>
      </w:r>
    </w:p>
    <w:p>
      <w:pPr>
        <w:pStyle w:val="TextBody"/>
        <w:spacing w:before="0" w:after="0"/>
        <w:ind w:left="1160" w:right="200" w:hanging="48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2"/>
        <w:gridCol w:w="9895"/>
      </w:tblGrid>
      <w:tr>
        <w:trPr/>
        <w:tc>
          <w:tcPr>
            <w:tcW w:w="3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jc w:val="left"/>
              <w:rPr/>
            </w:pPr>
            <w:r>
              <w:rPr/>
              <w:t>(1)</w:t>
            </w:r>
          </w:p>
        </w:tc>
        <w:tc>
          <w:tcPr>
            <w:tcW w:w="9895" w:type="dxa"/>
            <w:tcBorders/>
            <w:shd w:fill="auto" w:val="clear"/>
            <w:vAlign w:val="center"/>
          </w:tcPr>
          <w:p>
            <w:pPr>
              <w:pStyle w:val="TableContents"/>
              <w:spacing w:before="0" w:after="283"/>
              <w:jc w:val="left"/>
              <w:rPr/>
            </w:pPr>
            <w:r>
              <w:rPr/>
              <w:t>The Report fully complies with the requirements of Section 13(a) or 15(d) of the Securities Exchange Act of 1934, as amended; and</w:t>
            </w:r>
          </w:p>
        </w:tc>
      </w:tr>
    </w:tbl>
    <w:p>
      <w:pPr>
        <w:pStyle w:val="TextBody"/>
        <w:spacing w:before="0" w:after="0"/>
        <w:ind w:left="1160" w:right="200" w:hanging="48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7"/>
        <w:gridCol w:w="9900"/>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jc w:val="left"/>
              <w:rPr/>
            </w:pPr>
            <w:r>
              <w:rPr/>
              <w:t>(2)</w:t>
            </w:r>
          </w:p>
        </w:tc>
        <w:tc>
          <w:tcPr>
            <w:tcW w:w="9900" w:type="dxa"/>
            <w:tcBorders/>
            <w:shd w:fill="auto" w:val="clear"/>
            <w:vAlign w:val="center"/>
          </w:tcPr>
          <w:p>
            <w:pPr>
              <w:pStyle w:val="TableContents"/>
              <w:spacing w:before="0" w:after="283"/>
              <w:jc w:val="left"/>
              <w:rPr/>
            </w:pPr>
            <w:r>
              <w:rPr/>
              <w:t>The information contained in the Report fairly presents, in all material respects, the financial condition and results of operations of the Registrant.</w:t>
            </w:r>
          </w:p>
        </w:tc>
      </w:tr>
    </w:tbl>
    <w:p>
      <w:pPr>
        <w:pStyle w:val="TextBody"/>
        <w:spacing w:before="0" w:after="0"/>
        <w:ind w:left="1160" w:right="200" w:hanging="480"/>
        <w:rPr>
          <w:caps w:val="false"/>
          <w:smallCaps w:val="false"/>
        </w:rPr>
      </w:pPr>
      <w:r>
        <w:rPr>
          <w:caps w:val="false"/>
          <w:smallCaps w:val="false"/>
        </w:rPr>
        <w:t> </w:t>
      </w:r>
    </w:p>
    <w:tbl>
      <w:tblPr>
        <w:tblW w:w="4980" w:type="dxa"/>
        <w:jc w:val="left"/>
        <w:tblInd w:w="0" w:type="dxa"/>
        <w:tblCellMar>
          <w:top w:w="0" w:type="dxa"/>
          <w:left w:w="0" w:type="dxa"/>
          <w:bottom w:w="0" w:type="dxa"/>
          <w:right w:w="0" w:type="dxa"/>
        </w:tblCellMar>
      </w:tblPr>
      <w:tblGrid>
        <w:gridCol w:w="1655"/>
        <w:gridCol w:w="320"/>
        <w:gridCol w:w="3005"/>
      </w:tblGrid>
      <w:tr>
        <w:trPr/>
        <w:tc>
          <w:tcPr>
            <w:tcW w:w="1655" w:type="dxa"/>
            <w:tcBorders/>
            <w:shd w:fill="auto" w:val="clear"/>
            <w:vAlign w:val="center"/>
          </w:tcPr>
          <w:p>
            <w:pPr>
              <w:pStyle w:val="TableContents"/>
              <w:spacing w:before="0" w:after="283"/>
              <w:rPr>
                <w:sz w:val="20"/>
              </w:rPr>
            </w:pPr>
            <w:r>
              <w:rPr>
                <w:sz w:val="20"/>
              </w:rPr>
              <w:t>Date: May 12, 2022</w:t>
            </w:r>
          </w:p>
        </w:tc>
        <w:tc>
          <w:tcPr>
            <w:tcW w:w="332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332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3005"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Anthony Cappell</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30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Cappell</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bl>
    <w:p>
      <w:pPr>
        <w:pStyle w:val="TextBody"/>
        <w:spacing w:before="0" w:after="0"/>
        <w:ind w:left="0" w:right="0" w:hanging="0"/>
        <w:jc w:val="right"/>
        <w:rPr>
          <w:rFonts w:ascii="Times New Roman;Times;Serif" w:hAnsi="Times New Roman;Times;Serif"/>
          <w:b/>
          <w:i w:val="false"/>
          <w:caps w:val="false"/>
          <w:smallCaps w:val="false"/>
          <w:sz w:val="20"/>
        </w:rPr>
      </w:pPr>
      <w:r>
        <w:br w:type="page"/>
      </w:r>
      <w:bookmarkStart w:id="26" w:name="f10q0322ex32-2_chicago.htm"/>
      <w:bookmarkStart w:id="27" w:name="ksf10q0322ex322_chicago"/>
      <w:bookmarkEnd w:id="26"/>
      <w:bookmarkEnd w:id="27"/>
      <w:r>
        <w:rPr>
          <w:rFonts w:ascii="Times New Roman;Times;Serif" w:hAnsi="Times New Roman;Times;Serif"/>
          <w:b/>
          <w:i w:val="false"/>
          <w:caps w:val="false"/>
          <w:smallCaps w:val="false"/>
          <w:sz w:val="20"/>
        </w:rPr>
        <w:t>Exhibit 32.2</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CHIEF FINANCIAL OFFICER</w:t>
        <w:br/>
        <w:t>PURSUANT TO</w:t>
        <w:br/>
        <w:t>SECTION 906 OF THE SARBANES-OXLEY ACT OF 2002 (18 U.S.C. 1350)</w:t>
      </w:r>
    </w:p>
    <w:p>
      <w:pPr>
        <w:pStyle w:val="TextBody"/>
        <w:spacing w:before="0" w:after="0"/>
        <w:jc w:val="center"/>
        <w:rPr>
          <w:caps w:val="false"/>
          <w:smallCaps w:val="false"/>
        </w:rPr>
      </w:pPr>
      <w:r>
        <w:rPr>
          <w:caps w:val="false"/>
          <w:smallCaps w:val="false"/>
        </w:rPr>
        <w:t> </w:t>
      </w:r>
    </w:p>
    <w:p>
      <w:pPr>
        <w:pStyle w:val="TextBody"/>
        <w:spacing w:before="0" w:after="0"/>
        <w:ind w:left="0" w:right="2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period ended March 31, 2022 (the “Report”) of Chicago Atlantic Real Estate Finance, Inc. (the “Registrant”), as filed with the Securities and Exchange Commission on the date hereof, I, Lindsay Menze, the Chief Financial Officer of the Registrant, hereby certify, to the best of my knowledge, that:</w:t>
      </w:r>
    </w:p>
    <w:p>
      <w:pPr>
        <w:pStyle w:val="TextBody"/>
        <w:spacing w:before="0" w:after="0"/>
        <w:ind w:left="1160" w:right="200" w:hanging="48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72"/>
        <w:gridCol w:w="9895"/>
      </w:tblGrid>
      <w:tr>
        <w:trPr/>
        <w:tc>
          <w:tcPr>
            <w:tcW w:w="3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jc w:val="left"/>
              <w:rPr/>
            </w:pPr>
            <w:r>
              <w:rPr/>
              <w:t>(1)</w:t>
            </w:r>
          </w:p>
        </w:tc>
        <w:tc>
          <w:tcPr>
            <w:tcW w:w="9895" w:type="dxa"/>
            <w:tcBorders/>
            <w:shd w:fill="auto" w:val="clear"/>
            <w:vAlign w:val="center"/>
          </w:tcPr>
          <w:p>
            <w:pPr>
              <w:pStyle w:val="TableContents"/>
              <w:spacing w:before="0" w:after="283"/>
              <w:jc w:val="left"/>
              <w:rPr/>
            </w:pPr>
            <w:r>
              <w:rPr/>
              <w:t>The Report fully complies with the requirements of Section 13(a) or 15(d) of the Securities Exchange Act of 1934, as amended; and</w:t>
            </w:r>
          </w:p>
        </w:tc>
      </w:tr>
    </w:tbl>
    <w:p>
      <w:pPr>
        <w:pStyle w:val="TextBody"/>
        <w:spacing w:before="0" w:after="0"/>
        <w:ind w:left="1160" w:right="200" w:hanging="48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67"/>
        <w:gridCol w:w="9900"/>
      </w:tblGrid>
      <w:tr>
        <w:trPr/>
        <w:tc>
          <w:tcPr>
            <w:tcW w:w="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jc w:val="left"/>
              <w:rPr/>
            </w:pPr>
            <w:r>
              <w:rPr/>
              <w:t>(2)</w:t>
            </w:r>
          </w:p>
        </w:tc>
        <w:tc>
          <w:tcPr>
            <w:tcW w:w="9900" w:type="dxa"/>
            <w:tcBorders/>
            <w:shd w:fill="auto" w:val="clear"/>
            <w:vAlign w:val="center"/>
          </w:tcPr>
          <w:p>
            <w:pPr>
              <w:pStyle w:val="TableContents"/>
              <w:spacing w:before="0" w:after="283"/>
              <w:jc w:val="left"/>
              <w:rPr/>
            </w:pPr>
            <w:r>
              <w:rPr/>
              <w:t>The information contained in the Report fairly presents, in all material respects, the financial condition and results of operations of the Registrant.</w:t>
            </w:r>
          </w:p>
        </w:tc>
      </w:tr>
    </w:tbl>
    <w:p>
      <w:pPr>
        <w:pStyle w:val="TextBody"/>
        <w:spacing w:before="0" w:after="0"/>
        <w:ind w:left="1160" w:right="200" w:hanging="480"/>
        <w:rPr>
          <w:caps w:val="false"/>
          <w:smallCaps w:val="false"/>
        </w:rPr>
      </w:pPr>
      <w:r>
        <w:rPr>
          <w:caps w:val="false"/>
          <w:smallCaps w:val="false"/>
        </w:rPr>
        <w:t> </w:t>
      </w:r>
    </w:p>
    <w:tbl>
      <w:tblPr>
        <w:tblW w:w="4380" w:type="dxa"/>
        <w:jc w:val="left"/>
        <w:tblInd w:w="0" w:type="dxa"/>
        <w:tblCellMar>
          <w:top w:w="0" w:type="dxa"/>
          <w:left w:w="0" w:type="dxa"/>
          <w:bottom w:w="0" w:type="dxa"/>
          <w:right w:w="0" w:type="dxa"/>
        </w:tblCellMar>
      </w:tblPr>
      <w:tblGrid>
        <w:gridCol w:w="1655"/>
        <w:gridCol w:w="320"/>
        <w:gridCol w:w="2405"/>
      </w:tblGrid>
      <w:tr>
        <w:trPr/>
        <w:tc>
          <w:tcPr>
            <w:tcW w:w="1655" w:type="dxa"/>
            <w:tcBorders/>
            <w:shd w:fill="auto" w:val="clear"/>
            <w:vAlign w:val="center"/>
          </w:tcPr>
          <w:p>
            <w:pPr>
              <w:pStyle w:val="TableContents"/>
              <w:spacing w:before="0" w:after="283"/>
              <w:rPr>
                <w:sz w:val="20"/>
              </w:rPr>
            </w:pPr>
            <w:r>
              <w:rPr>
                <w:sz w:val="20"/>
              </w:rPr>
              <w:t>Date: May 12, 2022</w:t>
            </w:r>
          </w:p>
        </w:tc>
        <w:tc>
          <w:tcPr>
            <w:tcW w:w="272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2725" w:type="dxa"/>
            <w:gridSpan w:val="2"/>
            <w:tcBorders/>
            <w:shd w:fill="auto"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405" w:type="dxa"/>
            <w:tcBorders>
              <w:bottom w:val="single" w:sz="12" w:space="0" w:color="000000"/>
            </w:tcBorders>
            <w:shd w:fill="auto" w:val="clear"/>
            <w:tcMar>
              <w:bottom w:w="28" w:type="dxa"/>
            </w:tcMar>
            <w:vAlign w:val="center"/>
          </w:tcPr>
          <w:p>
            <w:pPr>
              <w:pStyle w:val="TableContents"/>
              <w:spacing w:before="0" w:after="283"/>
              <w:rPr>
                <w:sz w:val="20"/>
              </w:rPr>
            </w:pPr>
            <w:r>
              <w:rPr>
                <w:sz w:val="20"/>
              </w:rPr>
              <w:t>/s/ Lindsay Menze</w:t>
            </w:r>
          </w:p>
        </w:tc>
      </w:tr>
      <w:tr>
        <w:trPr/>
        <w:tc>
          <w:tcPr>
            <w:tcW w:w="165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405"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Lindsay Menze</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spacing w:before="0" w:after="0"/>
              <w:ind w:left="0" w:right="0" w:hanging="0"/>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Officer)</w:t>
            </w:r>
          </w:p>
        </w:tc>
      </w:tr>
    </w:tbl>
    <w:p>
      <w:pPr>
        <w:pStyle w:val="TextBody"/>
        <w:spacing w:before="0" w:after="283"/>
        <w:ind w:left="200" w:right="20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26922</Words>
  <CharactersWithSpaces>173147</CharactersWithSpaces>
  <Paragraphs>6093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