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8-K/A</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15,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Chicago Atlantic Real Estate Finance,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100" w:type="dxa"/>
            <w:vAlign w:val="bottom"/>
          </w:tcPr>
          <w:p>
            <w:pPr>
              <w:jc w:val="center"/>
              <w:ind w:left="650"/>
              <w:spacing w:after="0"/>
              <w:rPr>
                <w:sz w:val="20"/>
                <w:szCs w:val="20"/>
                <w:color w:val="auto"/>
              </w:rPr>
            </w:pPr>
            <w:r>
              <w:rPr>
                <w:rFonts w:ascii="Arial" w:cs="Arial" w:eastAsia="Arial" w:hAnsi="Arial"/>
                <w:sz w:val="18"/>
                <w:szCs w:val="18"/>
                <w:b w:val="1"/>
                <w:bCs w:val="1"/>
                <w:color w:val="auto"/>
                <w:w w:val="96"/>
              </w:rPr>
              <w:t>Maryland</w:t>
            </w:r>
          </w:p>
        </w:tc>
        <w:tc>
          <w:tcPr>
            <w:tcW w:w="44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0"/>
              </w:rPr>
              <w:t>001-41123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86-3125132</w:t>
            </w:r>
          </w:p>
        </w:tc>
      </w:tr>
      <w:tr>
        <w:trPr>
          <w:trHeight w:val="202"/>
        </w:trPr>
        <w:tc>
          <w:tcPr>
            <w:tcW w:w="3100" w:type="dxa"/>
            <w:vAlign w:val="bottom"/>
            <w:tcBorders>
              <w:top w:val="single" w:sz="8" w:color="auto"/>
            </w:tcBorders>
          </w:tcPr>
          <w:p>
            <w:pPr>
              <w:jc w:val="center"/>
              <w:ind w:left="650"/>
              <w:spacing w:after="0" w:line="201" w:lineRule="exact"/>
              <w:rPr>
                <w:sz w:val="20"/>
                <w:szCs w:val="20"/>
                <w:color w:val="auto"/>
              </w:rPr>
            </w:pPr>
            <w:r>
              <w:rPr>
                <w:rFonts w:ascii="Arial" w:cs="Arial" w:eastAsia="Arial" w:hAnsi="Arial"/>
                <w:sz w:val="18"/>
                <w:szCs w:val="18"/>
                <w:color w:val="auto"/>
                <w:w w:val="92"/>
              </w:rPr>
              <w:t>(State or other jurisdiction of</w:t>
            </w: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5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650"/>
              <w:spacing w:after="0"/>
              <w:rPr>
                <w:sz w:val="20"/>
                <w:szCs w:val="20"/>
                <w:color w:val="auto"/>
              </w:rPr>
            </w:pPr>
            <w:r>
              <w:rPr>
                <w:rFonts w:ascii="Arial" w:cs="Arial" w:eastAsia="Arial" w:hAnsi="Arial"/>
                <w:sz w:val="18"/>
                <w:szCs w:val="18"/>
                <w:color w:val="auto"/>
                <w:w w:val="92"/>
              </w:rPr>
              <w:t>incorporation or organization)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gridSpan w:val="3"/>
          </w:tcPr>
          <w:p>
            <w:pPr>
              <w:jc w:val="center"/>
              <w:ind w:right="78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right="590"/>
              <w:spacing w:after="0"/>
              <w:rPr>
                <w:sz w:val="20"/>
                <w:szCs w:val="20"/>
                <w:color w:val="auto"/>
              </w:rPr>
            </w:pPr>
            <w:r>
              <w:rPr>
                <w:rFonts w:ascii="Arial" w:cs="Arial" w:eastAsia="Arial" w:hAnsi="Arial"/>
                <w:sz w:val="18"/>
                <w:szCs w:val="18"/>
                <w:color w:val="auto"/>
                <w:w w:val="94"/>
              </w:rPr>
              <w:t>Identification Number)</w:t>
            </w:r>
          </w:p>
        </w:tc>
      </w:tr>
      <w:tr>
        <w:trPr>
          <w:trHeight w:val="418"/>
        </w:trPr>
        <w:tc>
          <w:tcPr>
            <w:tcW w:w="3100" w:type="dxa"/>
            <w:vAlign w:val="bottom"/>
          </w:tcPr>
          <w:p>
            <w:pPr>
              <w:spacing w:after="0"/>
              <w:rPr>
                <w:sz w:val="24"/>
                <w:szCs w:val="24"/>
                <w:color w:val="auto"/>
              </w:rPr>
            </w:pPr>
          </w:p>
        </w:tc>
        <w:tc>
          <w:tcPr>
            <w:tcW w:w="52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420 N. Wabash Avenue, Suite 500, Chicago, Illinois 60611</w:t>
            </w:r>
          </w:p>
        </w:tc>
        <w:tc>
          <w:tcPr>
            <w:tcW w:w="2900" w:type="dxa"/>
            <w:vAlign w:val="bottom"/>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2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240" w:type="dxa"/>
            <w:vAlign w:val="bottom"/>
            <w:gridSpan w:val="5"/>
          </w:tcPr>
          <w:p>
            <w:pPr>
              <w:jc w:val="center"/>
              <w:ind w:right="18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(312) 809-7002</w:t>
            </w:r>
          </w:p>
        </w:tc>
        <w:tc>
          <w:tcPr>
            <w:tcW w:w="2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53"/>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REFI</w:t>
            </w:r>
          </w:p>
        </w:tc>
        <w:tc>
          <w:tcPr>
            <w:tcW w:w="2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The Nasdaq Global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On December 21, 2021, Chicago Atlantic Real Estate Finance, Inc. (the “Company”) filed a Current Report on Form 8-K (the “Original Report”) to report that the Company acquired an aggregate of $10 million of loan principal in an existing borrower, Verano Holdings, LLC, from Chicago Atlantic Credit Opportunities, LLC, a private fund managed by an affiliate of Chicago Atlantic REIT Manager, LLC, the Company’s manager.</w:t>
      </w:r>
    </w:p>
    <w:p>
      <w:pPr>
        <w:spacing w:after="0" w:line="14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This Current Report on Form 8-K/A (this “Amendment”) is being filed as an amendment to the Original Report. This Amendment is being filed to provide the historical financial information of Verano Holdings, LLC, as required by Item 9.01 of Form 8-K that were not available for inclusion with the Original Report. Except as set forth herein, this Amendment does not amend, modify or update the disclosure contained in the Original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Financial statements of businesses or funds acquired</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audited consolidated financial statements of Verano Holdings, LLC as of and for the year ended December 31, 2020, are filed as Exhibit 99.1 to this Amendment and are incorporated herein by reference. The unaudited consolidated financial statements of Verano Holdings, LLC as of and for the nine months ended September 30, 2021, are filed as Exhibit 99.2 to this Amendment and are incorporated herein by reference.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financial statements filed pursuant to paragraph (a) to this Item 9.01 are not, and will not, be consolidated into the Company’s consolidated financial statements; therefore, no such disclosure of pro forma financial information is applicable.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Audited consolidated financial statements of Verano Holdings, LLC as of and for the years ended December 31, 2020 and 2019</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Interim unaudited consolidated financial statements of Verano Holdings, LLC as of and for the nine months ended September 30, 2021</w:t>
              </w:r>
            </w:hyperlink>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top w:val="single" w:sz="8" w:color="0000EE"/>
              <w:bottom w:val="single" w:sz="8" w:color="auto"/>
            </w:tcBorders>
          </w:tcPr>
          <w:p>
            <w:pPr>
              <w:jc w:val="right"/>
              <w:ind w:right="4570"/>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Current Report on Form 8-K to be signed on its behalf by the undersigned 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CHICAGO ATLANTIC REAL ESTATE FINANCE, INC.</w:t>
      </w:r>
    </w:p>
    <w:p>
      <w:pPr>
        <w:spacing w:after="0" w:line="225"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March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Anthony Cappell</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154305</wp:posOffset>
            </wp:positionV>
            <wp:extent cx="5151755" cy="694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5175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00"/>
        <w:spacing w:after="0"/>
        <w:rPr>
          <w:sz w:val="20"/>
          <w:szCs w:val="20"/>
          <w:color w:val="auto"/>
        </w:rPr>
      </w:pPr>
      <w:r>
        <w:rPr>
          <w:rFonts w:ascii="Arial" w:cs="Arial" w:eastAsia="Arial" w:hAnsi="Arial"/>
          <w:sz w:val="32"/>
          <w:szCs w:val="32"/>
          <w:b w:val="1"/>
          <w:bCs w:val="1"/>
          <w:color w:val="auto"/>
        </w:rPr>
        <w:t>VERANO HOLDINGS, LLC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CONSOLIDATED FINANCIAL STATEMENTS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FOR THE YEARS ENDED</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DECEMBER 31, 2020 AND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 w:name="page5"/>
    <w:bookmarkEnd w:id="4"/>
    <w:p>
      <w:pPr>
        <w:ind w:left="3560"/>
        <w:spacing w:after="0"/>
        <w:rPr>
          <w:sz w:val="20"/>
          <w:szCs w:val="20"/>
          <w:color w:val="auto"/>
        </w:rPr>
      </w:pPr>
      <w:r>
        <w:rPr>
          <w:rFonts w:ascii="Arial" w:cs="Arial" w:eastAsia="Arial" w:hAnsi="Arial"/>
          <w:sz w:val="18"/>
          <w:szCs w:val="18"/>
          <w:b w:val="1"/>
          <w:bCs w:val="1"/>
          <w:color w:val="auto"/>
        </w:rPr>
        <w:t>Management’s Responsibility for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Verano Holdings, LLC and Subsidiaries:</w:t>
      </w:r>
    </w:p>
    <w:p>
      <w:pPr>
        <w:spacing w:after="0" w:line="225"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Management of Verano Holdings, LLC and its Subsidiaries (combined the “Company”) is responsible for the preparation and presentation of the accompanying consolidated financial statements, including responsibility for significant accounting judgements and estimates in accordance with International Financial Reporting Standards, as issued by the International Accounting Standards Board, and ensuring that all information in the annual report is consistent with the consolidated financial statements. This responsibility includes selecting appropriate accounting principles and methods, and making decisions affecting the measurement of transactions in which objective judgement is required.</w:t>
      </w:r>
    </w:p>
    <w:p>
      <w:pPr>
        <w:spacing w:after="0" w:line="17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discharging its responsibilities for the integrity and fairness of the consolidated financial statements, management designs and maintains the necessary accounting systems and related internal controls to provide reasonable assurance that transactions are authorized, assets are safeguarded, and financial records are properly maintained to provide reliable information for the preparation of consolidated financial statements.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is responsible for overseeing management in the performance of its financial reporting responsibilities, and for approving the financial information included in the annual report. The Board fulfils these responsibilities by reviewing the financial information prepared by management and discussing relevant matters with management and external auditors. The Audit Committee is also responsible for recommending the appointment of the Company’s external auditors. The accompanying consolidated financial statements of the Company were reviewed by the Audit Committee and approved by the Board of Directors.</w:t>
      </w:r>
    </w:p>
    <w:p>
      <w:pPr>
        <w:spacing w:after="0" w:line="188"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Macias Gini &amp; O’Connell LLP, an independent firm, is appointed by the Board of Directors to audit the consolidated financial statements and report directly to them; their report follows. The external auditors have full and free access to, and meet periodically and separately with, both the Audit Committee and management to discuss their audit findings.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00" w:type="dxa"/>
            <w:vAlign w:val="bottom"/>
            <w:gridSpan w:val="2"/>
          </w:tcPr>
          <w:p>
            <w:pPr>
              <w:spacing w:after="0"/>
              <w:rPr>
                <w:sz w:val="20"/>
                <w:szCs w:val="20"/>
                <w:color w:val="auto"/>
              </w:rPr>
            </w:pPr>
            <w:r>
              <w:rPr>
                <w:rFonts w:ascii="Arial" w:cs="Arial" w:eastAsia="Arial" w:hAnsi="Arial"/>
                <w:sz w:val="18"/>
                <w:szCs w:val="18"/>
                <w:color w:val="auto"/>
              </w:rPr>
              <w:t>/s/ George Archos</w:t>
            </w:r>
          </w:p>
        </w:tc>
        <w:tc>
          <w:tcPr>
            <w:tcW w:w="5040" w:type="dxa"/>
            <w:vAlign w:val="bottom"/>
          </w:tcPr>
          <w:p>
            <w:pPr>
              <w:spacing w:after="0"/>
              <w:rPr>
                <w:sz w:val="20"/>
                <w:szCs w:val="20"/>
                <w:color w:val="auto"/>
              </w:rPr>
            </w:pPr>
            <w:r>
              <w:rPr>
                <w:rFonts w:ascii="Arial" w:cs="Arial" w:eastAsia="Arial" w:hAnsi="Arial"/>
                <w:sz w:val="18"/>
                <w:szCs w:val="18"/>
                <w:color w:val="auto"/>
              </w:rPr>
              <w:t>/s/ Brian Ward</w:t>
            </w:r>
          </w:p>
        </w:tc>
      </w:tr>
      <w:tr>
        <w:trPr>
          <w:trHeight w:val="230"/>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1020" w:type="dxa"/>
            <w:vAlign w:val="bottom"/>
          </w:tcPr>
          <w:p>
            <w:pPr>
              <w:spacing w:after="0"/>
              <w:rPr>
                <w:sz w:val="20"/>
                <w:szCs w:val="20"/>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Financial Officer</w:t>
            </w:r>
          </w:p>
        </w:tc>
      </w:tr>
      <w:tr>
        <w:trPr>
          <w:trHeight w:val="403"/>
        </w:trPr>
        <w:tc>
          <w:tcPr>
            <w:tcW w:w="6200" w:type="dxa"/>
            <w:vAlign w:val="bottom"/>
            <w:gridSpan w:val="2"/>
          </w:tcPr>
          <w:p>
            <w:pPr>
              <w:spacing w:after="0"/>
              <w:rPr>
                <w:sz w:val="20"/>
                <w:szCs w:val="20"/>
                <w:color w:val="auto"/>
              </w:rPr>
            </w:pPr>
            <w:r>
              <w:rPr>
                <w:rFonts w:ascii="Arial" w:cs="Arial" w:eastAsia="Arial" w:hAnsi="Arial"/>
                <w:sz w:val="18"/>
                <w:szCs w:val="18"/>
                <w:color w:val="auto"/>
              </w:rPr>
              <w:t>Chicago, Illinois</w:t>
            </w:r>
          </w:p>
        </w:tc>
        <w:tc>
          <w:tcPr>
            <w:tcW w:w="5040" w:type="dxa"/>
            <w:vAlign w:val="bottom"/>
          </w:tcPr>
          <w:p>
            <w:pPr>
              <w:spacing w:after="0"/>
              <w:rPr>
                <w:sz w:val="24"/>
                <w:szCs w:val="24"/>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April 6, 2021</w:t>
            </w:r>
          </w:p>
        </w:tc>
        <w:tc>
          <w:tcPr>
            <w:tcW w:w="5040" w:type="dxa"/>
            <w:vAlign w:val="bottom"/>
          </w:tcPr>
          <w:p>
            <w:pPr>
              <w:spacing w:after="0"/>
              <w:rPr>
                <w:sz w:val="20"/>
                <w:szCs w:val="20"/>
                <w:color w:val="auto"/>
              </w:rPr>
            </w:pPr>
          </w:p>
        </w:tc>
      </w:tr>
      <w:tr>
        <w:trPr>
          <w:trHeight w:val="655"/>
        </w:trPr>
        <w:tc>
          <w:tcPr>
            <w:tcW w:w="5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Page(s)</w:t>
            </w:r>
          </w:p>
        </w:tc>
      </w:tr>
      <w:tr>
        <w:trPr>
          <w:trHeight w:val="216"/>
        </w:trPr>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INDPENDENT AUDITOR’S REPORT</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1 - 2</w:t>
            </w:r>
          </w:p>
        </w:tc>
      </w:tr>
      <w:tr>
        <w:trPr>
          <w:trHeight w:val="216"/>
        </w:trPr>
        <w:tc>
          <w:tcPr>
            <w:tcW w:w="28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16"/>
        </w:trPr>
        <w:tc>
          <w:tcPr>
            <w:tcW w:w="104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8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Statements of Financial Position</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28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Statements of Operations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28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Statements of Changes in Members’ Equity</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8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Consolidated Statements of Cash Flows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6 - 7</w:t>
            </w:r>
          </w:p>
        </w:tc>
      </w:tr>
      <w:tr>
        <w:trPr>
          <w:trHeight w:val="216"/>
        </w:trPr>
        <w:tc>
          <w:tcPr>
            <w:tcW w:w="28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7"/>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Notes to the Consolidated Financial Statements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8 - 47</w:t>
            </w:r>
          </w:p>
        </w:tc>
      </w:tr>
      <w:tr>
        <w:trPr>
          <w:trHeight w:val="682"/>
        </w:trPr>
        <w:tc>
          <w:tcPr>
            <w:tcW w:w="28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3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68805"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68805" cy="3689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Verano Holdings, LLC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We have audited the consolidated financial statements of Verano Holdings, LLC and Subsidiaries (the “Company”), which comprise the consolidated statements of financial position as of December 31, 2020 and 2019, and the consolidated statements of operations, changes in members’ equity and cash flows for the years then ended, and notes to the consolidated financial statements, including a summary of significant accounting policies.</w:t>
      </w:r>
    </w:p>
    <w:p>
      <w:pPr>
        <w:spacing w:after="0" w:line="149"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In our opinion, the accompanying consolidated financial statements present fairly, in all material respects, the consolidated financial position of the Company as at December 31, 2020 and 2019, and its consolidated financial performance and its consolidated cash flows for the years then ended in accordance with International Financial Reporting Standards (“IFRS”).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We conducted our audits in accordance with Canadian generally accepted auditing standards. Our responsibilities under those standards are further described in the Auditor’s Responsibilities for the Audit of the Consolidated Financial Statements section of our report. We are independent of the Company in accordance with the ethical requirements that are relevant to our audits of the consolidated financial statements in Canada, and we have fulfilled our other ethical responsibilities in accordance with these requirements. We believe that the audit evidence we have obtained is sufficient and appropriate to provide a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and Those Charged with Governance for the Consolidated Financial Statements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 consolidated financial statements in accordance with IFRS, and for such internal control as management determines is necessary to enable the preparation of consolidated financial statements that are free from material misstatement, whether due to fraud or error.</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preparing the consolidated financial statements, management is responsible for assessing the Company’s ability to continue as a going concern, disclosing, as applicable, matters related to going concern and using the going concern basis of accounting unless management either intends to liquidate the Company or to cease operations, or has no realistic alternative but to do 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Those charged with governance are responsible for overseeing the Company’s financial reporting process.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is responsible for the other information. The other information comprises the 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opinion on the consolidated financial statements does not cover the other information and we do not express any form of assurance conclusion thereon.</w:t>
      </w:r>
    </w:p>
    <w:p>
      <w:pPr>
        <w:spacing w:after="0" w:line="24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connection with our audit of the consolidated financial statements, our responsibility is to read the other information identified above and, in doing so, consider whether the other information is materially inconsistent with the consolidated financial statements or our knowledge obtained in the audit, or otherwise appears to be materially misstated.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Macias Gini &amp; O’Connell LLP</w:t>
            </w:r>
          </w:p>
        </w:tc>
        <w:tc>
          <w:tcPr>
            <w:tcW w:w="7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155 North Wacker Drive, Suite 4350</w:t>
            </w:r>
          </w:p>
        </w:tc>
        <w:tc>
          <w:tcPr>
            <w:tcW w:w="7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www.mgocpa.com</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Chicago, IL 60606</w:t>
            </w:r>
          </w:p>
        </w:tc>
        <w:tc>
          <w:tcPr>
            <w:tcW w:w="7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40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jc w:val="right"/>
              <w:ind w:right="5370"/>
              <w:spacing w:after="0"/>
              <w:rPr>
                <w:sz w:val="20"/>
                <w:szCs w:val="20"/>
                <w:color w:val="auto"/>
              </w:rPr>
            </w:pPr>
            <w:r>
              <w:rPr>
                <w:rFonts w:ascii="Arial" w:cs="Arial" w:eastAsia="Arial" w:hAnsi="Arial"/>
                <w:sz w:val="18"/>
                <w:szCs w:val="18"/>
                <w:color w:val="auto"/>
              </w:rPr>
              <w:t>- 1 -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If, based on the work we have performed, we conclude that there is a material misstatement of this other information, we are required to report that fact. We have nothing to report in this regard.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 for the Audit of the Consolidated Financial Statements</w:t>
      </w:r>
    </w:p>
    <w:p>
      <w:pPr>
        <w:spacing w:after="0" w:line="229"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Canadian generally accepted auditing standards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part of an audit in accordance with Canadian generally accepted auditing standards, we exercise professional judgment and maintain professional skepticism throughout the audits. We also:</w:t>
      </w:r>
    </w:p>
    <w:p>
      <w:pPr>
        <w:spacing w:after="0" w:line="170" w:lineRule="exact"/>
        <w:rPr>
          <w:sz w:val="20"/>
          <w:szCs w:val="20"/>
          <w:color w:val="auto"/>
        </w:rPr>
      </w:pPr>
    </w:p>
    <w:p>
      <w:pPr>
        <w:jc w:val="both"/>
        <w:ind w:left="660" w:right="140" w:hanging="328"/>
        <w:spacing w:after="0" w:line="26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 w:lineRule="exact"/>
        <w:rPr>
          <w:rFonts w:ascii="Arial" w:cs="Arial" w:eastAsia="Arial" w:hAnsi="Arial"/>
          <w:sz w:val="17"/>
          <w:szCs w:val="17"/>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 an understanding of internal control relevant to the audits in order to design audit procedures that are appropriate in the circumstances, but not for the purpose of expressing an opinion on the effectiveness of the Company’s internal control.</w:t>
      </w:r>
    </w:p>
    <w:p>
      <w:pPr>
        <w:ind w:left="660" w:right="7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accounting estimates and related disclosures made by management.</w:t>
      </w: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Conclude on the appropriateness of management’s use of the going concern basis of accounting and, based on the audit evidence obtained, whether a material uncertainty exists related to events or conditions that may cast significant doubt on the entity’s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spacing w:after="0" w:line="2" w:lineRule="exact"/>
        <w:rPr>
          <w:rFonts w:ascii="Arial" w:cs="Arial" w:eastAsia="Arial" w:hAnsi="Arial"/>
          <w:sz w:val="18"/>
          <w:szCs w:val="18"/>
          <w:color w:val="auto"/>
        </w:rPr>
      </w:pPr>
    </w:p>
    <w:p>
      <w:pPr>
        <w:ind w:left="660" w:right="62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1" w:lineRule="exact"/>
        <w:rPr>
          <w:rFonts w:ascii="Arial" w:cs="Arial" w:eastAsia="Arial" w:hAnsi="Arial"/>
          <w:sz w:val="16"/>
          <w:szCs w:val="16"/>
          <w:color w:val="auto"/>
        </w:rPr>
      </w:pPr>
    </w:p>
    <w:p>
      <w:pPr>
        <w:ind w:left="660" w:right="22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 sufficient appropriate audit evidence regarding the financial information of the entities or business activities within the Company to express an opinion on the consolidated financial statements. We are responsible for the direction, supervision and performance of the audits. We remain solely responsible for our audit opinion.</w:t>
      </w:r>
    </w:p>
    <w:p>
      <w:pPr>
        <w:spacing w:after="0" w:line="1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communicate with those charged with governance regarding, among other matters, the planned scope and timing of the audits and significant audit findings, including any significant deficiencies in internal control that we identify during our audits.</w:t>
      </w:r>
    </w:p>
    <w:p>
      <w:pPr>
        <w:spacing w:after="0" w:line="17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We also provide those charged with governance with a statement that have complied with relevant ethical requirements regarding independence, and to communicate with them all relationships and other matters that may reasonable be thought to bear on our independence, and where applicable, related safeguards.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engagement partner on this audit resulting in this independent auditor’s report is Cesar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682875" cy="368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287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6,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Financial</w:t>
            </w:r>
          </w:p>
        </w:tc>
        <w:tc>
          <w:tcPr>
            <w:tcW w:w="120" w:type="dxa"/>
            <w:vAlign w:val="bottom"/>
          </w:tcPr>
          <w:p>
            <w:pPr>
              <w:spacing w:after="0"/>
              <w:rPr>
                <w:sz w:val="19"/>
                <w:szCs w:val="19"/>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560" w:type="dxa"/>
            <w:vAlign w:val="bottom"/>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Footnote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18"/>
        </w:trPr>
        <w:tc>
          <w:tcPr>
            <w:tcW w:w="75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16,402,148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6,417,703</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96"/>
              </w:rPr>
              <w:t>2(f)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7,269,837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5,055,564</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79"/>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3,010,523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Interest Receivable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934,500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253,580</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79"/>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59,290,065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14,073,364</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Biological Assets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79"/>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109,376,567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16,613,392</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6,169,400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2,692,536</w:t>
            </w:r>
          </w:p>
        </w:tc>
      </w:tr>
      <w:tr>
        <w:trPr>
          <w:trHeight w:val="237"/>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Receivable</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83,295</w:t>
            </w:r>
          </w:p>
        </w:tc>
      </w:tr>
      <w:tr>
        <w:trPr>
          <w:trHeight w:val="216"/>
        </w:trPr>
        <w:tc>
          <w:tcPr>
            <w:tcW w:w="7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202,561,294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50,189,434</w:t>
            </w:r>
          </w:p>
        </w:tc>
      </w:tr>
      <w:tr>
        <w:trPr>
          <w:trHeight w:val="21"/>
        </w:trPr>
        <w:tc>
          <w:tcPr>
            <w:tcW w:w="7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79"/>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143,137,585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94,379,744</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92"/>
              </w:rPr>
              <w:t>2(m), 16(a)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11,337,343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9,864,915</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73,897,467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19,880,449</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16,028,903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5,064,248</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3"/>
              </w:rPr>
              <w:t>2(h)</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11,547,004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10,927,934</w:t>
            </w: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797,321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3,807,972</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5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459,306,917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194,114,696</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18,292,696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18,544,003</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13,835,980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3,111,567</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46,872,445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11,206,250</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2"/>
              </w:rPr>
              <w:t>2(m), 16(a)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1,910,645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1,653,757</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Current Portion of Notes Payable</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79"/>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7,814,261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8,153,234</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6,778,510</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License Payable</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93"/>
              </w:rPr>
              <w:t>9(b)</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49,950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60,185</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Price Payable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3"/>
              </w:rPr>
              <w:t>9(a)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33,290,400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6,750,000</w:t>
            </w:r>
          </w:p>
        </w:tc>
      </w:tr>
      <w:tr>
        <w:trPr>
          <w:trHeight w:val="237"/>
        </w:trPr>
        <w:tc>
          <w:tcPr>
            <w:tcW w:w="7560" w:type="dxa"/>
            <w:vAlign w:val="bottom"/>
          </w:tcPr>
          <w:p>
            <w:pPr>
              <w:ind w:left="180"/>
              <w:spacing w:after="0"/>
              <w:rPr>
                <w:sz w:val="20"/>
                <w:szCs w:val="20"/>
                <w:color w:val="auto"/>
              </w:rPr>
            </w:pPr>
            <w:r>
              <w:rPr>
                <w:rFonts w:ascii="Arial" w:cs="Arial" w:eastAsia="Arial" w:hAnsi="Arial"/>
                <w:sz w:val="18"/>
                <w:szCs w:val="18"/>
                <w:color w:val="auto"/>
              </w:rPr>
              <w:t>Due to Related Parties</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44,664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82,718</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122,111,041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56,340,224</w:t>
            </w: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2,035,405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Notes Payable, Net of Current Portion</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79"/>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32,479,649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6,213,433</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2"/>
              </w:rPr>
              <w:t>2(m), 16(a)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10,864,742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9,602,436</w:t>
            </w:r>
          </w:p>
        </w:tc>
      </w:tr>
      <w:tr>
        <w:trPr>
          <w:trHeight w:val="236"/>
        </w:trPr>
        <w:tc>
          <w:tcPr>
            <w:tcW w:w="75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49,084,004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5,114,977</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94,463,800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20,930,846</w:t>
            </w: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75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216,574,841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77,271,070</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242,387,456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111,752,803</w:t>
            </w:r>
          </w:p>
        </w:tc>
      </w:tr>
      <w:tr>
        <w:trPr>
          <w:trHeight w:val="23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344,620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5,090,823</w:t>
            </w:r>
          </w:p>
        </w:tc>
      </w:tr>
      <w:tr>
        <w:trPr>
          <w:trHeight w:val="216"/>
        </w:trPr>
        <w:tc>
          <w:tcPr>
            <w:tcW w:w="7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0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459,306,917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194,114,696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19"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Financial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7560" w:type="dxa"/>
            <w:vAlign w:val="bottom"/>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Footnote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0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228,530,083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65,968,292</w:t>
            </w:r>
          </w:p>
        </w:tc>
        <w:tc>
          <w:tcPr>
            <w:tcW w:w="80" w:type="dxa"/>
            <w:vAlign w:val="bottom"/>
            <w:shd w:val="clear" w:color="auto" w:fill="CCEEFF"/>
          </w:tcPr>
          <w:p>
            <w:pPr>
              <w:spacing w:after="0"/>
              <w:rPr>
                <w:sz w:val="18"/>
                <w:szCs w:val="18"/>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Cost of Goods Sold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94,386,849</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38,469,325</w:t>
            </w:r>
          </w:p>
        </w:tc>
        <w:tc>
          <w:tcPr>
            <w:tcW w:w="80" w:type="dxa"/>
            <w:vAlign w:val="bottom"/>
          </w:tcPr>
          <w:p>
            <w:pPr>
              <w:spacing w:after="0"/>
              <w:rPr>
                <w:sz w:val="20"/>
                <w:szCs w:val="20"/>
                <w:color w:val="auto"/>
              </w:rPr>
            </w:pP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Gross Profit before Biological Asset Adjustment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134,143,234</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27,498,967</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Realized fair value amounts included in inventory sold</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79"/>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(132,553,802)</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(29,975,944)</w:t>
            </w:r>
          </w:p>
        </w:tc>
      </w:tr>
      <w:tr>
        <w:trPr>
          <w:trHeight w:val="237"/>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Unrealized fair value gain on growth of biological assets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79"/>
              </w:rPr>
              <w:t>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254,154,780</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44,539,847</w:t>
            </w:r>
          </w:p>
        </w:tc>
        <w:tc>
          <w:tcPr>
            <w:tcW w:w="80" w:type="dxa"/>
            <w:vAlign w:val="bottom"/>
            <w:shd w:val="clear" w:color="auto" w:fill="CCEEFF"/>
          </w:tcPr>
          <w:p>
            <w:pPr>
              <w:spacing w:after="0"/>
              <w:rPr>
                <w:sz w:val="20"/>
                <w:szCs w:val="20"/>
                <w:color w:val="auto"/>
              </w:rPr>
            </w:pPr>
          </w:p>
        </w:tc>
      </w:tr>
      <w:tr>
        <w:trPr>
          <w:trHeight w:val="216"/>
        </w:trPr>
        <w:tc>
          <w:tcPr>
            <w:tcW w:w="7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255,744,212</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42,062,870</w:t>
            </w:r>
          </w:p>
        </w:tc>
        <w:tc>
          <w:tcPr>
            <w:tcW w:w="80" w:type="dxa"/>
            <w:vAlign w:val="bottom"/>
            <w:shd w:val="clear" w:color="auto" w:fill="CCEEFF"/>
          </w:tcPr>
          <w:p>
            <w:pPr>
              <w:spacing w:after="0"/>
              <w:rPr>
                <w:sz w:val="20"/>
                <w:szCs w:val="20"/>
                <w:color w:val="auto"/>
              </w:rPr>
            </w:pPr>
          </w:p>
        </w:tc>
      </w:tr>
      <w:tr>
        <w:trPr>
          <w:trHeight w:val="216"/>
        </w:trPr>
        <w:tc>
          <w:tcPr>
            <w:tcW w:w="7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26,742,144</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28,106,966</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918,203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926,258</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16,227,897</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6,231,096</w:t>
            </w:r>
          </w:p>
        </w:tc>
        <w:tc>
          <w:tcPr>
            <w:tcW w:w="80" w:type="dxa"/>
            <w:vAlign w:val="bottom"/>
          </w:tcPr>
          <w:p>
            <w:pPr>
              <w:spacing w:after="0"/>
              <w:rPr>
                <w:sz w:val="18"/>
                <w:szCs w:val="18"/>
                <w:color w:val="auto"/>
              </w:rPr>
            </w:pPr>
          </w:p>
        </w:tc>
      </w:tr>
      <w:tr>
        <w:trPr>
          <w:trHeight w:val="237"/>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1,973,723</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2,546,239</w:t>
            </w:r>
          </w:p>
        </w:tc>
        <w:tc>
          <w:tcPr>
            <w:tcW w:w="80" w:type="dxa"/>
            <w:vAlign w:val="bottom"/>
            <w:shd w:val="clear" w:color="auto" w:fill="CCEEFF"/>
          </w:tcPr>
          <w:p>
            <w:pPr>
              <w:spacing w:after="0"/>
              <w:rPr>
                <w:sz w:val="20"/>
                <w:szCs w:val="20"/>
                <w:color w:val="auto"/>
              </w:rPr>
            </w:pPr>
          </w:p>
        </w:tc>
      </w:tr>
      <w:tr>
        <w:trPr>
          <w:trHeight w:val="216"/>
        </w:trPr>
        <w:tc>
          <w:tcPr>
            <w:tcW w:w="7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Expenses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45,861,967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37,810,559</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from Investments in Associates</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2,691,597</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(456,053)</w:t>
            </w:r>
          </w:p>
        </w:tc>
      </w:tr>
      <w:tr>
        <w:trPr>
          <w:trHeight w:val="216"/>
        </w:trPr>
        <w:tc>
          <w:tcPr>
            <w:tcW w:w="7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212,573,842</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3,796,258</w:t>
            </w:r>
          </w:p>
        </w:tc>
        <w:tc>
          <w:tcPr>
            <w:tcW w:w="80" w:type="dxa"/>
            <w:vAlign w:val="bottom"/>
            <w:shd w:val="clear" w:color="auto" w:fill="CCEEFF"/>
          </w:tcPr>
          <w:p>
            <w:pPr>
              <w:spacing w:after="0"/>
              <w:rPr>
                <w:sz w:val="20"/>
                <w:szCs w:val="20"/>
                <w:color w:val="auto"/>
              </w:rPr>
            </w:pPr>
          </w:p>
        </w:tc>
      </w:tr>
      <w:tr>
        <w:trPr>
          <w:trHeight w:val="216"/>
        </w:trPr>
        <w:tc>
          <w:tcPr>
            <w:tcW w:w="7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(1,546,540)</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Deconsolidation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79"/>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(189,324)</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(3,086,878)</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Gain on Previously Held Equity Interest</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79"/>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458,039</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6,778,510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Change in Fair Market Value of Derivative</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(562,319)</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for Warrant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79"/>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(4,572,423)</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(656,177)</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Amortization of Convertible Debt Discount</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(5,525,503)</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(690,688)</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(5,349,644)</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(338,992)</w:t>
            </w:r>
          </w:p>
        </w:tc>
      </w:tr>
      <w:tr>
        <w:trPr>
          <w:trHeight w:val="237"/>
        </w:trPr>
        <w:tc>
          <w:tcPr>
            <w:tcW w:w="756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(701,496)</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94,100</w:t>
            </w:r>
          </w:p>
        </w:tc>
        <w:tc>
          <w:tcPr>
            <w:tcW w:w="80" w:type="dxa"/>
            <w:vAlign w:val="bottom"/>
          </w:tcPr>
          <w:p>
            <w:pPr>
              <w:spacing w:after="0"/>
              <w:rPr>
                <w:sz w:val="20"/>
                <w:szCs w:val="20"/>
                <w:color w:val="auto"/>
              </w:rPr>
            </w:pPr>
          </w:p>
        </w:tc>
      </w:tr>
      <w:tr>
        <w:trPr>
          <w:trHeight w:val="223"/>
        </w:trPr>
        <w:tc>
          <w:tcPr>
            <w:tcW w:w="7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Other Expense</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(9,101,841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(6,787,494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Before Provision for Income Taxes and</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b w:val="1"/>
                <w:bCs w:val="1"/>
                <w:color w:val="auto"/>
              </w:rPr>
              <w:t>Non-Controlling Interest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203,472,001</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(2,991,236)</w:t>
            </w: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756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(76,831,828)</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(15,203,221)</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126,640,173</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(18,194,457)</w:t>
            </w: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b w:val="1"/>
                <w:bCs w:val="1"/>
                <w:color w:val="auto"/>
              </w:rPr>
              <w:t>Net Income (Loss) From Discontinued Operations, Net of Tax</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(1,966,751)</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124,673,422</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(18,194,457)</w:t>
            </w: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756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566,459</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239,563</w:t>
            </w:r>
          </w:p>
        </w:tc>
        <w:tc>
          <w:tcPr>
            <w:tcW w:w="80" w:type="dxa"/>
            <w:vAlign w:val="bottom"/>
          </w:tcPr>
          <w:p>
            <w:pPr>
              <w:spacing w:after="0"/>
              <w:rPr>
                <w:sz w:val="20"/>
                <w:szCs w:val="20"/>
                <w:color w:val="auto"/>
              </w:rPr>
            </w:pP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7560" w:type="dxa"/>
            <w:vAlign w:val="bottom"/>
          </w:tcPr>
          <w:p>
            <w:pPr>
              <w:spacing w:after="0"/>
              <w:rPr>
                <w:sz w:val="20"/>
                <w:szCs w:val="20"/>
                <w:color w:val="auto"/>
              </w:rPr>
            </w:pPr>
            <w:r>
              <w:rPr>
                <w:rFonts w:ascii="Arial" w:cs="Arial" w:eastAsia="Arial" w:hAnsi="Arial"/>
                <w:sz w:val="18"/>
                <w:szCs w:val="18"/>
                <w:b w:val="1"/>
                <w:bCs w:val="1"/>
                <w:color w:val="auto"/>
              </w:rPr>
              <w:t>Net (Loss) Income Attributable to Verano Holdings, LLC and Subsidiaries</w:t>
            </w:r>
          </w:p>
        </w:tc>
        <w:tc>
          <w:tcPr>
            <w:tcW w:w="100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124,106,963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(18,434,020</w:t>
            </w:r>
            <w:r>
              <w:rPr>
                <w:rFonts w:ascii="Arial" w:cs="Arial" w:eastAsia="Arial" w:hAnsi="Arial"/>
                <w:sz w:val="29"/>
                <w:szCs w:val="29"/>
                <w:color w:val="auto"/>
                <w:vertAlign w:val="superscript"/>
              </w:rPr>
              <w:t>)</w:t>
            </w:r>
          </w:p>
        </w:tc>
      </w:tr>
      <w:tr>
        <w:trPr>
          <w:trHeight w:val="21"/>
        </w:trPr>
        <w:tc>
          <w:tcPr>
            <w:tcW w:w="7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Members’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Controlling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123,382,962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2,800,826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126,183,788</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(18,434,020)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239,563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(18,194,457)</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Adoption of IFRS 16</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(392,253)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(415,863)</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members</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5,905,586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5,976,864</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note</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7,234,933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7,234,933</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from acquisition</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2,700,000</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Transfer from non-controlling interest to controlling</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688,062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(688,062)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2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(6,632,467)</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(9,172)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(6,641,639)</w:t>
            </w:r>
          </w:p>
        </w:tc>
      </w:tr>
      <w:tr>
        <w:trPr>
          <w:trHeight w:val="216"/>
        </w:trPr>
        <w:tc>
          <w:tcPr>
            <w:tcW w:w="49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111,752,803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5,090,823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116,843,626</w:t>
            </w:r>
          </w:p>
        </w:tc>
      </w:tr>
      <w:tr>
        <w:trPr>
          <w:trHeight w:val="21"/>
        </w:trPr>
        <w:tc>
          <w:tcPr>
            <w:tcW w:w="49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111,752,803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5,090,823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116,843,626</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124,106,963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566,459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124,673,422</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Transfer from non-controlling interest to controlling interest</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(3,949,783)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(2,950,217)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(6,900,000)</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subsidiary</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79,055</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Derecognition of NCI related to discontinued operations</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(2,441,500)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(2,441,500)</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warrants</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10,523,187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10,523,187</w:t>
            </w: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2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(45,714)</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(45,714)</w:t>
            </w:r>
          </w:p>
        </w:tc>
      </w:tr>
      <w:tr>
        <w:trPr>
          <w:trHeight w:val="216"/>
        </w:trPr>
        <w:tc>
          <w:tcPr>
            <w:tcW w:w="49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242,387,456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344,620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242,732,076</w:t>
            </w:r>
          </w:p>
        </w:tc>
      </w:tr>
      <w:tr>
        <w:trPr>
          <w:trHeight w:val="20"/>
        </w:trPr>
        <w:tc>
          <w:tcPr>
            <w:tcW w:w="73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2"/>
        </w:trPr>
        <w:tc>
          <w:tcPr>
            <w:tcW w:w="8700" w:type="dxa"/>
            <w:vAlign w:val="bottom"/>
            <w:gridSpan w:val="5"/>
          </w:tcPr>
          <w:p>
            <w:pPr>
              <w:jc w:val="center"/>
              <w:ind w:left="24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49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- 5 -</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5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8680" w:type="dxa"/>
            <w:vAlign w:val="bottom"/>
          </w:tcPr>
          <w:p>
            <w:pPr>
              <w:spacing w:after="0"/>
              <w:rPr>
                <w:sz w:val="20"/>
                <w:szCs w:val="20"/>
                <w:color w:val="auto"/>
              </w:rPr>
            </w:pPr>
          </w:p>
        </w:tc>
        <w:tc>
          <w:tcPr>
            <w:tcW w:w="256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124,673,422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(18,194,457)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10,626,626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6,061,641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Non-cash interest expense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1,895,220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728,503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income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(934,500)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Accretion of debt discount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690,688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1,546,540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Gain on previously held equity interest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(458,039)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Bad debt expense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331,384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loan issuance costs (warrants)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4,572,423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656,177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234,598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123,333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convertible debt discount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5,525,503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derivative liability</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(6,778,510)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fair market value of derivative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562,319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deconsolidation of subsidiary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159,223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2,275,015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loss on discontinued operations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2,202,003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underlying investees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(2,607,736)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456,053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Derecognition of deferred rent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104,590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Write-off of note receivable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(2,512,217)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(2,621,915)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(44,566,400)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(8,342,554)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Biological assets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(92,763,175)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(5,938,364)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(3,126,499)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(1,657,046)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and other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2,963,963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(1,795,042)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12,782,065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5,483,853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35,666,195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10,420,323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Due to related parties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(833,054)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(1,206,965)</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distribution payable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taxes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28,264,117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4,547,421</w:t>
            </w:r>
          </w:p>
        </w:tc>
      </w:tr>
      <w:tr>
        <w:trPr>
          <w:trHeight w:val="237"/>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2,035,405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77,349,257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(5,768,503)</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of noncontrolling membership interest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(3,500,000)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(60,383,894)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(59,040,660)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Advances to (repayments from) related parties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145,326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related parties, net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693,804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licenses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(7,010,235)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(7,236,523)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business, net of cash acquired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(24,890,358)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paid in deconsolidation of subsidiary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(59,257)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(purchase) of interest in investment in associate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(9,912,500)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Dividend received from investments in associates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1,866,705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571,257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note receivable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(185,523)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(5,000,000)</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note receivable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1,875,000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(88,582,979)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(83,422,875)</w:t>
            </w:r>
          </w:p>
        </w:tc>
      </w:tr>
      <w:tr>
        <w:trPr>
          <w:trHeight w:val="432"/>
        </w:trPr>
        <w:tc>
          <w:tcPr>
            <w:tcW w:w="8680" w:type="dxa"/>
            <w:vAlign w:val="bottom"/>
          </w:tcPr>
          <w:p>
            <w:pPr>
              <w:ind w:left="3400"/>
              <w:spacing w:after="0"/>
              <w:rPr>
                <w:sz w:val="20"/>
                <w:szCs w:val="20"/>
                <w:color w:val="auto"/>
              </w:rPr>
            </w:pPr>
            <w:r>
              <w:rPr>
                <w:rFonts w:ascii="Arial" w:cs="Arial" w:eastAsia="Arial" w:hAnsi="Arial"/>
                <w:sz w:val="18"/>
                <w:szCs w:val="18"/>
                <w:color w:val="auto"/>
              </w:rPr>
              <w:t>See accompanying notes to consolidated financial statements.</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8680" w:type="dxa"/>
            <w:vAlign w:val="bottom"/>
            <w:tcBorders>
              <w:bottom w:val="single" w:sz="8" w:color="auto"/>
            </w:tcBorders>
          </w:tcPr>
          <w:p>
            <w:pPr>
              <w:ind w:left="5480"/>
              <w:spacing w:after="0"/>
              <w:rPr>
                <w:sz w:val="20"/>
                <w:szCs w:val="20"/>
                <w:color w:val="auto"/>
              </w:rPr>
            </w:pPr>
            <w:r>
              <w:rPr>
                <w:rFonts w:ascii="Arial" w:cs="Arial" w:eastAsia="Arial" w:hAnsi="Arial"/>
                <w:sz w:val="18"/>
                <w:szCs w:val="18"/>
                <w:color w:val="auto"/>
              </w:rPr>
              <w:t>- 6 -</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members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5,976,864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Distributions to members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(45,714)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(6,102,491)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2,190,577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notes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33,943,129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21,612,500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repayments of notes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(9,754,117)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(4,353,385)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Debt issuance costs paid</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(1,068,481)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lease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(2,502,772)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(1,584,699)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 of acquisition price payable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(1,544,455)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21,218,167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22,521,789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9,984,445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(66,669,589)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PERIOD</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6,417,703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73,087,292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16,402,148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6,417,703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Interest paid (received)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1,760,932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(217,823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NON-CASH INVESTING AND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 xml:space="preserve">Net liability upon adoption of IFRS 16, </w:t>
            </w:r>
            <w:r>
              <w:rPr>
                <w:rFonts w:ascii="Arial" w:cs="Arial" w:eastAsia="Arial" w:hAnsi="Arial"/>
                <w:sz w:val="18"/>
                <w:szCs w:val="18"/>
                <w:i w:val="1"/>
                <w:iCs w:val="1"/>
                <w:color w:val="auto"/>
              </w:rPr>
              <w:t>Leases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(415,963)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1,859,799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6,632,892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Issuance of note receivable related to sale of property, plant and equipment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Distributions receivable from investment in associates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83,295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Issuance of warrants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7,234,933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paid in business combination: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Tangible and intangible assets acquired, net of cash</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51,836,018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4,393,600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Liabilities assumed</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(17,077,392)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(1,054,603)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price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(18,227,011)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Issuance of note payable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13,952,516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Non-controlling interest from acquisitions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(2,400,000)</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Previously held equity interest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(580,000)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in business combination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29,554,131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(61,003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3400"/>
              <w:spacing w:after="0"/>
              <w:rPr>
                <w:sz w:val="20"/>
                <w:szCs w:val="20"/>
                <w:color w:val="auto"/>
              </w:rPr>
            </w:pPr>
            <w:r>
              <w:rPr>
                <w:rFonts w:ascii="Arial" w:cs="Arial" w:eastAsia="Arial" w:hAnsi="Arial"/>
                <w:sz w:val="18"/>
                <w:szCs w:val="18"/>
                <w:color w:val="auto"/>
              </w:rPr>
              <w:t>See accompanying notes to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480"/>
              <w:spacing w:after="0"/>
              <w:rPr>
                <w:sz w:val="20"/>
                <w:szCs w:val="20"/>
                <w:color w:val="auto"/>
              </w:rPr>
            </w:pPr>
            <w:r>
              <w:rPr>
                <w:rFonts w:ascii="Arial" w:cs="Arial" w:eastAsia="Arial" w:hAnsi="Arial"/>
                <w:sz w:val="18"/>
                <w:szCs w:val="18"/>
                <w:color w:val="auto"/>
              </w:rPr>
              <w:t>- 7 -</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References herein to “the Company,” or “Verano,” are intended to mean Verano Holdings, LLC and its Subsidiaries, affiliates, licensees, and managed entities (collectively, the "Company").</w:t>
      </w:r>
    </w:p>
    <w:p>
      <w:pPr>
        <w:spacing w:after="0" w:line="170"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Verano is a vertically integrated cannabis operator that focuses on limited- licensed markets in the United States. As a vertically integrated provider, the Company owns, operates, manages, consults, and/or has licensing or other commercial agreements with cultivation, processing, and retail licensees across ten state markets (Illinois, Maryland, Oklahoma, Nevada, Ohio, Michigan, Massachusetts, Arkansas, New Jersey, and Pennsylvania) and Puerto Rico.</w:t>
      </w:r>
    </w:p>
    <w:p>
      <w:pPr>
        <w:spacing w:after="0" w:line="187" w:lineRule="exact"/>
        <w:rPr>
          <w:sz w:val="20"/>
          <w:szCs w:val="20"/>
          <w:color w:val="auto"/>
        </w:rPr>
      </w:pPr>
    </w:p>
    <w:p>
      <w:pPr>
        <w:ind w:left="660" w:right="60"/>
        <w:spacing w:after="0" w:line="342" w:lineRule="auto"/>
        <w:rPr>
          <w:sz w:val="20"/>
          <w:szCs w:val="20"/>
          <w:color w:val="auto"/>
        </w:rPr>
      </w:pPr>
      <w:r>
        <w:rPr>
          <w:rFonts w:ascii="Arial" w:cs="Arial" w:eastAsia="Arial" w:hAnsi="Arial"/>
          <w:sz w:val="16"/>
          <w:szCs w:val="16"/>
          <w:color w:val="auto"/>
        </w:rPr>
        <w:t>In addition to the states listed above, the Company also conducts pre-licensing activities in several other markets. In these markets, the Company has either applied for licenses, or plans on applying for licenses, but does not currently own any cultivation, production, or retail licenses.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Member’s liability is limited pursuant to the relevant jurisdiction’s Limited Liability Company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corporate headquarters is located at 415 North Dearborn St.,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Chicago, Illinois 60654.</w:t>
      </w:r>
    </w:p>
    <w:p>
      <w:pPr>
        <w:spacing w:after="0" w:line="13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229" w:lineRule="exact"/>
        <w:rPr>
          <w:rFonts w:ascii="Arial" w:cs="Arial" w:eastAsia="Arial" w:hAnsi="Arial"/>
          <w:sz w:val="18"/>
          <w:szCs w:val="18"/>
          <w:b w:val="1"/>
          <w:bCs w:val="1"/>
          <w:color w:val="auto"/>
        </w:rPr>
      </w:pPr>
    </w:p>
    <w:p>
      <w:pPr>
        <w:ind w:left="660" w:right="5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Company have been prepared in accordance with International Financial Reporting Standards (“IFRS”) as issued by the International Accounting Standards Board (“IASB”) and Interpretations of the IFRS Interpretations Committee (“IFRIC”) in effect for all periods presented.</w:t>
      </w:r>
    </w:p>
    <w:p>
      <w:pPr>
        <w:spacing w:after="0" w:line="183" w:lineRule="exact"/>
        <w:rPr>
          <w:rFonts w:ascii="Arial" w:cs="Arial" w:eastAsia="Arial" w:hAnsi="Arial"/>
          <w:sz w:val="18"/>
          <w:szCs w:val="18"/>
          <w:b w:val="1"/>
          <w:bCs w:val="1"/>
          <w:color w:val="auto"/>
        </w:rPr>
      </w:pPr>
    </w:p>
    <w:p>
      <w:pPr>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These consolidated financial statements have been prepared in accordance with IFRS with the going concern assumption, which assumes that the Company will continue in operation for the foreseeable future and, accordingly, will be able to realize its assets and discharge its liabilities in the normal course of operations. The Company’s ability to realize its assets and discharge its liabilities is dependent upon the Company obtaining the necessary financing and ultimately upon its ability to achieve profitable operations. Management estimates that the Company will be able to meet its obligations and to sustain operations for at least the next twelve months. Failure to arrange adequate financing on acceptable terms and/or achieve profitability may have an adverse effect on the financial position, results of operations, cash flows and prospects of the Company. These consolidated financial statements do not include any adjustments to assets or liabilities that would be necessary should the Company be unable to continue as a going concern.</w:t>
      </w:r>
    </w:p>
    <w:p>
      <w:pPr>
        <w:spacing w:after="0" w:line="17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These consolidated financial statements were approved and authorized for issue by the Board of Directors of the Company on April 5, 2021.</w:t>
      </w:r>
    </w:p>
    <w:p>
      <w:pPr>
        <w:spacing w:after="0" w:line="244" w:lineRule="exact"/>
        <w:rPr>
          <w:rFonts w:ascii="Arial" w:cs="Arial" w:eastAsia="Arial" w:hAnsi="Arial"/>
          <w:sz w:val="18"/>
          <w:szCs w:val="18"/>
          <w:b w:val="1"/>
          <w:bCs w:val="1"/>
          <w:color w:val="auto"/>
        </w:rPr>
      </w:pPr>
    </w:p>
    <w:p>
      <w:pPr>
        <w:ind w:left="660" w:hanging="328"/>
        <w:spacing w:after="0"/>
        <w:tabs>
          <w:tab w:leader="none" w:pos="66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229" w:lineRule="exact"/>
        <w:rPr>
          <w:rFonts w:ascii="Arial" w:cs="Arial" w:eastAsia="Arial" w:hAnsi="Arial"/>
          <w:sz w:val="18"/>
          <w:szCs w:val="18"/>
          <w:b w:val="1"/>
          <w:bCs w:val="1"/>
          <w:color w:val="auto"/>
        </w:rPr>
      </w:pPr>
    </w:p>
    <w:p>
      <w:pPr>
        <w:ind w:left="660" w:right="2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These consolidated financial statements have been prepared on the going concern basis, under the historical cost convention except for certain financial instruments and biological assets that are measured at fair value as detailed in the Company’s accounting policies.</w:t>
      </w:r>
    </w:p>
    <w:p>
      <w:pPr>
        <w:spacing w:after="0" w:line="142" w:lineRule="exact"/>
        <w:rPr>
          <w:rFonts w:ascii="Arial" w:cs="Arial" w:eastAsia="Arial" w:hAnsi="Arial"/>
          <w:sz w:val="18"/>
          <w:szCs w:val="18"/>
          <w:b w:val="1"/>
          <w:bCs w:val="1"/>
          <w:color w:val="auto"/>
        </w:rPr>
      </w:pPr>
    </w:p>
    <w:p>
      <w:pPr>
        <w:ind w:left="660" w:hanging="328"/>
        <w:spacing w:after="0"/>
        <w:tabs>
          <w:tab w:leader="none" w:pos="66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229" w:lineRule="exact"/>
        <w:rPr>
          <w:rFonts w:ascii="Arial" w:cs="Arial" w:eastAsia="Arial" w:hAnsi="Arial"/>
          <w:sz w:val="18"/>
          <w:szCs w:val="18"/>
          <w:b w:val="1"/>
          <w:bCs w:val="1"/>
          <w:color w:val="auto"/>
        </w:rPr>
      </w:pPr>
    </w:p>
    <w:p>
      <w:pPr>
        <w:ind w:left="66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affiliates’ functional currency, as determined by management, is the United States (“U.S.”) dollar. These consolidated financial statements are presented in U.S. dollars.</w:t>
      </w:r>
    </w:p>
    <w:p>
      <w:pPr>
        <w:spacing w:after="0" w:line="386" w:lineRule="exact"/>
        <w:rPr>
          <w:rFonts w:ascii="Arial" w:cs="Arial" w:eastAsia="Arial" w:hAnsi="Arial"/>
          <w:sz w:val="18"/>
          <w:szCs w:val="18"/>
          <w:b w:val="1"/>
          <w:bCs w:val="1"/>
          <w:color w:val="auto"/>
        </w:rPr>
      </w:pPr>
    </w:p>
    <w:p>
      <w:pPr>
        <w:ind w:left="5580" w:hanging="106"/>
        <w:spacing w:after="0"/>
        <w:tabs>
          <w:tab w:leader="none" w:pos="5580" w:val="left"/>
        </w:tabs>
        <w:numPr>
          <w:ilvl w:val="2"/>
          <w:numId w:val="4"/>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-4124960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Basis of Consolidation</w:t>
      </w:r>
    </w:p>
    <w:p>
      <w:pPr>
        <w:spacing w:after="0" w:line="229" w:lineRule="exact"/>
        <w:rPr>
          <w:sz w:val="20"/>
          <w:szCs w:val="20"/>
          <w:color w:val="auto"/>
        </w:rPr>
      </w:pPr>
    </w:p>
    <w:p>
      <w:pPr>
        <w:ind w:left="660"/>
        <w:spacing w:after="0" w:line="296" w:lineRule="auto"/>
        <w:rPr>
          <w:sz w:val="20"/>
          <w:szCs w:val="20"/>
          <w:color w:val="auto"/>
        </w:rPr>
      </w:pPr>
      <w:r>
        <w:rPr>
          <w:rFonts w:ascii="Arial" w:cs="Arial" w:eastAsia="Arial" w:hAnsi="Arial"/>
          <w:sz w:val="16"/>
          <w:szCs w:val="16"/>
          <w:color w:val="auto"/>
        </w:rPr>
        <w:t xml:space="preserve">The consolidated financial statements include the accounts of Verano Holdings, LLC and its wholly-owned or majority owned subsidiaries, as well as any entities meeting the common control or common management criteria described below. Non-controlling interests are included as a component of members’ equity. Control exists when the Company has the power, directly and indirectly, to govern the financial and operating policies of an entity and be exposed to the variable returns from its activities. Common management exists when entities operate under the terms of management service agreements whose terms meet the criteria for control established in IFRS 10 – </w:t>
      </w:r>
      <w:r>
        <w:rPr>
          <w:rFonts w:ascii="Arial" w:cs="Arial" w:eastAsia="Arial" w:hAnsi="Arial"/>
          <w:sz w:val="16"/>
          <w:szCs w:val="16"/>
          <w:i w:val="1"/>
          <w:iCs w:val="1"/>
          <w:color w:val="auto"/>
        </w:rPr>
        <w:t>Consolidated Financial Statements.</w:t>
      </w:r>
    </w:p>
    <w:p>
      <w:pPr>
        <w:spacing w:after="0" w:line="161"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Non-controlling interest ("NCI") represents the portion of equity ownership in subsidiaries not attributable to the Company’s members. NCI is initially measured as the proportionate share of its interest in the acquiree's identifiable net assets as at the date of acquisition and subsequently adjusted for the proportionate share of net earnings and other comprehensive income (loss) attributable to the NCI, as well as any dividends or distributions paid to the NCI. Non-controlling interests in the results and equity of subsidiaries are shown separately in the consolidated statements of financial position, consolidated statements of changes in member’s equity and consolidated statements of operations, respectively. Changes in the parent company’s ownership interest that do not result in a change of control are accounted for as equity transactions. When investors in certain subsidiaries of the Company contribute their interests to Verano Holdings, LLC (parent), their associated non-controlling interest portion is transferred to members’ equity.</w:t>
      </w:r>
    </w:p>
    <w:p>
      <w:pPr>
        <w:spacing w:after="0" w:line="178"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When the Company loses control over a subsidiary, it derecognizes the assets and liabilities of the subsidiary, and any related non-controlling interests and other components of equity. Any resulting gain or loss is recognized in profit or loss. Any interest retained in the former subsidiary is measured at fair value when control is lost.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significant intercompany balances and transactions were eliminated in consolidation.</w:t>
      </w:r>
    </w:p>
    <w:p>
      <w:pPr>
        <w:spacing w:after="0" w:line="225" w:lineRule="exact"/>
        <w:rPr>
          <w:sz w:val="20"/>
          <w:szCs w:val="20"/>
          <w:color w:val="auto"/>
        </w:rPr>
      </w:pPr>
    </w:p>
    <w:p>
      <w:pPr>
        <w:ind w:left="660" w:right="160"/>
        <w:spacing w:after="0" w:line="255" w:lineRule="auto"/>
        <w:rPr>
          <w:sz w:val="20"/>
          <w:szCs w:val="20"/>
          <w:color w:val="auto"/>
        </w:rPr>
      </w:pPr>
      <w:r>
        <w:rPr>
          <w:rFonts w:ascii="Arial" w:cs="Arial" w:eastAsia="Arial" w:hAnsi="Arial"/>
          <w:sz w:val="18"/>
          <w:szCs w:val="18"/>
          <w:color w:val="auto"/>
        </w:rPr>
        <w:t>Verano Holdings, LLC’s has wholly owned subsidiaries and entities over which the Company has control, that are included in these consolidated financial statements for the year ended December 31, 2020. The ownership percentages/amounts set forth in the table below may not necessarily match state regulatory records as the below assumes for purposes of presentation the approval of certain pending, planned, or anticipated state regulatory transfers. The Company will update its regulatory filings in those states where it is permitted to do so as soon as practical and will continue to operate the entities below, where and as applicable, in accord with current practice and in compliance with applicable laws and regulations.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ind w:left="660"/>
              <w:spacing w:after="0"/>
              <w:rPr>
                <w:sz w:val="20"/>
                <w:szCs w:val="20"/>
                <w:color w:val="auto"/>
              </w:rPr>
            </w:pPr>
            <w:r>
              <w:rPr>
                <w:rFonts w:ascii="Arial" w:cs="Arial" w:eastAsia="Arial" w:hAnsi="Arial"/>
                <w:sz w:val="18"/>
                <w:szCs w:val="18"/>
                <w:b w:val="1"/>
                <w:bCs w:val="1"/>
                <w:color w:val="auto"/>
              </w:rPr>
              <w:t>Subsidiaries</w:t>
            </w: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41"/>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Entity Name</w:t>
            </w:r>
          </w:p>
        </w:tc>
        <w:tc>
          <w:tcPr>
            <w:tcW w:w="22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Jurisdiction</w:t>
            </w:r>
          </w:p>
        </w:tc>
        <w:tc>
          <w:tcPr>
            <w:tcW w:w="240" w:type="dxa"/>
            <w:vAlign w:val="bottom"/>
            <w:tcBorders>
              <w:bottom w:val="single" w:sz="8" w:color="CCEEFF"/>
            </w:tcBorders>
          </w:tcPr>
          <w:p>
            <w:pPr>
              <w:spacing w:after="0"/>
              <w:rPr>
                <w:sz w:val="20"/>
                <w:szCs w:val="20"/>
                <w:color w:val="auto"/>
              </w:rPr>
            </w:pPr>
          </w:p>
        </w:tc>
        <w:tc>
          <w:tcPr>
            <w:tcW w:w="336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Purpose</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56"/>
        </w:trPr>
        <w:tc>
          <w:tcPr>
            <w:tcW w:w="3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11210 North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LLC</w:t>
            </w:r>
          </w:p>
        </w:tc>
        <w:tc>
          <w:tcPr>
            <w:tcW w:w="220" w:type="dxa"/>
            <w:vAlign w:val="bottom"/>
            <w:shd w:val="clear" w:color="auto" w:fill="CCEEFF"/>
          </w:tcPr>
          <w:p>
            <w:pPr>
              <w:spacing w:after="0"/>
              <w:rPr>
                <w:sz w:val="22"/>
                <w:szCs w:val="22"/>
                <w:color w:val="auto"/>
              </w:rPr>
            </w:pP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16 Magothy Road Beach,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4444 W. Craig Road,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Agronomy Innovations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Arizona</w:t>
            </w:r>
          </w:p>
        </w:tc>
        <w:tc>
          <w:tcPr>
            <w:tcW w:w="3580" w:type="dxa"/>
            <w:vAlign w:val="bottom"/>
            <w:gridSpan w:val="2"/>
          </w:tcPr>
          <w:p>
            <w:pPr>
              <w:spacing w:after="0"/>
              <w:rPr>
                <w:sz w:val="20"/>
                <w:szCs w:val="20"/>
                <w:color w:val="auto"/>
              </w:rPr>
            </w:pPr>
            <w:r>
              <w:rPr>
                <w:rFonts w:ascii="Arial" w:cs="Arial" w:eastAsia="Arial" w:hAnsi="Arial"/>
                <w:sz w:val="18"/>
                <w:szCs w:val="18"/>
                <w:color w:val="auto"/>
              </w:rPr>
              <w:t>Management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Albion MM,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Ataraxia,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tcPr>
          <w:p>
            <w:pPr>
              <w:spacing w:after="0"/>
              <w:rPr>
                <w:sz w:val="20"/>
                <w:szCs w:val="20"/>
                <w:color w:val="auto"/>
              </w:rPr>
            </w:pPr>
            <w:r>
              <w:rPr>
                <w:rFonts w:ascii="Arial" w:cs="Arial" w:eastAsia="Arial" w:hAnsi="Arial"/>
                <w:sz w:val="18"/>
                <w:szCs w:val="18"/>
                <w:color w:val="auto"/>
              </w:rPr>
              <w:t>Cultivation</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Branchburg Rte. 22,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Cave Creek RE,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Arizona</w:t>
            </w:r>
          </w:p>
        </w:tc>
        <w:tc>
          <w:tcPr>
            <w:tcW w:w="3580" w:type="dxa"/>
            <w:vAlign w:val="bottom"/>
            <w:gridSpan w:val="2"/>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CGV Group,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joint venture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DGV Group,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California joint venture</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62.50%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 and Pebble,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Fort Consulting,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Arizona</w:t>
            </w:r>
          </w:p>
        </w:tc>
        <w:tc>
          <w:tcPr>
            <w:tcW w:w="3580" w:type="dxa"/>
            <w:vAlign w:val="bottom"/>
            <w:gridSpan w:val="2"/>
          </w:tcPr>
          <w:p>
            <w:pPr>
              <w:spacing w:after="0"/>
              <w:rPr>
                <w:sz w:val="20"/>
                <w:szCs w:val="20"/>
                <w:color w:val="auto"/>
              </w:rPr>
            </w:pPr>
            <w:r>
              <w:rPr>
                <w:rFonts w:ascii="Arial" w:cs="Arial" w:eastAsia="Arial" w:hAnsi="Arial"/>
                <w:sz w:val="18"/>
                <w:szCs w:val="18"/>
                <w:color w:val="auto"/>
              </w:rPr>
              <w:t>Cultivation/Dispensary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641"/>
        </w:trPr>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- 9 -</w:t>
            </w: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20" w:hanging="288"/>
        <w:spacing w:after="0"/>
        <w:tabs>
          <w:tab w:leader="none" w:pos="6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4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500" w:type="dxa"/>
            <w:vAlign w:val="bottom"/>
            <w:gridSpan w:val="2"/>
          </w:tcPr>
          <w:p>
            <w:pPr>
              <w:ind w:left="680"/>
              <w:spacing w:after="0"/>
              <w:rPr>
                <w:sz w:val="20"/>
                <w:szCs w:val="20"/>
                <w:color w:val="auto"/>
              </w:rPr>
            </w:pPr>
            <w:r>
              <w:rPr>
                <w:rFonts w:ascii="Arial" w:cs="Arial" w:eastAsia="Arial" w:hAnsi="Arial"/>
                <w:sz w:val="18"/>
                <w:szCs w:val="18"/>
                <w:b w:val="1"/>
                <w:bCs w:val="1"/>
                <w:color w:val="auto"/>
              </w:rPr>
              <w:t>Jurisdiction</w:t>
            </w:r>
          </w:p>
        </w:tc>
        <w:tc>
          <w:tcPr>
            <w:tcW w:w="3580" w:type="dxa"/>
            <w:vAlign w:val="bottom"/>
            <w:gridSpan w:val="2"/>
          </w:tcPr>
          <w:p>
            <w:pPr>
              <w:ind w:left="1360"/>
              <w:spacing w:after="0"/>
              <w:rPr>
                <w:sz w:val="20"/>
                <w:szCs w:val="20"/>
                <w:color w:val="auto"/>
              </w:rPr>
            </w:pPr>
            <w:r>
              <w:rPr>
                <w:rFonts w:ascii="Arial" w:cs="Arial" w:eastAsia="Arial" w:hAnsi="Arial"/>
                <w:sz w:val="18"/>
                <w:szCs w:val="18"/>
                <w:b w:val="1"/>
                <w:bCs w:val="1"/>
                <w:color w:val="auto"/>
              </w:rPr>
              <w:t>Purpose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3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 Daughters Compassionate Care, Inc.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Cultivation/Dispensary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57"/>
        </w:trPr>
        <w:tc>
          <w:tcPr>
            <w:tcW w:w="3940" w:type="dxa"/>
            <w:vAlign w:val="bottom"/>
            <w:gridSpan w:val="2"/>
          </w:tcPr>
          <w:p>
            <w:pPr>
              <w:spacing w:after="0" w:line="256" w:lineRule="exact"/>
              <w:rPr>
                <w:sz w:val="20"/>
                <w:szCs w:val="20"/>
                <w:color w:val="auto"/>
              </w:rPr>
            </w:pPr>
            <w:r>
              <w:rPr>
                <w:rFonts w:ascii="Arial" w:cs="Arial" w:eastAsia="Arial" w:hAnsi="Arial"/>
                <w:sz w:val="18"/>
                <w:szCs w:val="18"/>
                <w:color w:val="auto"/>
              </w:rPr>
              <w:t>ILDISP, LLC</w:t>
            </w:r>
            <w:r>
              <w:rPr>
                <w:rFonts w:ascii="Arial" w:cs="Arial" w:eastAsia="Arial" w:hAnsi="Arial"/>
                <w:sz w:val="29"/>
                <w:szCs w:val="29"/>
                <w:color w:val="auto"/>
                <w:vertAlign w:val="superscript"/>
              </w:rPr>
              <w:t>1</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ILMM Logistics,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MA MM Logistics,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tcPr>
          <w:p>
            <w:pPr>
              <w:spacing w:after="0"/>
              <w:rPr>
                <w:sz w:val="20"/>
                <w:szCs w:val="20"/>
                <w:color w:val="auto"/>
              </w:rPr>
            </w:pPr>
            <w:r>
              <w:rPr>
                <w:rFonts w:ascii="Arial" w:cs="Arial" w:eastAsia="Arial" w:hAnsi="Arial"/>
                <w:sz w:val="18"/>
                <w:szCs w:val="18"/>
                <w:color w:val="auto"/>
              </w:rPr>
              <w:t>Logistics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Magpie Management, LLC[2]</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MD MM Logistics,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tcPr>
          <w:p>
            <w:pPr>
              <w:spacing w:after="0"/>
              <w:rPr>
                <w:sz w:val="20"/>
                <w:szCs w:val="20"/>
                <w:color w:val="auto"/>
              </w:rPr>
            </w:pPr>
            <w:r>
              <w:rPr>
                <w:rFonts w:ascii="Arial" w:cs="Arial" w:eastAsia="Arial" w:hAnsi="Arial"/>
                <w:sz w:val="18"/>
                <w:szCs w:val="18"/>
                <w:color w:val="auto"/>
              </w:rPr>
              <w:t>Logistics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05"/>
        </w:trPr>
        <w:tc>
          <w:tcPr>
            <w:tcW w:w="39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NH Medicinal Dispensaries, LLC (dba The Clinic</w:t>
            </w:r>
          </w:p>
        </w:tc>
        <w:tc>
          <w:tcPr>
            <w:tcW w:w="250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1"/>
              </w:rPr>
              <w:t>100%</w:t>
            </w:r>
          </w:p>
        </w:tc>
      </w:tr>
      <w:tr>
        <w:trPr>
          <w:trHeight w:val="267"/>
        </w:trPr>
        <w:tc>
          <w:tcPr>
            <w:tcW w:w="394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color w:val="auto"/>
              </w:rPr>
              <w:t>Effingham)</w:t>
            </w:r>
            <w:r>
              <w:rPr>
                <w:rFonts w:ascii="Arial" w:cs="Arial" w:eastAsia="Arial" w:hAnsi="Arial"/>
                <w:sz w:val="29"/>
                <w:szCs w:val="29"/>
                <w:color w:val="auto"/>
                <w:vertAlign w:val="superscript"/>
              </w:rPr>
              <w:t>1</w:t>
            </w:r>
          </w:p>
        </w:tc>
        <w:tc>
          <w:tcPr>
            <w:tcW w:w="2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NJ MM Logistics,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3580" w:type="dxa"/>
            <w:vAlign w:val="bottom"/>
            <w:gridSpan w:val="2"/>
          </w:tcPr>
          <w:p>
            <w:pPr>
              <w:spacing w:after="0"/>
              <w:rPr>
                <w:sz w:val="20"/>
                <w:szCs w:val="20"/>
                <w:color w:val="auto"/>
              </w:rPr>
            </w:pPr>
            <w:r>
              <w:rPr>
                <w:rFonts w:ascii="Arial" w:cs="Arial" w:eastAsia="Arial" w:hAnsi="Arial"/>
                <w:sz w:val="18"/>
                <w:szCs w:val="18"/>
                <w:color w:val="auto"/>
              </w:rPr>
              <w:t>Logistics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NNTS Holdings,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OH MM Logistics,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3580" w:type="dxa"/>
            <w:vAlign w:val="bottom"/>
            <w:gridSpan w:val="2"/>
          </w:tcPr>
          <w:p>
            <w:pPr>
              <w:spacing w:after="0"/>
              <w:rPr>
                <w:sz w:val="20"/>
                <w:szCs w:val="20"/>
                <w:color w:val="auto"/>
              </w:rPr>
            </w:pPr>
            <w:r>
              <w:rPr>
                <w:rFonts w:ascii="Arial" w:cs="Arial" w:eastAsia="Arial" w:hAnsi="Arial"/>
                <w:sz w:val="18"/>
                <w:szCs w:val="18"/>
                <w:color w:val="auto"/>
              </w:rPr>
              <w:t>Logistics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 Natural Treatment Solutions,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Prospect Heights RE,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RedMed Holdings,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Saint Chicago Holdings,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Arizona Holdings,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Arizona II,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Management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Arizona,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CGV Holdings,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El Dorado,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Arkansas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Four Daughters Holdings,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GVB Mergersub,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subsidiary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Holdings,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IP,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Michigan,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Management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NSE Holdings,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Oklahoma,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Technologies,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THC Holdings,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TV Mergersub,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subsidiary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WV,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West Virginia</w:t>
            </w:r>
          </w:p>
        </w:tc>
        <w:tc>
          <w:tcPr>
            <w:tcW w:w="3580" w:type="dxa"/>
            <w:vAlign w:val="bottom"/>
            <w:gridSpan w:val="2"/>
          </w:tcPr>
          <w:p>
            <w:pPr>
              <w:spacing w:after="0"/>
              <w:rPr>
                <w:sz w:val="20"/>
                <w:szCs w:val="20"/>
                <w:color w:val="auto"/>
              </w:rPr>
            </w:pPr>
            <w:r>
              <w:rPr>
                <w:rFonts w:ascii="Arial" w:cs="Arial" w:eastAsia="Arial" w:hAnsi="Arial"/>
                <w:sz w:val="18"/>
                <w:szCs w:val="18"/>
                <w:color w:val="auto"/>
              </w:rPr>
              <w:t>Dispensary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VHGCA Holdings,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VHGRX Holdings,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VZL Staffing Services,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Staffing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Zen Leaf Retail,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Zen Leaf Technologies,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bl>
    <w:p>
      <w:pPr>
        <w:spacing w:after="0" w:line="198" w:lineRule="exact"/>
        <w:rPr>
          <w:sz w:val="20"/>
          <w:szCs w:val="20"/>
          <w:color w:val="auto"/>
        </w:rPr>
      </w:pPr>
    </w:p>
    <w:p>
      <w:pPr>
        <w:jc w:val="both"/>
        <w:ind w:left="340" w:hanging="332"/>
        <w:spacing w:after="0" w:line="224"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b w:val="1"/>
          <w:bCs w:val="1"/>
          <w:color w:val="auto"/>
        </w:rPr>
        <w:t xml:space="preserve">ILDISP, LLC and NH Medicinal Dispensaries, LLC: </w:t>
      </w:r>
      <w:r>
        <w:rPr>
          <w:rFonts w:ascii="Arial" w:cs="Arial" w:eastAsia="Arial" w:hAnsi="Arial"/>
          <w:sz w:val="18"/>
          <w:szCs w:val="18"/>
          <w:color w:val="auto"/>
        </w:rPr>
        <w:t>Company affiliate Ataraxia has a 50% membership interest share of ILDISP, which owns</w:t>
      </w:r>
      <w:r>
        <w:rPr>
          <w:rFonts w:ascii="Arial" w:cs="Arial" w:eastAsia="Arial" w:hAnsi="Arial"/>
          <w:sz w:val="18"/>
          <w:szCs w:val="18"/>
          <w:b w:val="1"/>
          <w:bCs w:val="1"/>
          <w:color w:val="auto"/>
        </w:rPr>
        <w:t xml:space="preserve"> </w:t>
      </w:r>
      <w:r>
        <w:rPr>
          <w:rFonts w:ascii="Arial" w:cs="Arial" w:eastAsia="Arial" w:hAnsi="Arial"/>
          <w:sz w:val="18"/>
          <w:szCs w:val="18"/>
          <w:color w:val="auto"/>
        </w:rPr>
        <w:t>100% interest in NH Medicinal Dispensaries. As such, affiliate Ataraxia owns a 50% interest in NH Medicinal Dispensaries. NH Medicinal Dispensaries holds two licenses which are associated with two dispensaries: The Clinic Effingham and Zen Leaf Charleston. Due to the nature of the extent of control the Ataraxia exercises over each dispensary, the Company recognizes The Clinic Effingham as an equity-method investment and fully consolidates Zen Leaf Charleston.</w:t>
      </w:r>
    </w:p>
    <w:p>
      <w:pPr>
        <w:spacing w:after="0" w:line="200" w:lineRule="exact"/>
        <w:rPr>
          <w:rFonts w:ascii="Arial" w:cs="Arial" w:eastAsia="Arial" w:hAnsi="Arial"/>
          <w:sz w:val="30"/>
          <w:szCs w:val="30"/>
          <w:color w:val="auto"/>
          <w:vertAlign w:val="superscript"/>
        </w:rPr>
      </w:pPr>
    </w:p>
    <w:p>
      <w:pPr>
        <w:spacing w:after="0" w:line="221" w:lineRule="exact"/>
        <w:rPr>
          <w:rFonts w:ascii="Arial" w:cs="Arial" w:eastAsia="Arial" w:hAnsi="Arial"/>
          <w:sz w:val="30"/>
          <w:szCs w:val="30"/>
          <w:color w:val="auto"/>
          <w:vertAlign w:val="superscript"/>
        </w:rPr>
      </w:pPr>
    </w:p>
    <w:p>
      <w:pPr>
        <w:ind w:left="5540" w:hanging="111"/>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i w:val="1"/>
          <w:iCs w:val="1"/>
          <w:color w:val="auto"/>
        </w:rPr>
        <w:t>(Continued)</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Operating Companies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ind w:left="560"/>
              <w:spacing w:after="0"/>
              <w:rPr>
                <w:sz w:val="20"/>
                <w:szCs w:val="20"/>
                <w:color w:val="auto"/>
              </w:rPr>
            </w:pPr>
            <w:r>
              <w:rPr>
                <w:rFonts w:ascii="Arial" w:cs="Arial" w:eastAsia="Arial" w:hAnsi="Arial"/>
                <w:sz w:val="18"/>
                <w:szCs w:val="18"/>
                <w:b w:val="1"/>
                <w:bCs w:val="1"/>
                <w:color w:val="auto"/>
              </w:rPr>
              <w:t>Jurisdiction of</w:t>
            </w: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4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500" w:type="dxa"/>
            <w:vAlign w:val="bottom"/>
            <w:gridSpan w:val="2"/>
          </w:tcPr>
          <w:p>
            <w:pPr>
              <w:ind w:left="620"/>
              <w:spacing w:after="0"/>
              <w:rPr>
                <w:sz w:val="20"/>
                <w:szCs w:val="20"/>
                <w:color w:val="auto"/>
              </w:rPr>
            </w:pPr>
            <w:r>
              <w:rPr>
                <w:rFonts w:ascii="Arial" w:cs="Arial" w:eastAsia="Arial" w:hAnsi="Arial"/>
                <w:sz w:val="18"/>
                <w:szCs w:val="18"/>
                <w:b w:val="1"/>
                <w:bCs w:val="1"/>
                <w:color w:val="auto"/>
              </w:rPr>
              <w:t>Organization</w:t>
            </w:r>
          </w:p>
        </w:tc>
        <w:tc>
          <w:tcPr>
            <w:tcW w:w="3580" w:type="dxa"/>
            <w:vAlign w:val="bottom"/>
            <w:gridSpan w:val="2"/>
          </w:tcPr>
          <w:p>
            <w:pPr>
              <w:ind w:left="1360"/>
              <w:spacing w:after="0"/>
              <w:rPr>
                <w:sz w:val="20"/>
                <w:szCs w:val="20"/>
                <w:color w:val="auto"/>
              </w:rPr>
            </w:pPr>
            <w:r>
              <w:rPr>
                <w:rFonts w:ascii="Arial" w:cs="Arial" w:eastAsia="Arial" w:hAnsi="Arial"/>
                <w:sz w:val="18"/>
                <w:szCs w:val="18"/>
                <w:b w:val="1"/>
                <w:bCs w:val="1"/>
                <w:color w:val="auto"/>
              </w:rPr>
              <w:t>Purpose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2900 Lone Mountain, LLC</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24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 holding company</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AGG Wellness, LLC dba Herban Legends of</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Towson</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tcPr>
          <w:p>
            <w:pPr>
              <w:spacing w:after="0"/>
              <w:rPr>
                <w:sz w:val="20"/>
                <w:szCs w:val="20"/>
                <w:color w:val="auto"/>
              </w:rPr>
            </w:pPr>
            <w:r>
              <w:rPr>
                <w:rFonts w:ascii="Arial" w:cs="Arial" w:eastAsia="Arial" w:hAnsi="Arial"/>
                <w:sz w:val="18"/>
                <w:szCs w:val="18"/>
                <w:color w:val="auto"/>
              </w:rPr>
              <w:t>Dispensary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Buchanan Development,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Canna Cuzzos,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tcPr>
          <w:p>
            <w:pPr>
              <w:spacing w:after="0"/>
              <w:rPr>
                <w:sz w:val="20"/>
                <w:szCs w:val="20"/>
                <w:color w:val="auto"/>
              </w:rPr>
            </w:pPr>
            <w:r>
              <w:rPr>
                <w:rFonts w:ascii="Arial" w:cs="Arial" w:eastAsia="Arial" w:hAnsi="Arial"/>
                <w:sz w:val="18"/>
                <w:szCs w:val="18"/>
                <w:color w:val="auto"/>
              </w:rPr>
              <w:t>Dispensary</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40%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Natural Treatment Solutions,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ChiVegs Real Estate,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3580" w:type="dxa"/>
            <w:vAlign w:val="bottom"/>
            <w:gridSpan w:val="2"/>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Elevele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FGM Processing,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tcPr>
          <w:p>
            <w:pPr>
              <w:spacing w:after="0"/>
              <w:rPr>
                <w:sz w:val="20"/>
                <w:szCs w:val="20"/>
                <w:color w:val="auto"/>
              </w:rPr>
            </w:pPr>
            <w:r>
              <w:rPr>
                <w:rFonts w:ascii="Arial" w:cs="Arial" w:eastAsia="Arial" w:hAnsi="Arial"/>
                <w:sz w:val="18"/>
                <w:szCs w:val="18"/>
                <w:color w:val="auto"/>
              </w:rPr>
              <w:t>Processor</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Freestate Wellness,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Cultivation/Dispensary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GLD Holdings,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 RX, LLC (dba Have a Heart Cincy)</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Healthway Services of Illinois,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Healthway Services of West Illinois,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Local Dispensaries,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3580" w:type="dxa"/>
            <w:vAlign w:val="bottom"/>
            <w:gridSpan w:val="2"/>
          </w:tcPr>
          <w:p>
            <w:pPr>
              <w:spacing w:after="0"/>
              <w:rPr>
                <w:sz w:val="20"/>
                <w:szCs w:val="20"/>
                <w:color w:val="auto"/>
              </w:rPr>
            </w:pPr>
            <w:r>
              <w:rPr>
                <w:rFonts w:ascii="Arial" w:cs="Arial" w:eastAsia="Arial" w:hAnsi="Arial"/>
                <w:sz w:val="18"/>
                <w:szCs w:val="18"/>
                <w:color w:val="auto"/>
              </w:rPr>
              <w:t>Dispensary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Lone Mountain Partners,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Cultivation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Maryland Natural Treatment Solutions,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tcPr>
          <w:p>
            <w:pPr>
              <w:spacing w:after="0"/>
              <w:rPr>
                <w:sz w:val="20"/>
                <w:szCs w:val="20"/>
                <w:color w:val="auto"/>
              </w:rPr>
            </w:pPr>
            <w:r>
              <w:rPr>
                <w:rFonts w:ascii="Arial" w:cs="Arial" w:eastAsia="Arial" w:hAnsi="Arial"/>
                <w:sz w:val="18"/>
                <w:szCs w:val="18"/>
                <w:color w:val="auto"/>
              </w:rPr>
              <w:t>Dispensary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MDCult,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99.99%</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Mikran,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tcPr>
          <w:p>
            <w:pPr>
              <w:spacing w:after="0"/>
              <w:rPr>
                <w:sz w:val="20"/>
                <w:szCs w:val="20"/>
                <w:color w:val="auto"/>
              </w:rPr>
            </w:pPr>
            <w:r>
              <w:rPr>
                <w:rFonts w:ascii="Arial" w:cs="Arial" w:eastAsia="Arial" w:hAnsi="Arial"/>
                <w:sz w:val="18"/>
                <w:szCs w:val="18"/>
                <w:color w:val="auto"/>
              </w:rPr>
              <w:t>Dispensary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MME Aurora Retail,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MME Evanston Retail,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tcPr>
          <w:p>
            <w:pPr>
              <w:spacing w:after="0"/>
              <w:rPr>
                <w:sz w:val="20"/>
                <w:szCs w:val="20"/>
                <w:color w:val="auto"/>
              </w:rPr>
            </w:pPr>
            <w:r>
              <w:rPr>
                <w:rFonts w:ascii="Arial" w:cs="Arial" w:eastAsia="Arial" w:hAnsi="Arial"/>
                <w:sz w:val="18"/>
                <w:szCs w:val="18"/>
                <w:color w:val="auto"/>
              </w:rPr>
              <w:t>Dispensary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MME IL Holdings,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Mother Grows Best,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3580" w:type="dxa"/>
            <w:vAlign w:val="bottom"/>
            <w:gridSpan w:val="2"/>
          </w:tcPr>
          <w:p>
            <w:pPr>
              <w:spacing w:after="0"/>
              <w:rPr>
                <w:sz w:val="20"/>
                <w:szCs w:val="20"/>
                <w:color w:val="auto"/>
              </w:rPr>
            </w:pPr>
            <w:r>
              <w:rPr>
                <w:rFonts w:ascii="Arial" w:cs="Arial" w:eastAsia="Arial" w:hAnsi="Arial"/>
                <w:sz w:val="18"/>
                <w:szCs w:val="18"/>
                <w:color w:val="auto"/>
              </w:rPr>
              <w:t>Cultivation</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Mother Know's Best,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Natural Treatment Solutions,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NatureX, LLC dba Zen Leaf Las Vegas</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Nevada Natural Treatment Solutions,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Noah’s Ark,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Arkansas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Ohio Grown Therapies,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3580" w:type="dxa"/>
            <w:vAlign w:val="bottom"/>
            <w:gridSpan w:val="2"/>
          </w:tcPr>
          <w:p>
            <w:pPr>
              <w:spacing w:after="0"/>
              <w:rPr>
                <w:sz w:val="20"/>
                <w:szCs w:val="20"/>
                <w:color w:val="auto"/>
              </w:rPr>
            </w:pPr>
            <w:r>
              <w:rPr>
                <w:rFonts w:ascii="Arial" w:cs="Arial" w:eastAsia="Arial" w:hAnsi="Arial"/>
                <w:sz w:val="18"/>
                <w:szCs w:val="18"/>
                <w:color w:val="auto"/>
              </w:rPr>
              <w:t>Dispensary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Redfish Holdings, Inc.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RedMed,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Saint Chicago,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The M Group,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 Group of Illinois,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United Development of Illinois,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 Waldorf,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Evanston,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Highland Park,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Verano Illinois,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641"/>
        </w:trPr>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- 11 -</w:t>
            </w: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20" w:hanging="288"/>
        <w:spacing w:after="0"/>
        <w:tabs>
          <w:tab w:leader="none" w:pos="62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4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Jurisdiction of Organization</w:t>
            </w:r>
          </w:p>
        </w:tc>
        <w:tc>
          <w:tcPr>
            <w:tcW w:w="3580" w:type="dxa"/>
            <w:vAlign w:val="bottom"/>
            <w:gridSpan w:val="2"/>
          </w:tcPr>
          <w:p>
            <w:pPr>
              <w:ind w:left="1360"/>
              <w:spacing w:after="0"/>
              <w:rPr>
                <w:sz w:val="20"/>
                <w:szCs w:val="20"/>
                <w:color w:val="auto"/>
              </w:rPr>
            </w:pPr>
            <w:r>
              <w:rPr>
                <w:rFonts w:ascii="Arial" w:cs="Arial" w:eastAsia="Arial" w:hAnsi="Arial"/>
                <w:sz w:val="18"/>
                <w:szCs w:val="18"/>
                <w:b w:val="1"/>
                <w:bCs w:val="1"/>
                <w:color w:val="auto"/>
              </w:rPr>
              <w:t>Purpose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Verano MI2, LLC</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24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MO Holdings,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MO,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Verano NJ Holdings,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Verano NJ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Cultivation/Dispensary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VHGG Holdings,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VHMD Processor,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Processor</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VMO Processing,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Missouri</w:t>
            </w:r>
          </w:p>
        </w:tc>
        <w:tc>
          <w:tcPr>
            <w:tcW w:w="3580" w:type="dxa"/>
            <w:vAlign w:val="bottom"/>
            <w:gridSpan w:val="2"/>
          </w:tcPr>
          <w:p>
            <w:pPr>
              <w:spacing w:after="0"/>
              <w:rPr>
                <w:sz w:val="20"/>
                <w:szCs w:val="20"/>
                <w:color w:val="auto"/>
              </w:rPr>
            </w:pPr>
            <w:r>
              <w:rPr>
                <w:rFonts w:ascii="Arial" w:cs="Arial" w:eastAsia="Arial" w:hAnsi="Arial"/>
                <w:sz w:val="18"/>
                <w:szCs w:val="18"/>
                <w:color w:val="auto"/>
              </w:rPr>
              <w:t>Processor</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VMO Retail,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Dispensary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VZL Staffing, LLC</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3580" w:type="dxa"/>
            <w:vAlign w:val="bottom"/>
            <w:gridSpan w:val="2"/>
          </w:tcPr>
          <w:p>
            <w:pPr>
              <w:spacing w:after="0"/>
              <w:rPr>
                <w:sz w:val="20"/>
                <w:szCs w:val="20"/>
                <w:color w:val="auto"/>
              </w:rPr>
            </w:pPr>
            <w:r>
              <w:rPr>
                <w:rFonts w:ascii="Arial" w:cs="Arial" w:eastAsia="Arial" w:hAnsi="Arial"/>
                <w:sz w:val="18"/>
                <w:szCs w:val="18"/>
                <w:color w:val="auto"/>
              </w:rPr>
              <w:t>Staffing company</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 Capital, LLC</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holding company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bl>
    <w:p>
      <w:pPr>
        <w:spacing w:after="0" w:line="1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Cash includes cash deposits in financial institutions and cash held at retail, and cultivation locations.</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Expected Credit Loss</w:t>
      </w:r>
    </w:p>
    <w:p>
      <w:pPr>
        <w:spacing w:after="0" w:line="229" w:lineRule="exact"/>
        <w:rPr>
          <w:rFonts w:ascii="Arial" w:cs="Arial" w:eastAsia="Arial" w:hAnsi="Arial"/>
          <w:sz w:val="18"/>
          <w:szCs w:val="18"/>
          <w:b w:val="1"/>
          <w:bCs w:val="1"/>
          <w:color w:val="auto"/>
        </w:rPr>
      </w:pPr>
    </w:p>
    <w:p>
      <w:pPr>
        <w:ind w:left="6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at the invoiced amount and do not bear interest. Expected credit loss reflects the Company’s estimate of amounts in its existing accounts receivable that may not be collected due to customer claims or customer inability or unwillingness to pay. Collectability of trade receivables is reviewed on an ongoing basis. The expected credit loss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 As of December 31, 2020, the allowance for doubtful accounts was $300,000. There was no allowance for doubtful accounts as of December 31, 2019.</w:t>
      </w:r>
    </w:p>
    <w:p>
      <w:pPr>
        <w:spacing w:after="0" w:line="190"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6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 Inventories of harvested cannabis are transferred from biological assets at their fair value less costs to sell and complete at harvest which becomes the deemed cost. Any subsequent post-harvest costs are capitalized to inventory to the extent that the cost is less than net realizable value. 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 As of December 31, 2020 and December 31, 2019, there were no reserves for obsolete inventories.</w:t>
      </w:r>
    </w:p>
    <w:p>
      <w:pPr>
        <w:spacing w:after="0" w:line="187"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Associates</w:t>
      </w:r>
    </w:p>
    <w:p>
      <w:pPr>
        <w:spacing w:after="0" w:line="229" w:lineRule="exact"/>
        <w:rPr>
          <w:rFonts w:ascii="Arial" w:cs="Arial" w:eastAsia="Arial" w:hAnsi="Arial"/>
          <w:sz w:val="18"/>
          <w:szCs w:val="18"/>
          <w:b w:val="1"/>
          <w:bCs w:val="1"/>
          <w:color w:val="auto"/>
        </w:rPr>
      </w:pPr>
    </w:p>
    <w:p>
      <w:pPr>
        <w:ind w:left="66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accounts for investments under International Accounting Standards (“IAS”) 28 – </w:t>
      </w:r>
      <w:r>
        <w:rPr>
          <w:rFonts w:ascii="Arial" w:cs="Arial" w:eastAsia="Arial" w:hAnsi="Arial"/>
          <w:sz w:val="18"/>
          <w:szCs w:val="18"/>
          <w:i w:val="1"/>
          <w:iCs w:val="1"/>
          <w:color w:val="auto"/>
        </w:rPr>
        <w:t>Investments in Associates and Joint Ventures</w:t>
      </w:r>
      <w:r>
        <w:rPr>
          <w:rFonts w:ascii="Arial" w:cs="Arial" w:eastAsia="Arial" w:hAnsi="Arial"/>
          <w:sz w:val="18"/>
          <w:szCs w:val="18"/>
          <w:color w:val="auto"/>
        </w:rPr>
        <w:t>. Investments are first evaluated if there is control and should be combined or consolidated. If it is determined that the Company does not have control in an investment but has significant influence, the investment is deemed an investment in an associate. Significant influence is defined as the power to participate in the financial and operating policy decisions of the investee but without control or joint control over those policies. Investments in associates are accounted for using the equity method of accounting. Interests in associates accounted for using the equity method are initially recognized at cost.</w:t>
      </w:r>
    </w:p>
    <w:p>
      <w:pPr>
        <w:spacing w:after="0" w:line="200" w:lineRule="exact"/>
        <w:rPr>
          <w:rFonts w:ascii="Arial" w:cs="Arial" w:eastAsia="Arial" w:hAnsi="Arial"/>
          <w:sz w:val="18"/>
          <w:szCs w:val="18"/>
          <w:b w:val="1"/>
          <w:bCs w:val="1"/>
          <w:color w:val="auto"/>
        </w:rPr>
      </w:pPr>
    </w:p>
    <w:p>
      <w:pPr>
        <w:spacing w:after="0" w:line="208" w:lineRule="exact"/>
        <w:rPr>
          <w:rFonts w:ascii="Arial" w:cs="Arial" w:eastAsia="Arial" w:hAnsi="Arial"/>
          <w:sz w:val="18"/>
          <w:szCs w:val="18"/>
          <w:b w:val="1"/>
          <w:bCs w:val="1"/>
          <w:color w:val="auto"/>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Associates</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right="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Subsequent to initial recognition, the carrying value of the Company’s investment in an associate is adjusted for the Company’s share of comprehensive income (loss) and distributions of the investee. The carrying value of associates is assessed for impairment at each Statement of Financial Position date. Investments that are neither controlled, or the Company does not have significant influence, are recognized at fair value at each reporting period with changes in fair value recognized through profit and loss. As of December 31, 2020 and December 31, 2019, the Company did not recognize any impairments in investments at fair value or investments in associates.</w:t>
      </w:r>
    </w:p>
    <w:p>
      <w:pPr>
        <w:spacing w:after="0" w:line="172" w:lineRule="exact"/>
        <w:rPr>
          <w:rFonts w:ascii="Arial" w:cs="Arial" w:eastAsia="Arial" w:hAnsi="Arial"/>
          <w:sz w:val="18"/>
          <w:szCs w:val="18"/>
          <w:b w:val="1"/>
          <w:bCs w:val="1"/>
          <w:color w:val="auto"/>
        </w:rPr>
      </w:pPr>
    </w:p>
    <w:p>
      <w:pPr>
        <w:ind w:left="660" w:hanging="328"/>
        <w:spacing w:after="0"/>
        <w:tabs>
          <w:tab w:leader="none" w:pos="66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Biological Assets</w:t>
      </w:r>
    </w:p>
    <w:p>
      <w:pPr>
        <w:spacing w:after="0" w:line="229" w:lineRule="exact"/>
        <w:rPr>
          <w:rFonts w:ascii="Arial" w:cs="Arial" w:eastAsia="Arial" w:hAnsi="Arial"/>
          <w:sz w:val="18"/>
          <w:szCs w:val="18"/>
          <w:b w:val="1"/>
          <w:bCs w:val="1"/>
          <w:color w:val="auto"/>
        </w:rPr>
      </w:pPr>
    </w:p>
    <w:p>
      <w:pPr>
        <w:ind w:left="660" w:right="8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 measures biological assets consisting of medical and adult-use cannabis plants at fair value less costs to sell and complete up to the point of harvest, which becomes the basis for the cost of internally produced harvested cannabis and finished goods inventories after harvest. These costs are then recorded with cost of goods sold in the consolidated statements of operations in the period when the related product is sold. Unrealized gains or losses arising from changes in fair value less cost to sell during the period are included in the results of operations.</w:t>
      </w:r>
    </w:p>
    <w:p>
      <w:pPr>
        <w:spacing w:after="0" w:line="157" w:lineRule="exact"/>
        <w:rPr>
          <w:rFonts w:ascii="Arial" w:cs="Arial" w:eastAsia="Arial" w:hAnsi="Arial"/>
          <w:sz w:val="18"/>
          <w:szCs w:val="18"/>
          <w:b w:val="1"/>
          <w:bCs w:val="1"/>
          <w:color w:val="auto"/>
        </w:rPr>
      </w:pPr>
    </w:p>
    <w:p>
      <w:pPr>
        <w:ind w:left="6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Production costs related to biological assets are expensed. They include the direct cost of seeds and growing materials as well as other indirect costs such as utilities and supplies used in the growing process. Indirect labor for individuals involved in the growing and quality control process is also included, as well as depreciation on production equipment and overhead costs such as rent to the extent it is associated with the growing space. Unrealized fair value gains/losses on growth of biological assets are recorded in a separate line on the face of the consolidated statements of operations.</w:t>
      </w:r>
    </w:p>
    <w:p>
      <w:pPr>
        <w:spacing w:after="0" w:line="187" w:lineRule="exact"/>
        <w:rPr>
          <w:rFonts w:ascii="Arial" w:cs="Arial" w:eastAsia="Arial" w:hAnsi="Arial"/>
          <w:sz w:val="18"/>
          <w:szCs w:val="18"/>
          <w:b w:val="1"/>
          <w:bCs w:val="1"/>
          <w:color w:val="auto"/>
        </w:rPr>
      </w:pPr>
    </w:p>
    <w:p>
      <w:pPr>
        <w:ind w:left="660" w:right="4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capitalizes costs incurred after harvest to bring the products to their present location and condition in accordance with IAS 2, </w:t>
      </w:r>
      <w:r>
        <w:rPr>
          <w:rFonts w:ascii="Arial" w:cs="Arial" w:eastAsia="Arial" w:hAnsi="Arial"/>
          <w:sz w:val="16"/>
          <w:szCs w:val="16"/>
          <w:i w:val="1"/>
          <w:iCs w:val="1"/>
          <w:color w:val="auto"/>
        </w:rPr>
        <w:t xml:space="preserve">Inventories. </w:t>
      </w:r>
      <w:r>
        <w:rPr>
          <w:rFonts w:ascii="Arial" w:cs="Arial" w:eastAsia="Arial" w:hAnsi="Arial"/>
          <w:sz w:val="16"/>
          <w:szCs w:val="16"/>
          <w:color w:val="auto"/>
        </w:rPr>
        <w:t>The cost of inventories includes the fair value less cost to sell of the cannabis at harvest and costs incurred after harvest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assurance costs, fulfillment costs and packaging costs) to bring the products to their present location and condition.</w:t>
      </w:r>
    </w:p>
    <w:p>
      <w:pPr>
        <w:spacing w:after="0" w:line="144" w:lineRule="exact"/>
        <w:rPr>
          <w:rFonts w:ascii="Arial" w:cs="Arial" w:eastAsia="Arial" w:hAnsi="Arial"/>
          <w:sz w:val="18"/>
          <w:szCs w:val="18"/>
          <w:b w:val="1"/>
          <w:bCs w:val="1"/>
          <w:color w:val="auto"/>
        </w:rPr>
      </w:pPr>
    </w:p>
    <w:p>
      <w:pPr>
        <w:ind w:left="660" w:hanging="328"/>
        <w:spacing w:after="0"/>
        <w:tabs>
          <w:tab w:leader="none" w:pos="66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cost,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-4288790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240" w:type="dxa"/>
            <w:vAlign w:val="bottom"/>
            <w:gridSpan w:val="2"/>
            <w:shd w:val="clear" w:color="auto" w:fill="CCEEFF"/>
          </w:tcPr>
          <w:p>
            <w:pPr>
              <w:jc w:val="center"/>
              <w:ind w:left="2450"/>
              <w:spacing w:after="0"/>
              <w:rPr>
                <w:sz w:val="20"/>
                <w:szCs w:val="20"/>
                <w:color w:val="auto"/>
              </w:rPr>
            </w:pPr>
            <w:r>
              <w:rPr>
                <w:rFonts w:ascii="Arial" w:cs="Arial" w:eastAsia="Arial" w:hAnsi="Arial"/>
                <w:sz w:val="18"/>
                <w:szCs w:val="18"/>
                <w:color w:val="auto"/>
                <w:w w:val="90"/>
              </w:rPr>
              <w:t>Not Depreciated</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7240" w:type="dxa"/>
            <w:vAlign w:val="bottom"/>
            <w:gridSpan w:val="2"/>
          </w:tcPr>
          <w:p>
            <w:pPr>
              <w:jc w:val="center"/>
              <w:ind w:left="2450"/>
              <w:spacing w:after="0"/>
              <w:rPr>
                <w:sz w:val="20"/>
                <w:szCs w:val="20"/>
                <w:color w:val="auto"/>
              </w:rPr>
            </w:pPr>
            <w:r>
              <w:rPr>
                <w:rFonts w:ascii="Arial" w:cs="Arial" w:eastAsia="Arial" w:hAnsi="Arial"/>
                <w:sz w:val="18"/>
                <w:szCs w:val="18"/>
                <w:color w:val="auto"/>
                <w:w w:val="85"/>
              </w:rPr>
              <w:t>39 Years</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 Years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4720" w:type="dxa"/>
            <w:vAlign w:val="bottom"/>
          </w:tcPr>
          <w:p>
            <w:pPr>
              <w:jc w:val="right"/>
              <w:spacing w:after="0"/>
              <w:rPr>
                <w:sz w:val="20"/>
                <w:szCs w:val="20"/>
                <w:color w:val="auto"/>
              </w:rPr>
            </w:pPr>
            <w:r>
              <w:rPr>
                <w:rFonts w:ascii="Arial" w:cs="Arial" w:eastAsia="Arial" w:hAnsi="Arial"/>
                <w:sz w:val="18"/>
                <w:szCs w:val="18"/>
                <w:color w:val="auto"/>
              </w:rPr>
              <w:t>5</w:t>
            </w:r>
          </w:p>
        </w:tc>
        <w:tc>
          <w:tcPr>
            <w:tcW w:w="2520" w:type="dxa"/>
            <w:vAlign w:val="bottom"/>
          </w:tcPr>
          <w:p>
            <w:pPr>
              <w:ind w:left="40"/>
              <w:spacing w:after="0"/>
              <w:rPr>
                <w:sz w:val="20"/>
                <w:szCs w:val="20"/>
                <w:color w:val="auto"/>
              </w:rPr>
            </w:pPr>
            <w:r>
              <w:rPr>
                <w:rFonts w:ascii="Arial" w:cs="Arial" w:eastAsia="Arial" w:hAnsi="Arial"/>
                <w:sz w:val="18"/>
                <w:szCs w:val="18"/>
                <w:color w:val="auto"/>
              </w:rPr>
              <w:t>Years</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Store Equipment and Tools</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 Years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240" w:type="dxa"/>
            <w:vAlign w:val="bottom"/>
            <w:gridSpan w:val="2"/>
          </w:tcPr>
          <w:p>
            <w:pPr>
              <w:jc w:val="center"/>
              <w:ind w:left="243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 Years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Vehicles</w:t>
            </w:r>
          </w:p>
        </w:tc>
        <w:tc>
          <w:tcPr>
            <w:tcW w:w="4720" w:type="dxa"/>
            <w:vAlign w:val="bottom"/>
          </w:tcPr>
          <w:p>
            <w:pPr>
              <w:jc w:val="right"/>
              <w:spacing w:after="0"/>
              <w:rPr>
                <w:sz w:val="20"/>
                <w:szCs w:val="20"/>
                <w:color w:val="auto"/>
              </w:rPr>
            </w:pPr>
            <w:r>
              <w:rPr>
                <w:rFonts w:ascii="Arial" w:cs="Arial" w:eastAsia="Arial" w:hAnsi="Arial"/>
                <w:sz w:val="18"/>
                <w:szCs w:val="18"/>
                <w:color w:val="auto"/>
              </w:rPr>
              <w:t>5</w:t>
            </w:r>
          </w:p>
        </w:tc>
        <w:tc>
          <w:tcPr>
            <w:tcW w:w="2520" w:type="dxa"/>
            <w:vAlign w:val="bottom"/>
          </w:tcPr>
          <w:p>
            <w:pPr>
              <w:ind w:left="40"/>
              <w:spacing w:after="0"/>
              <w:rPr>
                <w:sz w:val="20"/>
                <w:szCs w:val="20"/>
                <w:color w:val="auto"/>
              </w:rPr>
            </w:pPr>
            <w:r>
              <w:rPr>
                <w:rFonts w:ascii="Arial" w:cs="Arial" w:eastAsia="Arial" w:hAnsi="Arial"/>
                <w:sz w:val="18"/>
                <w:szCs w:val="18"/>
                <w:color w:val="auto"/>
              </w:rPr>
              <w:t>Years</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7240" w:type="dxa"/>
            <w:vAlign w:val="bottom"/>
            <w:gridSpan w:val="2"/>
            <w:shd w:val="clear" w:color="auto" w:fill="CCEEFF"/>
          </w:tcPr>
          <w:p>
            <w:pPr>
              <w:jc w:val="center"/>
              <w:ind w:left="2450"/>
              <w:spacing w:after="0"/>
              <w:rPr>
                <w:sz w:val="20"/>
                <w:szCs w:val="20"/>
                <w:color w:val="auto"/>
              </w:rPr>
            </w:pPr>
            <w:r>
              <w:rPr>
                <w:rFonts w:ascii="Arial" w:cs="Arial" w:eastAsia="Arial" w:hAnsi="Arial"/>
                <w:sz w:val="18"/>
                <w:szCs w:val="18"/>
                <w:color w:val="auto"/>
                <w:w w:val="90"/>
              </w:rPr>
              <w:t>Not Depreciated</w:t>
            </w:r>
          </w:p>
        </w:tc>
      </w:tr>
      <w:tr>
        <w:trPr>
          <w:trHeight w:val="655"/>
        </w:trPr>
        <w:tc>
          <w:tcPr>
            <w:tcW w:w="40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right"/>
              <w:ind w:right="2810"/>
              <w:spacing w:after="0"/>
              <w:rPr>
                <w:sz w:val="20"/>
                <w:szCs w:val="20"/>
                <w:color w:val="auto"/>
              </w:rPr>
            </w:pPr>
            <w:r>
              <w:rPr>
                <w:rFonts w:ascii="Arial" w:cs="Arial" w:eastAsia="Arial" w:hAnsi="Arial"/>
                <w:sz w:val="18"/>
                <w:szCs w:val="18"/>
                <w:color w:val="auto"/>
              </w:rPr>
              <w:t>- 13 -</w:t>
            </w: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the Consolidated Statements of Operations in the year the asset is derecognized.</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Repairs and maintenance that do not improve efficiency or extend economic life are charged to expense as incurred.</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Intangible assets are recorded at cost, less impairment losses, if any. Intangible assets acquired in a business combination are measured at fair value at the acquisition date. Certain intangible assets, including cannabis licenses, have indefinite useful lives and are not subject to amortization. Such assets are tested annually for impairment, or more frequently, if events or changes in circumstances indicate that they might be impaired. The Company does not have finite lived intangible assets. The Company did not record any impairment losses for the years ended December 31, 2020 and 2019.</w:t>
      </w:r>
    </w:p>
    <w:p>
      <w:pPr>
        <w:spacing w:after="0" w:line="183" w:lineRule="exact"/>
        <w:rPr>
          <w:rFonts w:ascii="Arial" w:cs="Arial" w:eastAsia="Arial" w:hAnsi="Arial"/>
          <w:sz w:val="18"/>
          <w:szCs w:val="18"/>
          <w:b w:val="1"/>
          <w:bCs w:val="1"/>
          <w:color w:val="auto"/>
        </w:rPr>
      </w:pPr>
    </w:p>
    <w:p>
      <w:pPr>
        <w:ind w:left="660" w:hanging="328"/>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righ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allocated to the cash generating unit (“CGU”) or CGUs which are expected to benefit from the synergies of the combination.</w:t>
      </w:r>
    </w:p>
    <w:p>
      <w:pPr>
        <w:spacing w:after="0" w:line="183" w:lineRule="exact"/>
        <w:rPr>
          <w:rFonts w:ascii="Arial" w:cs="Arial" w:eastAsia="Arial" w:hAnsi="Arial"/>
          <w:sz w:val="18"/>
          <w:szCs w:val="18"/>
          <w:b w:val="1"/>
          <w:bCs w:val="1"/>
          <w:color w:val="auto"/>
        </w:rPr>
      </w:pPr>
    </w:p>
    <w:p>
      <w:pPr>
        <w:ind w:left="660" w:right="4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Goodwill that has an indefinite useful life is not subject to amortization and is tested annually for impairment, or more frequently if events or changes in circumstances indicate that they might be impaired. Other assets are tested for impairment whenever events or changes in circumstances indicate that the carrying amount may not be recoverable.</w:t>
      </w:r>
    </w:p>
    <w:p>
      <w:pPr>
        <w:spacing w:after="0" w:line="183" w:lineRule="exact"/>
        <w:rPr>
          <w:rFonts w:ascii="Arial" w:cs="Arial" w:eastAsia="Arial" w:hAnsi="Arial"/>
          <w:sz w:val="18"/>
          <w:szCs w:val="18"/>
          <w:b w:val="1"/>
          <w:bCs w:val="1"/>
          <w:color w:val="auto"/>
        </w:rPr>
      </w:pPr>
    </w:p>
    <w:p>
      <w:pPr>
        <w:jc w:val="both"/>
        <w:ind w:left="660" w:right="3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Impairment is determined for goodwill by assessing if the carrying value of a CGU, including the allocated goodwill, exceeds its recoverable amount determined as the greater of the estimated fair value less costs to sell or the value in use. Impairment losses recognized in respect of a CGU are first allocated to the carrying value of goodwill and any excess is allocated to the carrying amount of assets in the CGU.</w:t>
      </w:r>
    </w:p>
    <w:p>
      <w:pPr>
        <w:spacing w:after="0" w:line="148" w:lineRule="exact"/>
        <w:rPr>
          <w:rFonts w:ascii="Arial" w:cs="Arial" w:eastAsia="Arial" w:hAnsi="Arial"/>
          <w:sz w:val="18"/>
          <w:szCs w:val="18"/>
          <w:b w:val="1"/>
          <w:bCs w:val="1"/>
          <w:color w:val="auto"/>
        </w:rPr>
      </w:pPr>
    </w:p>
    <w:p>
      <w:pPr>
        <w:ind w:left="660"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Any goodwill impairment loss is recognized in operations in the period in which the impairment is identified. Impairment losses on goodwill are not subsequently reversed. The Company did not record any impairment losses for the years ended December 31, 2020 and 2019.</w:t>
      </w:r>
    </w:p>
    <w:p>
      <w:pPr>
        <w:spacing w:after="0" w:line="142" w:lineRule="exact"/>
        <w:rPr>
          <w:rFonts w:ascii="Arial" w:cs="Arial" w:eastAsia="Arial" w:hAnsi="Arial"/>
          <w:sz w:val="18"/>
          <w:szCs w:val="18"/>
          <w:b w:val="1"/>
          <w:bCs w:val="1"/>
          <w:color w:val="auto"/>
        </w:rPr>
      </w:pPr>
    </w:p>
    <w:p>
      <w:pPr>
        <w:ind w:left="660" w:hanging="328"/>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229" w:lineRule="exact"/>
        <w:rPr>
          <w:rFonts w:ascii="Arial" w:cs="Arial" w:eastAsia="Arial" w:hAnsi="Arial"/>
          <w:sz w:val="18"/>
          <w:szCs w:val="18"/>
          <w:b w:val="1"/>
          <w:bCs w:val="1"/>
          <w:color w:val="auto"/>
        </w:rPr>
      </w:pPr>
    </w:p>
    <w:p>
      <w:pPr>
        <w:ind w:left="6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Effective January 1, 2019, the Company adopted IFRS 16 </w:t>
      </w:r>
      <w:r>
        <w:rPr>
          <w:rFonts w:ascii="Arial" w:cs="Arial" w:eastAsia="Arial" w:hAnsi="Arial"/>
          <w:sz w:val="17"/>
          <w:szCs w:val="17"/>
          <w:i w:val="1"/>
          <w:iCs w:val="1"/>
          <w:color w:val="auto"/>
        </w:rPr>
        <w:t>Leases, using the</w:t>
      </w:r>
      <w:r>
        <w:rPr>
          <w:rFonts w:ascii="Arial" w:cs="Arial" w:eastAsia="Arial" w:hAnsi="Arial"/>
          <w:sz w:val="17"/>
          <w:szCs w:val="17"/>
          <w:color w:val="auto"/>
        </w:rPr>
        <w:t xml:space="preserve"> modified retrospective approach, as permitted under the specific transitional provisions in the standard. Upon adopting, the Company recognized lease liabilities and Right of Use assets in relation to leases which had previously been classified as ‘operating leases’ under the principles of IAS 17 </w:t>
      </w:r>
      <w:r>
        <w:rPr>
          <w:rFonts w:ascii="Arial" w:cs="Arial" w:eastAsia="Arial" w:hAnsi="Arial"/>
          <w:sz w:val="17"/>
          <w:szCs w:val="17"/>
          <w:i w:val="1"/>
          <w:iCs w:val="1"/>
          <w:color w:val="auto"/>
        </w:rPr>
        <w:t>Leases</w:t>
      </w:r>
      <w:r>
        <w:rPr>
          <w:rFonts w:ascii="Arial" w:cs="Arial" w:eastAsia="Arial" w:hAnsi="Arial"/>
          <w:sz w:val="17"/>
          <w:szCs w:val="17"/>
          <w:color w:val="auto"/>
        </w:rPr>
        <w:t>. These liabilities were measured at the present value of the remaining lease payments, discounted using the lessee’s incremental borrowing rate as of January 1, 2019. The weighted-average incremental borrowing rate for lease liabilities initially recognized as of January 1, 2019 was 8%. The Company did not have any leases which had been previously classified as 'finance leases' under the principles of IAS 17 at the time of adoption.</w:t>
      </w:r>
    </w:p>
    <w:p>
      <w:pPr>
        <w:spacing w:after="0" w:line="393" w:lineRule="exact"/>
        <w:rPr>
          <w:rFonts w:ascii="Arial" w:cs="Arial" w:eastAsia="Arial" w:hAnsi="Arial"/>
          <w:sz w:val="18"/>
          <w:szCs w:val="18"/>
          <w:b w:val="1"/>
          <w:bCs w:val="1"/>
          <w:color w:val="auto"/>
        </w:rPr>
      </w:pPr>
    </w:p>
    <w:p>
      <w:pPr>
        <w:ind w:left="5540" w:hanging="111"/>
        <w:spacing w:after="0"/>
        <w:tabs>
          <w:tab w:leader="none" w:pos="55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-6319520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Leased Assets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the initial application of IFRS 16, the Company applied the following practical expedients permitted by the standard:</w:t>
      </w:r>
    </w:p>
    <w:p>
      <w:pPr>
        <w:spacing w:after="0" w:line="225" w:lineRule="exact"/>
        <w:rPr>
          <w:rFonts w:ascii="Arial" w:cs="Arial" w:eastAsia="Arial" w:hAnsi="Arial"/>
          <w:sz w:val="18"/>
          <w:szCs w:val="18"/>
          <w:b w:val="1"/>
          <w:bCs w:val="1"/>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Use of a single discount rate to a portfolio of leases with reasonably similar characteristics,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Reliance on previous assessments of whether leases are onerous immediately before the date of initial application,</w:t>
      </w:r>
    </w:p>
    <w:p>
      <w:pPr>
        <w:spacing w:after="0" w:line="9" w:lineRule="exact"/>
        <w:rPr>
          <w:rFonts w:ascii="Arial" w:cs="Arial" w:eastAsia="Arial" w:hAnsi="Arial"/>
          <w:sz w:val="18"/>
          <w:szCs w:val="18"/>
          <w:color w:val="auto"/>
        </w:rPr>
      </w:pPr>
    </w:p>
    <w:p>
      <w:pPr>
        <w:ind w:left="1300" w:right="240" w:hanging="320"/>
        <w:spacing w:after="0" w:line="250" w:lineRule="auto"/>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Application of the short-term leases exemption to leases with a remaining lease term of less than twelve months as at the date of initial application, and</w:t>
      </w: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Exclusion of initial direct costs from the measurement of the right-of-use asset at the date of initial application.</w:t>
      </w:r>
    </w:p>
    <w:p>
      <w:pPr>
        <w:spacing w:after="0" w:line="9" w:lineRule="exact"/>
        <w:rPr>
          <w:rFonts w:ascii="Arial" w:cs="Arial" w:eastAsia="Arial" w:hAnsi="Arial"/>
          <w:sz w:val="18"/>
          <w:szCs w:val="18"/>
          <w:color w:val="auto"/>
        </w:rPr>
      </w:pPr>
    </w:p>
    <w:p>
      <w:pPr>
        <w:ind w:left="1300" w:right="380" w:hanging="320"/>
        <w:spacing w:after="0" w:line="260" w:lineRule="auto"/>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Election to separate lease and non-lease components, and account for each lease component separately from the associated non-lease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-1681480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the foregoing, the impact of the change in accounting policy on January 1, 2019 is summarized below:</w:t>
      </w:r>
    </w:p>
    <w:p>
      <w:pPr>
        <w:spacing w:after="0" w:line="225"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Right-of-use assets of $2,947,101 were recognized,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Lease liabilities of $3,362,964 were recognized,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impact on retained earnings was a decrease of $415,863.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Policy applicable upon adoption of IFRS 16</w:t>
      </w:r>
    </w:p>
    <w:p>
      <w:pPr>
        <w:spacing w:after="0" w:line="225"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At inception of a contract, the Company assesses whether a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Company assess whether:</w:t>
      </w:r>
    </w:p>
    <w:p>
      <w:pPr>
        <w:spacing w:after="0" w:line="184"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contract involves the use of an identified asset.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has the right to obtain substantially all the economic benefits from use of the asset throughout the period of use; and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the right to direct the use of the asset.</w:t>
      </w:r>
    </w:p>
    <w:p>
      <w:pPr>
        <w:spacing w:after="0" w:line="211"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At inception or on reassessment of a contract that contains a lease component, the Company allocates the consideration in the contract to each lease component on the basis of their relative stand-alone prices.</w:t>
      </w:r>
    </w:p>
    <w:p>
      <w:pPr>
        <w:spacing w:after="0" w:line="17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Company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187"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The right-of-use asset is subsequently depreciated using the straight- line method from the commencement date to the earlier of the end of the useful life of the right-of-use asset or the end of the lease term. The estimated useful lives of the right-of-use assets are determined on the same basis as those of property and equipment. In addition, the right-of-use asset is periodically reduced by impairment losses, if any, and adjusted for certain remeasurements of the lease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Leased Assets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right="3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Interest on the lease liability is accreted using the effective intertest method. It is remeasured when there is a change in future lease payments arising from a change in an index or rate, if there is a change in the Company’s estimate of the amount expected to be payable under a residual value guarantee, or if the Company changes its assessment of whether it will exercise a purchase, extension, or termination option.</w:t>
      </w:r>
    </w:p>
    <w:p>
      <w:pPr>
        <w:spacing w:after="0" w:line="148" w:lineRule="exact"/>
        <w:rPr>
          <w:rFonts w:ascii="Arial" w:cs="Arial" w:eastAsia="Arial" w:hAnsi="Arial"/>
          <w:sz w:val="18"/>
          <w:szCs w:val="18"/>
          <w:b w:val="1"/>
          <w:bCs w:val="1"/>
          <w:color w:val="auto"/>
        </w:rPr>
      </w:pPr>
    </w:p>
    <w:p>
      <w:pPr>
        <w:ind w:left="66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When the lease liability is remeasured in this way, a corresponding adjustment is made to the carrying amount of the right-of-use asset, or is recorded in profit or loss if the carrying amount of the right-of-use asset has been reduced to zero.</w:t>
      </w:r>
    </w:p>
    <w:p>
      <w:pPr>
        <w:spacing w:after="0" w:line="170" w:lineRule="exact"/>
        <w:rPr>
          <w:rFonts w:ascii="Arial" w:cs="Arial" w:eastAsia="Arial" w:hAnsi="Arial"/>
          <w:sz w:val="18"/>
          <w:szCs w:val="18"/>
          <w:b w:val="1"/>
          <w:bCs w:val="1"/>
          <w:color w:val="auto"/>
        </w:rPr>
      </w:pPr>
    </w:p>
    <w:p>
      <w:pPr>
        <w:ind w:left="66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elected not to recognize right-of-use assets and lease liabilities for short-term leases of machinery that have a lease term of twelve months or less and leases of low-value assets. The Company recognizes the lease payments associated with the leases as an expense on a straight-line basis over the lease term.</w:t>
      </w:r>
    </w:p>
    <w:p>
      <w:pPr>
        <w:spacing w:after="0" w:line="179" w:lineRule="exact"/>
        <w:rPr>
          <w:rFonts w:ascii="Arial" w:cs="Arial" w:eastAsia="Arial" w:hAnsi="Arial"/>
          <w:sz w:val="18"/>
          <w:szCs w:val="18"/>
          <w:b w:val="1"/>
          <w:bCs w:val="1"/>
          <w:color w:val="auto"/>
        </w:rPr>
      </w:pPr>
    </w:p>
    <w:p>
      <w:pPr>
        <w:ind w:left="640" w:hanging="308"/>
        <w:spacing w:after="0"/>
        <w:tabs>
          <w:tab w:leader="none" w:pos="64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6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Income tax expense consisting of current and deferred tax expense is recognized in the Condensed Interim Consolidated Statements of Operations based on the expected tax payable on the taxable income for the year, using tax rates enacted or substantively enacted at year-end.</w:t>
      </w:r>
    </w:p>
    <w:p>
      <w:pPr>
        <w:spacing w:after="0" w:line="123"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and the related deferred income tax expense or recovery, if any, are recognized for deferred tax consequences attributable to differences between the financial statement carrying amounts of existing assets and liabilities and their respective tax bases. Deferred tax assets and liabilities are measured using the enacted or substantively enacted tax rates expected to apply when the asset is realized, or the liability settled. The effect on deferred tax assets and liabilities of a change in tax rates is recognized in income in the period that substantive enactment occurs.</w:t>
      </w:r>
    </w:p>
    <w:p>
      <w:pPr>
        <w:spacing w:after="0" w:line="187" w:lineRule="exact"/>
        <w:rPr>
          <w:rFonts w:ascii="Arial" w:cs="Arial" w:eastAsia="Arial" w:hAnsi="Arial"/>
          <w:sz w:val="18"/>
          <w:szCs w:val="18"/>
          <w:b w:val="1"/>
          <w:bCs w:val="1"/>
          <w:color w:val="auto"/>
        </w:rPr>
      </w:pPr>
    </w:p>
    <w:p>
      <w:pPr>
        <w:ind w:left="660" w:right="4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is subject to U.S. Internal Revenue Code Section 280E. The section disallows deductions and credits attributable to a trade or business of trafficking in controlled substances. Under U.S. law marijuana is a Schedule I controlled substance. The Company has taken the position that any costs included in the cost of goods sold should not be treated as amounts subject to the Section 280E expense disallowance.</w:t>
      </w:r>
    </w:p>
    <w:p>
      <w:pPr>
        <w:spacing w:after="0" w:line="144" w:lineRule="exact"/>
        <w:rPr>
          <w:rFonts w:ascii="Arial" w:cs="Arial" w:eastAsia="Arial" w:hAnsi="Arial"/>
          <w:sz w:val="18"/>
          <w:szCs w:val="18"/>
          <w:b w:val="1"/>
          <w:bCs w:val="1"/>
          <w:color w:val="auto"/>
        </w:rPr>
      </w:pPr>
    </w:p>
    <w:p>
      <w:pPr>
        <w:ind w:left="660" w:hanging="328"/>
        <w:spacing w:after="0"/>
        <w:tabs>
          <w:tab w:leader="none" w:pos="66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660" w:right="4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Revenue is recognized by the Company in accordance with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IFRS 15, the Company applies the following five (5) steps:</w:t>
      </w:r>
    </w:p>
    <w:p>
      <w:pPr>
        <w:spacing w:after="0" w:line="225" w:lineRule="exact"/>
        <w:rPr>
          <w:rFonts w:ascii="Arial" w:cs="Arial" w:eastAsia="Arial" w:hAnsi="Arial"/>
          <w:sz w:val="18"/>
          <w:szCs w:val="18"/>
          <w:b w:val="1"/>
          <w:bCs w:val="1"/>
          <w:color w:val="auto"/>
        </w:rPr>
      </w:pPr>
    </w:p>
    <w:p>
      <w:pPr>
        <w:ind w:left="1300" w:hanging="320"/>
        <w:spacing w:after="0"/>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9" w:lineRule="exact"/>
        <w:rPr>
          <w:rFonts w:ascii="Arial" w:cs="Arial" w:eastAsia="Arial" w:hAnsi="Arial"/>
          <w:sz w:val="18"/>
          <w:szCs w:val="18"/>
          <w:color w:val="auto"/>
        </w:rPr>
      </w:pPr>
    </w:p>
    <w:p>
      <w:pPr>
        <w:ind w:left="1300" w:right="500" w:hanging="320"/>
        <w:spacing w:after="0" w:line="250"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ind w:left="1300" w:hanging="320"/>
        <w:spacing w:after="0"/>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hanging="111"/>
        <w:spacing w:after="0"/>
        <w:tabs>
          <w:tab w:leader="none" w:pos="5540" w:val="left"/>
        </w:tabs>
        <w:numPr>
          <w:ilvl w:val="3"/>
          <w:numId w:val="17"/>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-6319520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Under IFRS 15, revenues from the sale of cannabis are generally recognized at a point in time when control over the goods have been transferred to the customer. Payment is typically due upon transferring the goods to the customer or within a specified time period permitted under the Company’s credit policy.</w:t>
      </w:r>
    </w:p>
    <w:p>
      <w:pPr>
        <w:spacing w:after="0" w:line="183"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Revenue is recognized upon the satisfaction of the performance obligation. The Company satisfies its performance obligation and transfers control upon delivery and acceptance by the customer. Revenue is presented net of discounts and sales tax and other related taxes.</w:t>
      </w:r>
    </w:p>
    <w:p>
      <w:pPr>
        <w:spacing w:after="0" w:line="146" w:lineRule="exact"/>
        <w:rPr>
          <w:rFonts w:ascii="Arial" w:cs="Arial" w:eastAsia="Arial" w:hAnsi="Arial"/>
          <w:sz w:val="18"/>
          <w:szCs w:val="18"/>
          <w:b w:val="1"/>
          <w:bCs w:val="1"/>
          <w:color w:val="auto"/>
        </w:rPr>
      </w:pP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customer loyalty programs in which retail customers accumulate points for each dollar of spending. These points are recorded as a contract liability until customers redeem their points for discounts on cannabis and vape products as part of an in-store sales transaction. In addition, the Company records a performance obligation as a reduction of revenue based on the estimated redemption probability of point obligation incurred, which is calculated based on a standalone selling price.</w:t>
      </w:r>
    </w:p>
    <w:p>
      <w:pPr>
        <w:spacing w:after="0" w:line="182" w:lineRule="exact"/>
        <w:rPr>
          <w:rFonts w:ascii="Arial" w:cs="Arial" w:eastAsia="Arial" w:hAnsi="Arial"/>
          <w:sz w:val="18"/>
          <w:szCs w:val="18"/>
          <w:b w:val="1"/>
          <w:bCs w:val="1"/>
          <w:color w:val="auto"/>
        </w:rPr>
      </w:pPr>
    </w:p>
    <w:p>
      <w:pPr>
        <w:ind w:left="660" w:right="8860" w:hanging="328"/>
        <w:spacing w:after="0" w:line="566" w:lineRule="auto"/>
        <w:tabs>
          <w:tab w:leader="none" w:pos="660"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Financial Assets</w:t>
      </w: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u w:val="single" w:color="auto"/>
          <w:color w:val="auto"/>
        </w:rPr>
        <w:t>Recognition and Initial Measurement</w:t>
      </w:r>
    </w:p>
    <w:p>
      <w:pPr>
        <w:spacing w:after="0" w:line="225" w:lineRule="exact"/>
        <w:rPr>
          <w:rFonts w:ascii="Arial" w:cs="Arial" w:eastAsia="Arial" w:hAnsi="Arial"/>
          <w:sz w:val="16"/>
          <w:szCs w:val="16"/>
          <w:b w:val="1"/>
          <w:bCs w:val="1"/>
          <w:color w:val="auto"/>
        </w:rPr>
      </w:pPr>
    </w:p>
    <w:p>
      <w:pPr>
        <w:ind w:left="660" w:right="40" w:firstLine="5"/>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recognizes financial assets when it becomes party to the contractual provisions of the instrument. Financial assets are measured initially at their fair value plus, in the case of financial assets not subsequently measured at fair value through profit or loss, transaction costs that are directly attributable to their acquisition. Transaction costs attributable to the acquisition of financial assets subsequently measured at fair value through profit or loss are expensed in profit or loss when incurred.</w:t>
      </w:r>
    </w:p>
    <w:p>
      <w:pPr>
        <w:spacing w:after="0" w:line="18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u w:val="single" w:color="auto"/>
          <w:color w:val="auto"/>
        </w:rPr>
        <w:t>Classification and Subsequent Measurement</w:t>
      </w:r>
    </w:p>
    <w:p>
      <w:pPr>
        <w:spacing w:after="0" w:line="225" w:lineRule="exact"/>
        <w:rPr>
          <w:rFonts w:ascii="Arial" w:cs="Arial" w:eastAsia="Arial" w:hAnsi="Arial"/>
          <w:sz w:val="16"/>
          <w:szCs w:val="16"/>
          <w:b w:val="1"/>
          <w:bCs w:val="1"/>
          <w:color w:val="auto"/>
        </w:rPr>
      </w:pPr>
    </w:p>
    <w:p>
      <w:pPr>
        <w:ind w:left="660" w:right="140" w:firstLine="5"/>
        <w:spacing w:after="0" w:line="311" w:lineRule="auto"/>
        <w:rPr>
          <w:rFonts w:ascii="Arial" w:cs="Arial" w:eastAsia="Arial" w:hAnsi="Arial"/>
          <w:sz w:val="16"/>
          <w:szCs w:val="16"/>
          <w:b w:val="1"/>
          <w:bCs w:val="1"/>
          <w:color w:val="auto"/>
        </w:rPr>
      </w:pPr>
      <w:r>
        <w:rPr>
          <w:rFonts w:ascii="Arial" w:cs="Arial" w:eastAsia="Arial" w:hAnsi="Arial"/>
          <w:sz w:val="16"/>
          <w:szCs w:val="16"/>
          <w:color w:val="auto"/>
        </w:rPr>
        <w:t>On initial recognition, financial assets are classified as subsequently measured at amortized cost, fair value through other comprehensive income (“FVOCI”) or fair value through profit or loss (“FVTPL”). The Company determines the classification of its financial assets, together with any embedded derivatives, based on the business model for managing the financial assets and their contractual cash flow characteristics.</w:t>
      </w:r>
    </w:p>
    <w:p>
      <w:pPr>
        <w:spacing w:after="0" w:line="148"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Financial assets are classified as follows:</w:t>
      </w:r>
    </w:p>
    <w:p>
      <w:pPr>
        <w:spacing w:after="0" w:line="225" w:lineRule="exact"/>
        <w:rPr>
          <w:rFonts w:ascii="Arial" w:cs="Arial" w:eastAsia="Arial" w:hAnsi="Arial"/>
          <w:sz w:val="16"/>
          <w:szCs w:val="16"/>
          <w:b w:val="1"/>
          <w:bCs w:val="1"/>
          <w:color w:val="auto"/>
        </w:rPr>
      </w:pPr>
    </w:p>
    <w:p>
      <w:pPr>
        <w:ind w:left="1300" w:right="20" w:hanging="320"/>
        <w:spacing w:after="0" w:line="259" w:lineRule="auto"/>
        <w:tabs>
          <w:tab w:leader="none" w:pos="13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Amortized cost - Assets that are held for collection of contractual cash flows where those cash flows are solely payments of principal and interest are measured at amortized cost. Interest revenue is calculated using the effective interest method and gains or losses arising from impairment, foreign exchange and derecognition are recognized in profit or loss. Financial assets measured at amortized cost are comprised of trade receivables.</w:t>
      </w:r>
    </w:p>
    <w:p>
      <w:pPr>
        <w:spacing w:after="0" w:line="186" w:lineRule="exact"/>
        <w:rPr>
          <w:rFonts w:ascii="Arial" w:cs="Arial" w:eastAsia="Arial" w:hAnsi="Arial"/>
          <w:sz w:val="18"/>
          <w:szCs w:val="18"/>
          <w:color w:val="auto"/>
        </w:rPr>
      </w:pPr>
    </w:p>
    <w:p>
      <w:pPr>
        <w:ind w:left="1300" w:right="20" w:hanging="320"/>
        <w:spacing w:after="0" w:line="254" w:lineRule="auto"/>
        <w:tabs>
          <w:tab w:leader="none" w:pos="13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Fair value through other comprehensive income - Assets that are held for collection of contractual cash flows and for selling the financial assets, and for which the contractual cash flows are solely payments of principal and interest, are measured at fair value through other comprehensive income. Interest income calculated using the effective interest method and gains or losses arising from impairment and foreign exchange are recognized in profit or loss. All other changes in the carrying amount of the financial assets are recognized in other comprehensive income. Upon derecognition, the cumulative gain or loss previously recognized in other comprehensive income is reclassified to profit or loss. The Company does not hold any financial assets measured at fair value through other comprehensive income.</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540" w:hanging="111"/>
        <w:spacing w:after="0"/>
        <w:tabs>
          <w:tab w:leader="none" w:pos="5540" w:val="left"/>
        </w:tabs>
        <w:numPr>
          <w:ilvl w:val="3"/>
          <w:numId w:val="18"/>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1300" w:right="200" w:hanging="320"/>
        <w:spacing w:after="0" w:line="259" w:lineRule="auto"/>
        <w:tabs>
          <w:tab w:leader="none" w:pos="13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Mandatorily at fair value through profit or loss - Assets that do not meet the criteria to be measured at amortized cost, or fair value through other comprehensive income, are measured at fair value through profit or loss. All interest income and changes in the financial assets’ carrying amount are recognized in profit or loss. Financial assets mandatorily measured at fair value through profit or loss are comprised of cash and cash equivalents.</w:t>
      </w:r>
    </w:p>
    <w:p>
      <w:pPr>
        <w:spacing w:after="0" w:line="186" w:lineRule="exact"/>
        <w:rPr>
          <w:rFonts w:ascii="Arial" w:cs="Arial" w:eastAsia="Arial" w:hAnsi="Arial"/>
          <w:sz w:val="18"/>
          <w:szCs w:val="18"/>
          <w:color w:val="auto"/>
        </w:rPr>
      </w:pPr>
    </w:p>
    <w:p>
      <w:pPr>
        <w:ind w:left="1300" w:right="20" w:hanging="320"/>
        <w:spacing w:after="0" w:line="257" w:lineRule="auto"/>
        <w:tabs>
          <w:tab w:leader="none" w:pos="13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Designated at fair value through profit or loss – On initial recognition, the Company may irrevocably designate a financial asset to be measured at fair value through profit or loss in order to eliminate or significantly reduce an accounting mismatch that would otherwise arise from measuring assets or liabilities, or recognizing the gains and losses on them, on different bases. All interest income and changes in the financial assets’ carrying amount are recognized in profit or loss. The Company does not hold any financial assets designated to be measured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measures all equity investments at fair value. Changes in fair value are recorded in profit or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Business model assessment</w:t>
      </w:r>
    </w:p>
    <w:p>
      <w:pPr>
        <w:spacing w:after="0" w:line="225" w:lineRule="exact"/>
        <w:rPr>
          <w:sz w:val="20"/>
          <w:szCs w:val="20"/>
          <w:color w:val="auto"/>
        </w:rPr>
      </w:pPr>
    </w:p>
    <w:p>
      <w:pPr>
        <w:ind w:left="660" w:right="280"/>
        <w:spacing w:after="0" w:line="263" w:lineRule="auto"/>
        <w:rPr>
          <w:sz w:val="20"/>
          <w:szCs w:val="20"/>
          <w:color w:val="auto"/>
        </w:rPr>
      </w:pPr>
      <w:r>
        <w:rPr>
          <w:rFonts w:ascii="Arial" w:cs="Arial" w:eastAsia="Arial" w:hAnsi="Arial"/>
          <w:sz w:val="18"/>
          <w:szCs w:val="18"/>
          <w:color w:val="auto"/>
        </w:rPr>
        <w:t>The Company assesses the objective of its business model for holding a financial asset at a level of aggregation which best reflects the way the business is managed and information is provided to management. Information considered in this assessment includes stated policies and objectives.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Contractual cash flow assessment</w:t>
      </w:r>
    </w:p>
    <w:p>
      <w:pPr>
        <w:spacing w:after="0" w:line="225" w:lineRule="exact"/>
        <w:rPr>
          <w:sz w:val="20"/>
          <w:szCs w:val="20"/>
          <w:color w:val="auto"/>
        </w:rPr>
      </w:pPr>
    </w:p>
    <w:p>
      <w:pPr>
        <w:ind w:left="660" w:right="80"/>
        <w:spacing w:after="0" w:line="296" w:lineRule="auto"/>
        <w:rPr>
          <w:sz w:val="20"/>
          <w:szCs w:val="20"/>
          <w:color w:val="auto"/>
        </w:rPr>
      </w:pPr>
      <w:r>
        <w:rPr>
          <w:rFonts w:ascii="Arial" w:cs="Arial" w:eastAsia="Arial" w:hAnsi="Arial"/>
          <w:sz w:val="16"/>
          <w:szCs w:val="16"/>
          <w:color w:val="auto"/>
        </w:rPr>
        <w:t>The cash flows of financial assets are assessed as to whether they are solely payments of principal and interest on the basis of their contractual terms. For this purpose, ‘principal’ is defined as the fair value of the financial asset on initial recognition. ‘Interest’ is defined as consideration for the time value of money, the credit risk associated with the principal amount outstanding, and other basic lending risks and costs. In performing this assessment, the Company considers factors that would alter the timing and amount of cash flows such as prepayment and extension features, terms that might limit the Company’s claim to cash flows, and any features that modify consideration for the time value of money.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Impairment</w:t>
      </w:r>
    </w:p>
    <w:p>
      <w:pPr>
        <w:spacing w:after="0" w:line="225"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The Company recognizes a loss allowance for the expected credit losses associated with its financial assets, other than financial assets measured at fair value through profit or loss. Expected credit losses are measured to reflect a probability-weighted amount, the time value of money, and reasonable and supportable information regarding past events, current conditions, and forecasts of future economic conditions.</w:t>
      </w:r>
    </w:p>
    <w:p>
      <w:pPr>
        <w:spacing w:after="0" w:line="16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applies the simplified approach for trade receivables. Using the simplified approach, the Company records a loss allowance equal to the expected credit losses resulting from all possible default events over the assets’ contractual lifetime.</w:t>
      </w:r>
    </w:p>
    <w:p>
      <w:pPr>
        <w:spacing w:after="0" w:line="170"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For financial assets measured at amortized cost, loss allowances for expected credit losses are presented in the consolidated statement of financial position as a deduction from the gross carrying amount of the financial asset.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are written off when the Company has no reasonable expectations of recovering all or any portion thereof.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right="7920" w:hanging="328"/>
        <w:spacing w:after="0" w:line="566" w:lineRule="auto"/>
        <w:tabs>
          <w:tab w:leader="none" w:pos="660" w:val="left"/>
        </w:tabs>
        <w:numPr>
          <w:ilvl w:val="1"/>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i w:val="1"/>
          <w:iCs w:val="1"/>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Derecognition of Financial Assets</w:t>
      </w: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The Company derecognizes a financial asset when its contractual rights to the cash flows from the financial asset expire.</w:t>
      </w:r>
    </w:p>
    <w:p>
      <w:pPr>
        <w:spacing w:after="0" w:line="2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Financial Liabilities</w:t>
      </w:r>
    </w:p>
    <w:p>
      <w:pPr>
        <w:spacing w:after="0" w:line="2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u w:val="single" w:color="auto"/>
          <w:color w:val="auto"/>
        </w:rPr>
        <w:t>Recognition and Initial Measurement</w:t>
      </w:r>
    </w:p>
    <w:p>
      <w:pPr>
        <w:spacing w:after="0" w:line="225" w:lineRule="exact"/>
        <w:rPr>
          <w:rFonts w:ascii="Arial" w:cs="Arial" w:eastAsia="Arial" w:hAnsi="Arial"/>
          <w:sz w:val="16"/>
          <w:szCs w:val="16"/>
          <w:b w:val="1"/>
          <w:bCs w:val="1"/>
          <w:color w:val="auto"/>
        </w:rPr>
      </w:pPr>
    </w:p>
    <w:p>
      <w:pPr>
        <w:ind w:left="660" w:right="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recognizes a financial liability when it becomes party to the contractual provisions of the instrument. At initial recognition, the Company measures financial liabilities at their fair value plus transaction costs that are directly attributable to their issuance, with the exception of financial liabilities subsequently measured at fair value through profit or loss for which transaction costs are immediately recorded in profit or loss.</w:t>
      </w:r>
    </w:p>
    <w:p>
      <w:pPr>
        <w:spacing w:after="0" w:line="186" w:lineRule="exact"/>
        <w:rPr>
          <w:rFonts w:ascii="Arial" w:cs="Arial" w:eastAsia="Arial" w:hAnsi="Arial"/>
          <w:sz w:val="16"/>
          <w:szCs w:val="16"/>
          <w:b w:val="1"/>
          <w:bCs w:val="1"/>
          <w:color w:val="auto"/>
        </w:rPr>
      </w:pPr>
    </w:p>
    <w:p>
      <w:pPr>
        <w:ind w:left="660" w:right="26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Where an instrument contains both a liability and equity component, these components are recognized separately based on the substance of the instrument, with the liability component measured initially at fair value and the equity component assigned the residual amount.</w:t>
      </w:r>
    </w:p>
    <w:p>
      <w:pPr>
        <w:spacing w:after="0" w:line="123"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u w:val="single" w:color="auto"/>
          <w:color w:val="auto"/>
        </w:rPr>
        <w:t>Classification and subsequent measurement</w:t>
      </w:r>
    </w:p>
    <w:p>
      <w:pPr>
        <w:spacing w:after="0" w:line="225" w:lineRule="exact"/>
        <w:rPr>
          <w:rFonts w:ascii="Arial" w:cs="Arial" w:eastAsia="Arial" w:hAnsi="Arial"/>
          <w:sz w:val="16"/>
          <w:szCs w:val="16"/>
          <w:b w:val="1"/>
          <w:bCs w:val="1"/>
          <w:color w:val="auto"/>
        </w:rPr>
      </w:pPr>
    </w:p>
    <w:p>
      <w:pPr>
        <w:ind w:left="66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Subsequent to initial recognition, all financial liabilities are measured at amortized cost using the effective interest rate method. Interest, gains and losses relating to a financial liability are recognized in profit or loss.</w:t>
      </w:r>
    </w:p>
    <w:p>
      <w:pPr>
        <w:spacing w:after="0" w:line="170"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u w:val="single" w:color="auto"/>
          <w:color w:val="auto"/>
        </w:rPr>
        <w:t>Derecognition of financial liabilities</w:t>
      </w:r>
    </w:p>
    <w:p>
      <w:pPr>
        <w:spacing w:after="0" w:line="2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The Company derecognizes a financial liability only when its contractual obligations are discharged, cancelled, or expire.</w:t>
      </w:r>
    </w:p>
    <w:p>
      <w:pPr>
        <w:spacing w:after="0" w:line="221" w:lineRule="exact"/>
        <w:rPr>
          <w:rFonts w:ascii="Arial" w:cs="Arial" w:eastAsia="Arial" w:hAnsi="Arial"/>
          <w:sz w:val="16"/>
          <w:szCs w:val="16"/>
          <w:b w:val="1"/>
          <w:bCs w:val="1"/>
          <w:color w:val="auto"/>
        </w:rPr>
      </w:pPr>
    </w:p>
    <w:p>
      <w:pPr>
        <w:ind w:left="660" w:hanging="328"/>
        <w:spacing w:after="0"/>
        <w:tabs>
          <w:tab w:leader="none" w:pos="66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and Contingent Liabilities</w:t>
      </w:r>
    </w:p>
    <w:p>
      <w:pPr>
        <w:spacing w:after="0" w:line="229" w:lineRule="exact"/>
        <w:rPr>
          <w:rFonts w:ascii="Arial" w:cs="Arial" w:eastAsia="Arial" w:hAnsi="Arial"/>
          <w:sz w:val="18"/>
          <w:szCs w:val="18"/>
          <w:b w:val="1"/>
          <w:bCs w:val="1"/>
          <w:color w:val="auto"/>
        </w:rPr>
      </w:pPr>
    </w:p>
    <w:p>
      <w:pPr>
        <w:ind w:left="66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Provisions, where applicable, are recognized in liabilities when the Company has a present legal or constructive obligation as a result of past events, it is more likely than not that an outflow of resources will be required to settle the obligation, and the amount can be reliably estimated. Provisions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provisions for such contracts.</w:t>
      </w:r>
    </w:p>
    <w:p>
      <w:pPr>
        <w:spacing w:after="0" w:line="183" w:lineRule="exact"/>
        <w:rPr>
          <w:rFonts w:ascii="Arial" w:cs="Arial" w:eastAsia="Arial" w:hAnsi="Arial"/>
          <w:sz w:val="18"/>
          <w:szCs w:val="18"/>
          <w:b w:val="1"/>
          <w:bCs w:val="1"/>
          <w:color w:val="auto"/>
        </w:rPr>
      </w:pPr>
    </w:p>
    <w:p>
      <w:pPr>
        <w:ind w:left="660" w:hanging="328"/>
        <w:spacing w:after="0"/>
        <w:tabs>
          <w:tab w:leader="none" w:pos="66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rFonts w:ascii="Arial" w:cs="Arial" w:eastAsia="Arial" w:hAnsi="Arial"/>
          <w:sz w:val="18"/>
          <w:szCs w:val="18"/>
          <w:b w:val="1"/>
          <w:bCs w:val="1"/>
          <w:color w:val="auto"/>
        </w:rPr>
      </w:pPr>
    </w:p>
    <w:p>
      <w:pPr>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is also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bargain purchase gain</w:t>
      </w:r>
    </w:p>
    <w:p>
      <w:pPr>
        <w:spacing w:after="0" w:line="200" w:lineRule="exact"/>
        <w:rPr>
          <w:rFonts w:ascii="Arial" w:cs="Arial" w:eastAsia="Arial" w:hAnsi="Arial"/>
          <w:sz w:val="18"/>
          <w:szCs w:val="18"/>
          <w:b w:val="1"/>
          <w:bCs w:val="1"/>
          <w:color w:val="auto"/>
        </w:rPr>
      </w:pPr>
    </w:p>
    <w:p>
      <w:pPr>
        <w:spacing w:after="0" w:line="210" w:lineRule="exact"/>
        <w:rPr>
          <w:rFonts w:ascii="Arial" w:cs="Arial" w:eastAsia="Arial" w:hAnsi="Arial"/>
          <w:sz w:val="18"/>
          <w:szCs w:val="18"/>
          <w:b w:val="1"/>
          <w:bCs w:val="1"/>
          <w:color w:val="auto"/>
        </w:rPr>
      </w:pPr>
    </w:p>
    <w:p>
      <w:pPr>
        <w:ind w:left="5540" w:hanging="111"/>
        <w:spacing w:after="0"/>
        <w:tabs>
          <w:tab w:leader="none" w:pos="55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-6593840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IFRS 9, or IAS 37 Provisions, </w:t>
      </w:r>
      <w:r>
        <w:rPr>
          <w:rFonts w:ascii="Arial" w:cs="Arial" w:eastAsia="Arial" w:hAnsi="Arial"/>
          <w:sz w:val="18"/>
          <w:szCs w:val="18"/>
          <w:i w:val="1"/>
          <w:iCs w:val="1"/>
          <w:color w:val="auto"/>
        </w:rPr>
        <w:t>Contingent Liabilities and Contingent Assets,</w:t>
      </w:r>
      <w:r>
        <w:rPr>
          <w:rFonts w:ascii="Arial" w:cs="Arial" w:eastAsia="Arial" w:hAnsi="Arial"/>
          <w:sz w:val="18"/>
          <w:szCs w:val="18"/>
          <w:color w:val="auto"/>
        </w:rPr>
        <w:t xml:space="preserve"> as appropriate, with the corresponding gain or loss being recognized in profit or loss.</w:t>
      </w:r>
    </w:p>
    <w:p>
      <w:pPr>
        <w:spacing w:after="0" w:line="183" w:lineRule="exact"/>
        <w:rPr>
          <w:rFonts w:ascii="Arial" w:cs="Arial" w:eastAsia="Arial" w:hAnsi="Arial"/>
          <w:sz w:val="18"/>
          <w:szCs w:val="18"/>
          <w:b w:val="1"/>
          <w:bCs w:val="1"/>
          <w:color w:val="auto"/>
        </w:rPr>
      </w:pPr>
    </w:p>
    <w:p>
      <w:pPr>
        <w:ind w:left="660" w:hanging="328"/>
        <w:spacing w:after="0"/>
        <w:tabs>
          <w:tab w:leader="none" w:pos="66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Liabilities</w:t>
      </w:r>
    </w:p>
    <w:p>
      <w:pPr>
        <w:spacing w:after="0" w:line="229" w:lineRule="exact"/>
        <w:rPr>
          <w:rFonts w:ascii="Arial" w:cs="Arial" w:eastAsia="Arial" w:hAnsi="Arial"/>
          <w:sz w:val="18"/>
          <w:szCs w:val="18"/>
          <w:b w:val="1"/>
          <w:bCs w:val="1"/>
          <w:color w:val="auto"/>
        </w:rPr>
      </w:pPr>
    </w:p>
    <w:p>
      <w:pPr>
        <w:jc w:val="both"/>
        <w:ind w:left="660" w:right="3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uses the fair-value method of accounting for derivative liabilities and such liabilities are re-measured at each reporting date with changes in fair value recorded in the period incurred. The fair value is estimated using a Monte Carlo simulation model. Critical estimates and assumptions used in the model are discussed in Note 12.</w:t>
      </w:r>
    </w:p>
    <w:p>
      <w:pPr>
        <w:spacing w:after="0" w:line="179" w:lineRule="exact"/>
        <w:rPr>
          <w:rFonts w:ascii="Arial" w:cs="Arial" w:eastAsia="Arial" w:hAnsi="Arial"/>
          <w:sz w:val="18"/>
          <w:szCs w:val="18"/>
          <w:b w:val="1"/>
          <w:bCs w:val="1"/>
          <w:color w:val="auto"/>
        </w:rPr>
      </w:pPr>
    </w:p>
    <w:p>
      <w:pPr>
        <w:ind w:left="660" w:hanging="328"/>
        <w:spacing w:after="0"/>
        <w:tabs>
          <w:tab w:leader="none" w:pos="66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66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An operating segment is a component of the Company for which discrete financial information is available and whose operating results are regularly reviewed by the entity’s chief operating decision maker to make decisions about resources to be allocated to the segment and assess its performance, and that engages in business activities from which it may earn revenue and incur expenses. The Company only has one operating segment for the cultivation, manufacturing, and distribution, and sale of cannabis.</w:t>
      </w:r>
    </w:p>
    <w:p>
      <w:pPr>
        <w:spacing w:after="0" w:line="17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All revenues were generated in the United States of America for the years ended December 31, 2020 and 2019.</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229"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87" w:lineRule="exact"/>
        <w:rPr>
          <w:rFonts w:ascii="Arial" w:cs="Arial" w:eastAsia="Arial" w:hAnsi="Arial"/>
          <w:sz w:val="18"/>
          <w:szCs w:val="18"/>
          <w:b w:val="1"/>
          <w:bCs w:val="1"/>
          <w:color w:val="auto"/>
        </w:rPr>
      </w:pPr>
    </w:p>
    <w:p>
      <w:pPr>
        <w:ind w:left="6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170" w:lineRule="exact"/>
        <w:rPr>
          <w:rFonts w:ascii="Arial" w:cs="Arial" w:eastAsia="Arial" w:hAnsi="Arial"/>
          <w:sz w:val="18"/>
          <w:szCs w:val="18"/>
          <w:b w:val="1"/>
          <w:bCs w:val="1"/>
          <w:color w:val="auto"/>
        </w:rPr>
      </w:pPr>
    </w:p>
    <w:p>
      <w:pPr>
        <w:ind w:left="1100" w:hanging="444"/>
        <w:spacing w:after="0"/>
        <w:tabs>
          <w:tab w:leader="none" w:pos="1100" w:val="left"/>
        </w:tabs>
        <w:numPr>
          <w:ilvl w:val="2"/>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Depreciation of Property and Equipment</w:t>
      </w:r>
    </w:p>
    <w:p>
      <w:pPr>
        <w:spacing w:after="0" w:line="225" w:lineRule="exact"/>
        <w:rPr>
          <w:rFonts w:ascii="Arial" w:cs="Arial" w:eastAsia="Arial" w:hAnsi="Arial"/>
          <w:sz w:val="18"/>
          <w:szCs w:val="18"/>
          <w:i w:val="1"/>
          <w:iCs w:val="1"/>
          <w:color w:val="auto"/>
        </w:rPr>
      </w:pPr>
    </w:p>
    <w:p>
      <w:pPr>
        <w:jc w:val="both"/>
        <w:ind w:left="1100" w:right="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Depreciation of property and equipment is dependent upon estimates of useful lives which are determined through the exercise of judgment. The assessment of any impairment of these assets is dependent upon estimates of recoverable amounts that take into account factors such as economic and market conditions and the useful lives of assets.</w:t>
      </w:r>
    </w:p>
    <w:p>
      <w:pPr>
        <w:spacing w:after="0" w:line="183" w:lineRule="exact"/>
        <w:rPr>
          <w:rFonts w:ascii="Arial" w:cs="Arial" w:eastAsia="Arial" w:hAnsi="Arial"/>
          <w:sz w:val="18"/>
          <w:szCs w:val="18"/>
          <w:i w:val="1"/>
          <w:iCs w:val="1"/>
          <w:color w:val="auto"/>
        </w:rPr>
      </w:pPr>
    </w:p>
    <w:p>
      <w:pPr>
        <w:ind w:left="1100" w:hanging="444"/>
        <w:spacing w:after="0"/>
        <w:tabs>
          <w:tab w:leader="none" w:pos="1100" w:val="left"/>
        </w:tabs>
        <w:numPr>
          <w:ilvl w:val="2"/>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Biological Assets</w:t>
      </w:r>
    </w:p>
    <w:p>
      <w:pPr>
        <w:spacing w:after="0" w:line="225" w:lineRule="exact"/>
        <w:rPr>
          <w:rFonts w:ascii="Arial" w:cs="Arial" w:eastAsia="Arial" w:hAnsi="Arial"/>
          <w:sz w:val="18"/>
          <w:szCs w:val="18"/>
          <w:i w:val="1"/>
          <w:iCs w:val="1"/>
          <w:color w:val="auto"/>
        </w:rPr>
      </w:pPr>
    </w:p>
    <w:p>
      <w:pPr>
        <w:jc w:val="both"/>
        <w:ind w:left="1100" w:right="66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Management is required to make estimates in calculating the fair value of biological assets and harvested cannabis inventory. These estimates include a number of assumptions, such as estimating the stages of growth of the cannabis, harvested costs, sales price and expected yields.</w:t>
      </w:r>
    </w:p>
    <w:p>
      <w:pPr>
        <w:spacing w:after="0" w:line="399" w:lineRule="exact"/>
        <w:rPr>
          <w:rFonts w:ascii="Arial" w:cs="Arial" w:eastAsia="Arial" w:hAnsi="Arial"/>
          <w:sz w:val="18"/>
          <w:szCs w:val="18"/>
          <w:i w:val="1"/>
          <w:iCs w:val="1"/>
          <w:color w:val="auto"/>
        </w:rPr>
      </w:pPr>
    </w:p>
    <w:p>
      <w:pPr>
        <w:ind w:left="5540" w:hanging="111"/>
        <w:spacing w:after="0"/>
        <w:tabs>
          <w:tab w:leader="none" w:pos="5540" w:val="left"/>
        </w:tabs>
        <w:numPr>
          <w:ilvl w:val="3"/>
          <w:numId w:val="21"/>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1100" w:hanging="444"/>
        <w:spacing w:after="0"/>
        <w:tabs>
          <w:tab w:leader="none" w:pos="1100" w:val="left"/>
        </w:tabs>
        <w:numPr>
          <w:ilvl w:val="2"/>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225" w:lineRule="exact"/>
        <w:rPr>
          <w:rFonts w:ascii="Arial" w:cs="Arial" w:eastAsia="Arial" w:hAnsi="Arial"/>
          <w:sz w:val="18"/>
          <w:szCs w:val="18"/>
          <w:i w:val="1"/>
          <w:iCs w:val="1"/>
          <w:color w:val="auto"/>
        </w:rPr>
      </w:pPr>
    </w:p>
    <w:p>
      <w:pPr>
        <w:ind w:left="1100" w:right="40"/>
        <w:spacing w:after="0" w:line="290" w:lineRule="auto"/>
        <w:rPr>
          <w:rFonts w:ascii="Arial" w:cs="Arial" w:eastAsia="Arial" w:hAnsi="Arial"/>
          <w:sz w:val="18"/>
          <w:szCs w:val="18"/>
          <w:i w:val="1"/>
          <w:iCs w:val="1"/>
          <w:color w:val="auto"/>
        </w:rPr>
      </w:pPr>
      <w:r>
        <w:rPr>
          <w:rFonts w:ascii="Arial" w:cs="Arial" w:eastAsia="Arial" w:hAnsi="Arial"/>
          <w:sz w:val="16"/>
          <w:szCs w:val="16"/>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65" w:lineRule="exact"/>
        <w:rPr>
          <w:rFonts w:ascii="Arial" w:cs="Arial" w:eastAsia="Arial" w:hAnsi="Arial"/>
          <w:sz w:val="18"/>
          <w:szCs w:val="18"/>
          <w:i w:val="1"/>
          <w:iCs w:val="1"/>
          <w:color w:val="auto"/>
        </w:rPr>
      </w:pPr>
    </w:p>
    <w:p>
      <w:pPr>
        <w:ind w:left="1100" w:hanging="444"/>
        <w:spacing w:after="0"/>
        <w:tabs>
          <w:tab w:leader="none" w:pos="1100" w:val="left"/>
        </w:tabs>
        <w:numPr>
          <w:ilvl w:val="2"/>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Discount Rate for Leases</w:t>
      </w:r>
    </w:p>
    <w:p>
      <w:pPr>
        <w:spacing w:after="0" w:line="225" w:lineRule="exact"/>
        <w:rPr>
          <w:rFonts w:ascii="Arial" w:cs="Arial" w:eastAsia="Arial" w:hAnsi="Arial"/>
          <w:sz w:val="18"/>
          <w:szCs w:val="18"/>
          <w:i w:val="1"/>
          <w:iCs w:val="1"/>
          <w:color w:val="auto"/>
        </w:rPr>
      </w:pPr>
    </w:p>
    <w:p>
      <w:pPr>
        <w:ind w:left="1100" w:right="16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IFRS 16 – Leases requires lessees to discount lease payments using the rate implicit in the lease if that rate is readily available. If that rate cannot be readily determined, the Company generally uses the incremental borrowing rate when initially recording leases. Generally, the Company uses its incremental borrowing rate as the discount rate.</w:t>
      </w:r>
    </w:p>
    <w:p>
      <w:pPr>
        <w:spacing w:after="0" w:line="183" w:lineRule="exact"/>
        <w:rPr>
          <w:rFonts w:ascii="Arial" w:cs="Arial" w:eastAsia="Arial" w:hAnsi="Arial"/>
          <w:sz w:val="18"/>
          <w:szCs w:val="18"/>
          <w:i w:val="1"/>
          <w:iCs w:val="1"/>
          <w:color w:val="auto"/>
        </w:rPr>
      </w:pPr>
    </w:p>
    <w:p>
      <w:pPr>
        <w:ind w:left="1100" w:hanging="444"/>
        <w:spacing w:after="0"/>
        <w:tabs>
          <w:tab w:leader="none" w:pos="1100" w:val="left"/>
        </w:tabs>
        <w:numPr>
          <w:ilvl w:val="2"/>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225" w:lineRule="exact"/>
        <w:rPr>
          <w:rFonts w:ascii="Arial" w:cs="Arial" w:eastAsia="Arial" w:hAnsi="Arial"/>
          <w:sz w:val="18"/>
          <w:szCs w:val="18"/>
          <w:i w:val="1"/>
          <w:iCs w:val="1"/>
          <w:color w:val="auto"/>
        </w:rPr>
      </w:pPr>
    </w:p>
    <w:p>
      <w:pPr>
        <w:ind w:left="1100" w:right="120"/>
        <w:spacing w:after="0" w:line="269" w:lineRule="auto"/>
        <w:rPr>
          <w:rFonts w:ascii="Arial" w:cs="Arial" w:eastAsia="Arial" w:hAnsi="Arial"/>
          <w:sz w:val="18"/>
          <w:szCs w:val="18"/>
          <w:i w:val="1"/>
          <w:iCs w:val="1"/>
          <w:color w:val="auto"/>
        </w:rPr>
      </w:pPr>
      <w:r>
        <w:rPr>
          <w:rFonts w:ascii="Arial" w:cs="Arial" w:eastAsia="Arial" w:hAnsi="Arial"/>
          <w:sz w:val="17"/>
          <w:szCs w:val="17"/>
          <w:color w:val="auto"/>
        </w:rPr>
        <w:t xml:space="preserve">In a business combination, all identifiable assets, liabilities and contingent liabilities acquired are recorded at their fair values. One of the most significant estimates relates to the determination of the fair value of these assets and liabilities. 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IAS 39 </w:t>
      </w:r>
      <w:r>
        <w:rPr>
          <w:rFonts w:ascii="Arial" w:cs="Arial" w:eastAsia="Arial" w:hAnsi="Arial"/>
          <w:sz w:val="17"/>
          <w:szCs w:val="17"/>
          <w:i w:val="1"/>
          <w:iCs w:val="1"/>
          <w:color w:val="auto"/>
        </w:rPr>
        <w:t>Financial Instruments: Recognition and Measurement</w:t>
      </w:r>
      <w:r>
        <w:rPr>
          <w:rFonts w:ascii="Arial" w:cs="Arial" w:eastAsia="Arial" w:hAnsi="Arial"/>
          <w:sz w:val="17"/>
          <w:szCs w:val="17"/>
          <w:color w:val="auto"/>
        </w:rPr>
        <w:t>, or IAS 37</w:t>
      </w:r>
      <w:r>
        <w:rPr>
          <w:rFonts w:ascii="Arial" w:cs="Arial" w:eastAsia="Arial" w:hAnsi="Arial"/>
          <w:sz w:val="17"/>
          <w:szCs w:val="17"/>
          <w:i w:val="1"/>
          <w:iCs w:val="1"/>
          <w:color w:val="auto"/>
        </w:rPr>
        <w:t xml:space="preserve"> Provisions, Contingent Liabilities and Contingent Assets</w:t>
      </w:r>
      <w:r>
        <w:rPr>
          <w:rFonts w:ascii="Arial" w:cs="Arial" w:eastAsia="Arial" w:hAnsi="Arial"/>
          <w:sz w:val="17"/>
          <w:szCs w:val="17"/>
          <w:color w:val="auto"/>
        </w:rPr>
        <w:t>, as appropriate,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corresponding gain or loss being recognized in profit or loss.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 assets concerned and any changes in the discount rate applied.</w:t>
      </w:r>
    </w:p>
    <w:p>
      <w:pPr>
        <w:spacing w:after="0" w:line="181" w:lineRule="exact"/>
        <w:rPr>
          <w:rFonts w:ascii="Arial" w:cs="Arial" w:eastAsia="Arial" w:hAnsi="Arial"/>
          <w:sz w:val="18"/>
          <w:szCs w:val="18"/>
          <w:i w:val="1"/>
          <w:iCs w:val="1"/>
          <w:color w:val="auto"/>
        </w:rPr>
      </w:pPr>
    </w:p>
    <w:p>
      <w:pPr>
        <w:ind w:left="11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Certain fair values may be estimated at the acquisition date pending confirmation or completion of the valuation process. Where provisional values are used in accounting for a business combination, they may be adjusted retrospectively in subsequent periods. However, the measurement period will last for one year from the acquisition date.</w:t>
      </w:r>
    </w:p>
    <w:p>
      <w:pPr>
        <w:spacing w:after="0" w:line="399" w:lineRule="exact"/>
        <w:rPr>
          <w:rFonts w:ascii="Arial" w:cs="Arial" w:eastAsia="Arial" w:hAnsi="Arial"/>
          <w:sz w:val="18"/>
          <w:szCs w:val="18"/>
          <w:i w:val="1"/>
          <w:iCs w:val="1"/>
          <w:color w:val="auto"/>
        </w:rPr>
      </w:pPr>
    </w:p>
    <w:p>
      <w:pPr>
        <w:ind w:left="5540" w:hanging="111"/>
        <w:spacing w:after="0"/>
        <w:tabs>
          <w:tab w:leader="none" w:pos="5540" w:val="left"/>
        </w:tabs>
        <w:numPr>
          <w:ilvl w:val="3"/>
          <w:numId w:val="22"/>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-5496560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1100" w:hanging="444"/>
        <w:spacing w:after="0"/>
        <w:tabs>
          <w:tab w:leader="none" w:pos="1100" w:val="left"/>
        </w:tabs>
        <w:numPr>
          <w:ilvl w:val="2"/>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Intangible Asset and Goodwill Impairment</w:t>
      </w:r>
    </w:p>
    <w:p>
      <w:pPr>
        <w:spacing w:after="0" w:line="225" w:lineRule="exact"/>
        <w:rPr>
          <w:rFonts w:ascii="Arial" w:cs="Arial" w:eastAsia="Arial" w:hAnsi="Arial"/>
          <w:sz w:val="18"/>
          <w:szCs w:val="18"/>
          <w:i w:val="1"/>
          <w:iCs w:val="1"/>
          <w:color w:val="auto"/>
        </w:rPr>
      </w:pPr>
    </w:p>
    <w:p>
      <w:pPr>
        <w:ind w:left="1100" w:right="2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Indefinite-lived intangible assets and goodwill are tested for impairment annually and whenever events or changes in circumstances indicate that the carrying amount of such assets has been impaired. In order to determine if the value of goodwill has been impaired, the cash-generating unit to which goodwill has been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176" w:lineRule="exact"/>
        <w:rPr>
          <w:rFonts w:ascii="Arial" w:cs="Arial" w:eastAsia="Arial" w:hAnsi="Arial"/>
          <w:sz w:val="18"/>
          <w:szCs w:val="18"/>
          <w:i w:val="1"/>
          <w:iCs w:val="1"/>
          <w:color w:val="auto"/>
        </w:rPr>
      </w:pPr>
    </w:p>
    <w:p>
      <w:pPr>
        <w:ind w:left="1100" w:hanging="444"/>
        <w:spacing w:after="0"/>
        <w:tabs>
          <w:tab w:leader="none" w:pos="1100" w:val="left"/>
        </w:tabs>
        <w:numPr>
          <w:ilvl w:val="2"/>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225" w:lineRule="exact"/>
        <w:rPr>
          <w:rFonts w:ascii="Arial" w:cs="Arial" w:eastAsia="Arial" w:hAnsi="Arial"/>
          <w:sz w:val="18"/>
          <w:szCs w:val="18"/>
          <w:i w:val="1"/>
          <w:iCs w:val="1"/>
          <w:color w:val="auto"/>
        </w:rPr>
      </w:pPr>
    </w:p>
    <w:p>
      <w:pPr>
        <w:ind w:left="1100" w:right="16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76" w:lineRule="exact"/>
        <w:rPr>
          <w:rFonts w:ascii="Arial" w:cs="Arial" w:eastAsia="Arial" w:hAnsi="Arial"/>
          <w:sz w:val="18"/>
          <w:szCs w:val="18"/>
          <w:i w:val="1"/>
          <w:iCs w:val="1"/>
          <w:color w:val="auto"/>
        </w:rPr>
      </w:pPr>
    </w:p>
    <w:p>
      <w:pPr>
        <w:ind w:left="1100" w:hanging="444"/>
        <w:spacing w:after="0"/>
        <w:tabs>
          <w:tab w:leader="none" w:pos="1100" w:val="left"/>
        </w:tabs>
        <w:numPr>
          <w:ilvl w:val="2"/>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Warrant Issuance Modification</w:t>
      </w:r>
    </w:p>
    <w:p>
      <w:pPr>
        <w:spacing w:after="0" w:line="225" w:lineRule="exact"/>
        <w:rPr>
          <w:rFonts w:ascii="Arial" w:cs="Arial" w:eastAsia="Arial" w:hAnsi="Arial"/>
          <w:sz w:val="18"/>
          <w:szCs w:val="18"/>
          <w:i w:val="1"/>
          <w:iCs w:val="1"/>
          <w:color w:val="auto"/>
        </w:rPr>
      </w:pPr>
    </w:p>
    <w:p>
      <w:pPr>
        <w:ind w:left="1100" w:right="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 xml:space="preserve">The modification of warrant agreements presented as equity classified are first analyzed to ensure that such modifications do not change the classification of the instrument. If equity presentation remains proper, an adjustment to equity is recorded. If equity presentation is not preserved, the modification is evaluated under IFRS 2 </w:t>
      </w:r>
      <w:r>
        <w:rPr>
          <w:rFonts w:ascii="Arial" w:cs="Arial" w:eastAsia="Arial" w:hAnsi="Arial"/>
          <w:sz w:val="18"/>
          <w:szCs w:val="18"/>
          <w:i w:val="1"/>
          <w:iCs w:val="1"/>
          <w:color w:val="auto"/>
        </w:rPr>
        <w:t>Share-based Payments</w:t>
      </w:r>
      <w:r>
        <w:rPr>
          <w:rFonts w:ascii="Arial" w:cs="Arial" w:eastAsia="Arial" w:hAnsi="Arial"/>
          <w:sz w:val="18"/>
          <w:szCs w:val="18"/>
          <w:color w:val="auto"/>
        </w:rPr>
        <w:t>.</w:t>
      </w:r>
    </w:p>
    <w:p>
      <w:pPr>
        <w:spacing w:after="0" w:line="183" w:lineRule="exact"/>
        <w:rPr>
          <w:rFonts w:ascii="Arial" w:cs="Arial" w:eastAsia="Arial" w:hAnsi="Arial"/>
          <w:sz w:val="18"/>
          <w:szCs w:val="18"/>
          <w:i w:val="1"/>
          <w:iCs w:val="1"/>
          <w:color w:val="auto"/>
        </w:rPr>
      </w:pPr>
    </w:p>
    <w:p>
      <w:pPr>
        <w:ind w:left="1100" w:hanging="444"/>
        <w:spacing w:after="0"/>
        <w:tabs>
          <w:tab w:leader="none" w:pos="1100" w:val="left"/>
        </w:tabs>
        <w:numPr>
          <w:ilvl w:val="2"/>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Expected Credit Loss</w:t>
      </w:r>
    </w:p>
    <w:p>
      <w:pPr>
        <w:spacing w:after="0" w:line="225" w:lineRule="exact"/>
        <w:rPr>
          <w:rFonts w:ascii="Arial" w:cs="Arial" w:eastAsia="Arial" w:hAnsi="Arial"/>
          <w:sz w:val="18"/>
          <w:szCs w:val="18"/>
          <w:i w:val="1"/>
          <w:iCs w:val="1"/>
          <w:color w:val="auto"/>
        </w:rPr>
      </w:pPr>
    </w:p>
    <w:p>
      <w:pPr>
        <w:ind w:left="110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expected credit loss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condensed interim consolidated statement of financial position date.</w:t>
      </w:r>
    </w:p>
    <w:p>
      <w:pPr>
        <w:spacing w:after="0" w:line="157" w:lineRule="exact"/>
        <w:rPr>
          <w:rFonts w:ascii="Arial" w:cs="Arial" w:eastAsia="Arial" w:hAnsi="Arial"/>
          <w:sz w:val="18"/>
          <w:szCs w:val="18"/>
          <w:i w:val="1"/>
          <w:iCs w:val="1"/>
          <w:color w:val="auto"/>
        </w:rPr>
      </w:pPr>
    </w:p>
    <w:p>
      <w:pPr>
        <w:ind w:left="1100" w:hanging="444"/>
        <w:spacing w:after="0"/>
        <w:tabs>
          <w:tab w:leader="none" w:pos="1100" w:val="left"/>
        </w:tabs>
        <w:numPr>
          <w:ilvl w:val="2"/>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225" w:lineRule="exact"/>
        <w:rPr>
          <w:rFonts w:ascii="Arial" w:cs="Arial" w:eastAsia="Arial" w:hAnsi="Arial"/>
          <w:sz w:val="18"/>
          <w:szCs w:val="18"/>
          <w:i w:val="1"/>
          <w:iCs w:val="1"/>
          <w:color w:val="auto"/>
        </w:rPr>
      </w:pPr>
    </w:p>
    <w:p>
      <w:pPr>
        <w:jc w:val="both"/>
        <w:ind w:left="1100"/>
        <w:spacing w:after="0" w:line="293" w:lineRule="auto"/>
        <w:rPr>
          <w:rFonts w:ascii="Arial" w:cs="Arial" w:eastAsia="Arial" w:hAnsi="Arial"/>
          <w:sz w:val="18"/>
          <w:szCs w:val="18"/>
          <w:i w:val="1"/>
          <w:iCs w:val="1"/>
          <w:color w:val="auto"/>
        </w:rPr>
      </w:pPr>
      <w:r>
        <w:rPr>
          <w:rFonts w:ascii="Arial" w:cs="Arial" w:eastAsia="Arial" w:hAnsi="Arial"/>
          <w:sz w:val="16"/>
          <w:szCs w:val="16"/>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subsequently carried at amortized cost. These valuation estimates could be significantly different because of the use of judgment and the inherent uncertainty in estimating the fair value of these instruments that are not quoted in an active market.</w:t>
      </w:r>
    </w:p>
    <w:p>
      <w:pPr>
        <w:spacing w:after="0" w:line="380" w:lineRule="exact"/>
        <w:rPr>
          <w:rFonts w:ascii="Arial" w:cs="Arial" w:eastAsia="Arial" w:hAnsi="Arial"/>
          <w:sz w:val="18"/>
          <w:szCs w:val="18"/>
          <w:i w:val="1"/>
          <w:iCs w:val="1"/>
          <w:color w:val="auto"/>
        </w:rPr>
      </w:pPr>
    </w:p>
    <w:p>
      <w:pPr>
        <w:ind w:left="5540" w:hanging="111"/>
        <w:spacing w:after="0"/>
        <w:tabs>
          <w:tab w:leader="none" w:pos="5540" w:val="left"/>
        </w:tabs>
        <w:numPr>
          <w:ilvl w:val="3"/>
          <w:numId w:val="23"/>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-5908040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1100" w:hanging="444"/>
        <w:spacing w:after="0"/>
        <w:tabs>
          <w:tab w:leader="none" w:pos="1100" w:val="left"/>
        </w:tabs>
        <w:numPr>
          <w:ilvl w:val="2"/>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w:t>
      </w:r>
    </w:p>
    <w:p>
      <w:pPr>
        <w:spacing w:after="0" w:line="225" w:lineRule="exact"/>
        <w:rPr>
          <w:rFonts w:ascii="Arial" w:cs="Arial" w:eastAsia="Arial" w:hAnsi="Arial"/>
          <w:sz w:val="18"/>
          <w:szCs w:val="18"/>
          <w:i w:val="1"/>
          <w:iCs w:val="1"/>
          <w:color w:val="auto"/>
        </w:rPr>
      </w:pPr>
    </w:p>
    <w:p>
      <w:pPr>
        <w:ind w:left="1100" w:right="34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Provisions for taxes are made using the best estimate of the amount expected to be paid based on a qualitative assessment of all relevant factors. The Company reviews the adequacy of these provisions at the end of the reporting period. However, it is possible that at some future date an additional liability could result from audits by taxing authorities. Where the final outcome of these tax related matters is different from the amounts that were initially recorded, such differences will affect the tax provisions in the period in which such determination is made.</w:t>
      </w:r>
    </w:p>
    <w:p>
      <w:pPr>
        <w:spacing w:after="0" w:line="187" w:lineRule="exact"/>
        <w:rPr>
          <w:rFonts w:ascii="Arial" w:cs="Arial" w:eastAsia="Arial" w:hAnsi="Arial"/>
          <w:sz w:val="18"/>
          <w:szCs w:val="18"/>
          <w:i w:val="1"/>
          <w:iCs w:val="1"/>
          <w:color w:val="auto"/>
        </w:rPr>
      </w:pPr>
    </w:p>
    <w:p>
      <w:pPr>
        <w:ind w:left="1100" w:hanging="444"/>
        <w:spacing w:after="0"/>
        <w:tabs>
          <w:tab w:leader="none" w:pos="1100" w:val="left"/>
        </w:tabs>
        <w:numPr>
          <w:ilvl w:val="2"/>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Cash-Generating Units</w:t>
      </w:r>
    </w:p>
    <w:p>
      <w:pPr>
        <w:spacing w:after="0" w:line="225" w:lineRule="exact"/>
        <w:rPr>
          <w:rFonts w:ascii="Arial" w:cs="Arial" w:eastAsia="Arial" w:hAnsi="Arial"/>
          <w:sz w:val="18"/>
          <w:szCs w:val="18"/>
          <w:i w:val="1"/>
          <w:iCs w:val="1"/>
          <w:color w:val="auto"/>
        </w:rPr>
      </w:pPr>
    </w:p>
    <w:p>
      <w:pPr>
        <w:ind w:left="1100" w:right="6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The Company’s assets are aggregated into cash-generating units (“CGU’s”). CGU’s are based on an assessment of the unit’s ability to generate independent cash inflows. The determination of these CGU’s was based on management’s judgment regarding several factors such as shared infrastructure, geographical proximity, and exposure to market risk and materiality.</w:t>
      </w:r>
    </w:p>
    <w:p>
      <w:pPr>
        <w:spacing w:after="0" w:line="183" w:lineRule="exact"/>
        <w:rPr>
          <w:rFonts w:ascii="Arial" w:cs="Arial" w:eastAsia="Arial" w:hAnsi="Arial"/>
          <w:sz w:val="18"/>
          <w:szCs w:val="18"/>
          <w:i w:val="1"/>
          <w:iCs w:val="1"/>
          <w:color w:val="auto"/>
        </w:rPr>
      </w:pPr>
    </w:p>
    <w:p>
      <w:pPr>
        <w:ind w:left="1100" w:hanging="444"/>
        <w:spacing w:after="0"/>
        <w:tabs>
          <w:tab w:leader="none" w:pos="1100" w:val="left"/>
        </w:tabs>
        <w:numPr>
          <w:ilvl w:val="2"/>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Property, Plant and Equipment Impairment</w:t>
      </w:r>
    </w:p>
    <w:p>
      <w:pPr>
        <w:spacing w:after="0" w:line="225" w:lineRule="exact"/>
        <w:rPr>
          <w:rFonts w:ascii="Arial" w:cs="Arial" w:eastAsia="Arial" w:hAnsi="Arial"/>
          <w:sz w:val="18"/>
          <w:szCs w:val="18"/>
          <w:i w:val="1"/>
          <w:iCs w:val="1"/>
          <w:color w:val="auto"/>
        </w:rPr>
      </w:pPr>
    </w:p>
    <w:p>
      <w:pPr>
        <w:ind w:left="1100" w:right="140"/>
        <w:spacing w:after="0" w:line="270" w:lineRule="auto"/>
        <w:rPr>
          <w:rFonts w:ascii="Arial" w:cs="Arial" w:eastAsia="Arial" w:hAnsi="Arial"/>
          <w:sz w:val="18"/>
          <w:szCs w:val="18"/>
          <w:i w:val="1"/>
          <w:iCs w:val="1"/>
          <w:color w:val="auto"/>
        </w:rPr>
      </w:pPr>
      <w:r>
        <w:rPr>
          <w:rFonts w:ascii="Arial" w:cs="Arial" w:eastAsia="Arial" w:hAnsi="Arial"/>
          <w:sz w:val="17"/>
          <w:szCs w:val="17"/>
          <w:color w:val="auto"/>
        </w:rPr>
        <w:t>The Company evaluates the carrying value of long-lived assets at the end of each reporting period whenever there is any indication that a long-lived asset is impaired. Such indicators include evidence of physical damage, indicators that the economic performance of the asset is worse than expected, or that the decline in asset value is more than the passage of time or normal use, or significant changes occur with an adverse effect on the Company’s business. If any such indication exists, the Company estimates the recoverable amount of the asset. An asset is impaired when its carrying amount exceeds its recoverable amount. The Company measures impairment based on the amount by which the carrying value exceeds the estimated fair value of the long-lived asset. The fair value is determined primarily by using the projected future cash flows discounted at a rate commensurate with the risk involved as well as market valuations. Losses on long-lived assets to be disposed of are determined in a similar manner, except that the fair values are reduced for an estimate of the cost to dispose or abandon.</w:t>
      </w:r>
    </w:p>
    <w:p>
      <w:pPr>
        <w:spacing w:after="0" w:line="180" w:lineRule="exact"/>
        <w:rPr>
          <w:rFonts w:ascii="Arial" w:cs="Arial" w:eastAsia="Arial" w:hAnsi="Arial"/>
          <w:sz w:val="18"/>
          <w:szCs w:val="18"/>
          <w:i w:val="1"/>
          <w:iCs w:val="1"/>
          <w:color w:val="auto"/>
        </w:rPr>
      </w:pPr>
    </w:p>
    <w:p>
      <w:pPr>
        <w:ind w:left="1100" w:hanging="444"/>
        <w:spacing w:after="0"/>
        <w:tabs>
          <w:tab w:leader="none" w:pos="1100" w:val="left"/>
        </w:tabs>
        <w:numPr>
          <w:ilvl w:val="2"/>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Derivative Liabilities</w:t>
      </w:r>
    </w:p>
    <w:p>
      <w:pPr>
        <w:spacing w:after="0" w:line="225" w:lineRule="exact"/>
        <w:rPr>
          <w:rFonts w:ascii="Arial" w:cs="Arial" w:eastAsia="Arial" w:hAnsi="Arial"/>
          <w:sz w:val="18"/>
          <w:szCs w:val="18"/>
          <w:i w:val="1"/>
          <w:iCs w:val="1"/>
          <w:color w:val="auto"/>
        </w:rPr>
      </w:pPr>
    </w:p>
    <w:p>
      <w:pPr>
        <w:ind w:left="11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 calculating the fair value of its derivative liabilities, the Company uses the Monte Carlo simulation model, for Level 3 recurring fair value measurements to estimate fair value at each reporting date. The key assumptions used in the models are similar and include the expected future volatility in the price of the Company’s shares, the fair market value of the price of the Company’s shares and the expected life of the underling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-4835525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7" w:lineRule="exact"/>
        <w:rPr>
          <w:sz w:val="20"/>
          <w:szCs w:val="20"/>
          <w:color w:val="auto"/>
        </w:rPr>
      </w:pPr>
    </w:p>
    <w:p>
      <w:pPr>
        <w:ind w:left="1100" w:hanging="444"/>
        <w:spacing w:after="0"/>
        <w:tabs>
          <w:tab w:leader="none" w:pos="11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COVID-19 Estimation Uncertainty</w:t>
      </w:r>
    </w:p>
    <w:p>
      <w:pPr>
        <w:spacing w:after="0" w:line="225" w:lineRule="exact"/>
        <w:rPr>
          <w:rFonts w:ascii="Arial" w:cs="Arial" w:eastAsia="Arial" w:hAnsi="Arial"/>
          <w:sz w:val="18"/>
          <w:szCs w:val="18"/>
          <w:i w:val="1"/>
          <w:iCs w:val="1"/>
          <w:color w:val="auto"/>
        </w:rPr>
      </w:pPr>
    </w:p>
    <w:p>
      <w:pPr>
        <w:ind w:left="1100" w:right="6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The novel coronavirus commonly referred to as “COVID-19” was identified in December 2019 in Wuhan, China. On January 30, 2020, the World Health Organization declared the outbreak a global health emergency, and on March 11, 2020, the spread of COVID-19 was declared a pandemic by the World Health Organization. On March 13, 2020, the spread of COVID-19 was declared a national emergency by President Donald Trump. The outbreak has spread throughout Europe, the Middle East and North America, causing companies and various international jurisdictions to impose restrictions such as quarantines, business closures and travel restrictions.</w:t>
      </w:r>
    </w:p>
    <w:p>
      <w:pPr>
        <w:spacing w:after="0" w:line="176" w:lineRule="exact"/>
        <w:rPr>
          <w:rFonts w:ascii="Arial" w:cs="Arial" w:eastAsia="Arial" w:hAnsi="Arial"/>
          <w:sz w:val="18"/>
          <w:szCs w:val="18"/>
          <w:i w:val="1"/>
          <w:iCs w:val="1"/>
          <w:color w:val="auto"/>
        </w:rPr>
      </w:pPr>
    </w:p>
    <w:p>
      <w:pPr>
        <w:ind w:left="1100" w:right="40"/>
        <w:spacing w:after="0" w:line="293" w:lineRule="auto"/>
        <w:rPr>
          <w:rFonts w:ascii="Arial" w:cs="Arial" w:eastAsia="Arial" w:hAnsi="Arial"/>
          <w:sz w:val="18"/>
          <w:szCs w:val="18"/>
          <w:i w:val="1"/>
          <w:iCs w:val="1"/>
          <w:color w:val="auto"/>
        </w:rPr>
      </w:pPr>
      <w:r>
        <w:rPr>
          <w:rFonts w:ascii="Arial" w:cs="Arial" w:eastAsia="Arial" w:hAnsi="Arial"/>
          <w:sz w:val="16"/>
          <w:szCs w:val="16"/>
          <w:color w:val="auto"/>
        </w:rPr>
        <w:t>While these effects are expected to be temporary, the duration of the business disruptions and related financial impact cannot reasonably be estimated at this time. In addition, it is possible that estimates in the Company’s financial statements will change in the near term as a result of COVID-19 and the effect of any such changes could be material, which could result in, among other things, impairment of long-lived assets including intangibles and goodwill. For the time being and until economies stabilize, the Company has shifted its strategic approach and the manner in which it operates its business to continue providing high-quality products to its patients and customers, and ensure that its workplace and stores have appropriate measures put in place to limit social interactions and enforce social distancing measures.</w:t>
      </w:r>
    </w:p>
    <w:p>
      <w:pPr>
        <w:spacing w:after="0" w:line="380" w:lineRule="exact"/>
        <w:rPr>
          <w:rFonts w:ascii="Arial" w:cs="Arial" w:eastAsia="Arial" w:hAnsi="Arial"/>
          <w:sz w:val="18"/>
          <w:szCs w:val="18"/>
          <w:i w:val="1"/>
          <w:iCs w:val="1"/>
          <w:color w:val="auto"/>
        </w:rPr>
      </w:pPr>
    </w:p>
    <w:p>
      <w:pPr>
        <w:ind w:left="5540" w:hanging="111"/>
        <w:spacing w:after="0"/>
        <w:tabs>
          <w:tab w:leader="none" w:pos="5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i w:val="1"/>
          <w:iCs w:val="1"/>
          <w:color w:val="auto"/>
        </w:rPr>
        <w:t>(xii)</w:t>
      </w:r>
      <w:r>
        <w:rPr>
          <w:sz w:val="20"/>
          <w:szCs w:val="20"/>
          <w:color w:val="auto"/>
        </w:rPr>
        <w:tab/>
      </w:r>
      <w:r>
        <w:rPr>
          <w:rFonts w:ascii="Arial" w:cs="Arial" w:eastAsia="Arial" w:hAnsi="Arial"/>
          <w:sz w:val="16"/>
          <w:szCs w:val="16"/>
          <w:i w:val="1"/>
          <w:iCs w:val="1"/>
          <w:color w:val="auto"/>
        </w:rPr>
        <w:t>COVID-19 Estimation Uncertainty (Continued)</w:t>
      </w:r>
    </w:p>
    <w:p>
      <w:pPr>
        <w:spacing w:after="0" w:line="225" w:lineRule="exact"/>
        <w:rPr>
          <w:sz w:val="20"/>
          <w:szCs w:val="20"/>
          <w:color w:val="auto"/>
        </w:rPr>
      </w:pPr>
    </w:p>
    <w:p>
      <w:pPr>
        <w:ind w:left="1060" w:right="160"/>
        <w:spacing w:after="0" w:line="273" w:lineRule="auto"/>
        <w:rPr>
          <w:sz w:val="20"/>
          <w:szCs w:val="20"/>
          <w:color w:val="auto"/>
        </w:rPr>
      </w:pPr>
      <w:r>
        <w:rPr>
          <w:rFonts w:ascii="Arial" w:cs="Arial" w:eastAsia="Arial" w:hAnsi="Arial"/>
          <w:sz w:val="17"/>
          <w:szCs w:val="17"/>
          <w:color w:val="auto"/>
        </w:rPr>
        <w:t>The Company has put forth initiatives to allow the Company to continue offering high-quality products in a safe environment, with additional measures put in place to allow its customers to access its products while limiting social interactions, and enforcing social distancing measures throughout its retail stores. These initiatives have allowed the Company to operate mostly uninterrupted and to implement its business continuity plan. Some of the measures include: (i) increasing curbside pick-up and/or drive-thru options at all of its retail locations, where regulations permit such services; (ii) expanding home delivery services to customers, where regulations permit such services; and (iii) updating its safety and sanitation protocols in-store and in all facilities.</w:t>
      </w:r>
    </w:p>
    <w:p>
      <w:pPr>
        <w:spacing w:after="0" w:line="178" w:lineRule="exact"/>
        <w:rPr>
          <w:sz w:val="20"/>
          <w:szCs w:val="20"/>
          <w:color w:val="auto"/>
        </w:rPr>
      </w:pPr>
    </w:p>
    <w:p>
      <w:pPr>
        <w:ind w:left="1060" w:right="20"/>
        <w:spacing w:after="0" w:line="257" w:lineRule="auto"/>
        <w:rPr>
          <w:sz w:val="20"/>
          <w:szCs w:val="20"/>
          <w:color w:val="auto"/>
        </w:rPr>
      </w:pPr>
      <w:r>
        <w:rPr>
          <w:rFonts w:ascii="Arial" w:cs="Arial" w:eastAsia="Arial" w:hAnsi="Arial"/>
          <w:sz w:val="18"/>
          <w:szCs w:val="18"/>
          <w:color w:val="auto"/>
        </w:rPr>
        <w:t>The Company is closely monitoring the evolution of COVID-19. As of the date hereof, the Company’s operations have not been significantly impacted as the cannabis industry has been deemed an essential service in many states since March 2020. Going forward, the extent of the impact of COVID-19 on the Company’s operational and financial performance will depend on various developments, including the duration and magnitude of the outbreak, and the impact on customers, employees and vendors, all of which are uncertain and cannot be predicted.</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 and Interpretations</w:t>
      </w:r>
    </w:p>
    <w:p>
      <w:pPr>
        <w:spacing w:after="0" w:line="229" w:lineRule="exact"/>
        <w:rPr>
          <w:rFonts w:ascii="Arial" w:cs="Arial" w:eastAsia="Arial" w:hAnsi="Arial"/>
          <w:sz w:val="18"/>
          <w:szCs w:val="18"/>
          <w:b w:val="1"/>
          <w:bCs w:val="1"/>
          <w:color w:val="auto"/>
        </w:rPr>
      </w:pPr>
    </w:p>
    <w:p>
      <w:pPr>
        <w:ind w:left="660" w:right="4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IFRS standards have been recently issued by the IASB. The Company has assessed or is assessing the impact of these new standards on future consolidated financial statements. Pronouncements that are not applicable or where it has been determined do not have a significant impact to the Company have been excluded herein.</w:t>
      </w:r>
    </w:p>
    <w:p>
      <w:pPr>
        <w:spacing w:after="0" w:line="184" w:lineRule="exact"/>
        <w:rPr>
          <w:sz w:val="20"/>
          <w:szCs w:val="20"/>
          <w:color w:val="auto"/>
        </w:rPr>
      </w:pPr>
    </w:p>
    <w:p>
      <w:pPr>
        <w:ind w:left="1100" w:right="400" w:hanging="444"/>
        <w:spacing w:after="0" w:line="277" w:lineRule="auto"/>
        <w:tabs>
          <w:tab w:leader="none" w:pos="11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IAS 1 – Presentation of Financial Statements (“IAS 1”) and IAS 8 – Accounting Policies, Changes in Accounting Estimates and Errors (“IAS 8”)</w:t>
      </w:r>
    </w:p>
    <w:p>
      <w:pPr>
        <w:spacing w:after="0" w:line="170" w:lineRule="exact"/>
        <w:rPr>
          <w:sz w:val="20"/>
          <w:szCs w:val="20"/>
          <w:color w:val="auto"/>
        </w:rPr>
      </w:pPr>
    </w:p>
    <w:p>
      <w:pPr>
        <w:ind w:left="1060" w:right="160"/>
        <w:spacing w:after="0" w:line="296" w:lineRule="auto"/>
        <w:rPr>
          <w:sz w:val="20"/>
          <w:szCs w:val="20"/>
          <w:color w:val="auto"/>
        </w:rPr>
      </w:pPr>
      <w:r>
        <w:rPr>
          <w:rFonts w:ascii="Arial" w:cs="Arial" w:eastAsia="Arial" w:hAnsi="Arial"/>
          <w:sz w:val="16"/>
          <w:szCs w:val="16"/>
          <w:color w:val="auto"/>
        </w:rPr>
        <w:t>IAS 1 and IAS 8 were amended in October 2018 to refine the definition of materiality and clarify its characteristics. The revised definition focuses on the idea that information is material if omitting, misstating or obscuring it could reasonably be expected to influence decisions that the primary users of general-purpose financial statements make on the basis of those financial statements. The amendments were effective for annual reporting periods beginning on or after January 1, 2020. The Company early adopted IAS 1 and IAS 8 prior to January 1, 2020. The adoption of IAS 1 and IAS 8 did not have a material impact on the consolidated financial statements.</w:t>
      </w:r>
    </w:p>
    <w:p>
      <w:pPr>
        <w:spacing w:after="0" w:line="161" w:lineRule="exact"/>
        <w:rPr>
          <w:sz w:val="20"/>
          <w:szCs w:val="20"/>
          <w:color w:val="auto"/>
        </w:rPr>
      </w:pPr>
    </w:p>
    <w:p>
      <w:pPr>
        <w:ind w:left="1100" w:hanging="444"/>
        <w:spacing w:after="0"/>
        <w:tabs>
          <w:tab w:leader="none" w:pos="110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Amendment to IFRS 3: Definition of a Business</w:t>
      </w:r>
    </w:p>
    <w:p>
      <w:pPr>
        <w:spacing w:after="0" w:line="225" w:lineRule="exact"/>
        <w:rPr>
          <w:sz w:val="20"/>
          <w:szCs w:val="20"/>
          <w:color w:val="auto"/>
        </w:rPr>
      </w:pPr>
    </w:p>
    <w:p>
      <w:pPr>
        <w:ind w:left="1060"/>
        <w:spacing w:after="0" w:line="273" w:lineRule="auto"/>
        <w:rPr>
          <w:sz w:val="20"/>
          <w:szCs w:val="20"/>
          <w:color w:val="auto"/>
        </w:rPr>
      </w:pPr>
      <w:r>
        <w:rPr>
          <w:rFonts w:ascii="Arial" w:cs="Arial" w:eastAsia="Arial" w:hAnsi="Arial"/>
          <w:sz w:val="17"/>
          <w:szCs w:val="17"/>
          <w:color w:val="auto"/>
        </w:rPr>
        <w:t>In October 2018, the IASB issued “Definition of a Business (Amendments to IFRS 3)” (the “IFRS 3 Amendment”). The IFRS 3 Amendment clarifies the definition of a business, with the objective of assisting entities to determine whether a transaction should be accounted for as a business combination or as an asset acquisition. The IFRS 3 Amendment provides an assessment framework to determine when a series of integrated activities is not a business. The IFRS 3 Amendment is effective for business combinations occurring on or after the beginning of the first annual reporting period beginning on or after January 1, 2020. The Company early adopted IFRS 3 as of January 1, 2019. The adoption did not have a material impact on the consolidated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Adoption of New and Revised Standards and Interpretations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brief summary of the new standards issued but not yet effective:</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i w:val="1"/>
          <w:iCs w:val="1"/>
          <w:color w:val="auto"/>
        </w:rPr>
        <w:t>(iii)</w:t>
      </w:r>
      <w:r>
        <w:rPr>
          <w:sz w:val="20"/>
          <w:szCs w:val="20"/>
          <w:color w:val="auto"/>
        </w:rPr>
        <w:tab/>
      </w:r>
      <w:r>
        <w:rPr>
          <w:rFonts w:ascii="Arial" w:cs="Arial" w:eastAsia="Arial" w:hAnsi="Arial"/>
          <w:sz w:val="16"/>
          <w:szCs w:val="16"/>
          <w:i w:val="1"/>
          <w:iCs w:val="1"/>
          <w:color w:val="auto"/>
        </w:rPr>
        <w:t>Amendments to IAS 1: Classification of Liabilities as Current or Non-Current</w:t>
      </w:r>
    </w:p>
    <w:p>
      <w:pPr>
        <w:spacing w:after="0" w:line="225" w:lineRule="exact"/>
        <w:rPr>
          <w:sz w:val="20"/>
          <w:szCs w:val="20"/>
          <w:color w:val="auto"/>
        </w:rPr>
      </w:pPr>
    </w:p>
    <w:p>
      <w:pPr>
        <w:ind w:left="1060"/>
        <w:spacing w:after="0" w:line="255" w:lineRule="auto"/>
        <w:rPr>
          <w:sz w:val="20"/>
          <w:szCs w:val="20"/>
          <w:color w:val="auto"/>
        </w:rPr>
      </w:pPr>
      <w:r>
        <w:rPr>
          <w:rFonts w:ascii="Arial" w:cs="Arial" w:eastAsia="Arial" w:hAnsi="Arial"/>
          <w:sz w:val="18"/>
          <w:szCs w:val="18"/>
          <w:color w:val="auto"/>
        </w:rPr>
        <w:t>In January 2020, the IASB issued Classification of Liabilities as Current or Non-current (“Amendments to IAS 1”). The Amendments to IAS 1 aim to promote consistency in applying the requirements by helping companies determine whether, in the statement of financial position, debt and other liabilities with an uncertain settlement date should be classified as current (due or potentially due to be settled within one year) or non-current. The Amendments to IAS 1 include clarifying the classification requirements for debt a company might settle by converting it into equity. The Amendments to IAS 1 are effective for annual reporting periods beginning on or after January 1, 2022, with earlier application permitted.</w:t>
      </w:r>
    </w:p>
    <w:p>
      <w:pPr>
        <w:spacing w:after="0" w:line="192" w:lineRule="exact"/>
        <w:rPr>
          <w:sz w:val="20"/>
          <w:szCs w:val="20"/>
          <w:color w:val="auto"/>
        </w:rPr>
      </w:pPr>
    </w:p>
    <w:p>
      <w:pPr>
        <w:ind w:left="1100" w:hanging="444"/>
        <w:spacing w:after="0"/>
        <w:tabs>
          <w:tab w:leader="none" w:pos="11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Amendments to IAS 37: Onerous Contracts – Cost of Fulfilling a Contract</w:t>
      </w:r>
    </w:p>
    <w:p>
      <w:pPr>
        <w:spacing w:after="0" w:line="225" w:lineRule="exact"/>
        <w:rPr>
          <w:sz w:val="20"/>
          <w:szCs w:val="20"/>
          <w:color w:val="auto"/>
        </w:rPr>
      </w:pPr>
    </w:p>
    <w:p>
      <w:pPr>
        <w:ind w:left="1060"/>
        <w:spacing w:after="0" w:line="263" w:lineRule="auto"/>
        <w:rPr>
          <w:sz w:val="20"/>
          <w:szCs w:val="20"/>
          <w:color w:val="auto"/>
        </w:rPr>
      </w:pPr>
      <w:r>
        <w:rPr>
          <w:rFonts w:ascii="Arial" w:cs="Arial" w:eastAsia="Arial" w:hAnsi="Arial"/>
          <w:sz w:val="18"/>
          <w:szCs w:val="18"/>
          <w:color w:val="auto"/>
        </w:rPr>
        <w:t>In May 2020, the IASB issued Onerous Contracts – Cost of Fulfilling a Contract (“Amendments to IAS 37”) amending the standard regarding costs a company should include as the cost of fulfilling a contract when assessing whether a contract is onerous. The amendment is effective for annual reporting periods beginning on or after January 1, 2022.</w:t>
      </w:r>
    </w:p>
    <w:p>
      <w:pPr>
        <w:spacing w:after="0" w:line="180" w:lineRule="exact"/>
        <w:rPr>
          <w:sz w:val="20"/>
          <w:szCs w:val="20"/>
          <w:color w:val="auto"/>
        </w:rPr>
      </w:pPr>
    </w:p>
    <w:p>
      <w:pPr>
        <w:ind w:left="660" w:hanging="328"/>
        <w:spacing w:after="0"/>
        <w:tabs>
          <w:tab w:leader="none" w:pos="660"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followed IFRS 5 </w:t>
      </w:r>
      <w:r>
        <w:rPr>
          <w:rFonts w:ascii="Arial" w:cs="Arial" w:eastAsia="Arial" w:hAnsi="Arial"/>
          <w:sz w:val="18"/>
          <w:szCs w:val="18"/>
          <w:i w:val="1"/>
          <w:iCs w:val="1"/>
          <w:color w:val="auto"/>
        </w:rPr>
        <w:t>Non-current Assets Held for Sale and Discontinued Operations</w:t>
      </w:r>
      <w:r>
        <w:rPr>
          <w:rFonts w:ascii="Arial" w:cs="Arial" w:eastAsia="Arial" w:hAnsi="Arial"/>
          <w:sz w:val="18"/>
          <w:szCs w:val="18"/>
          <w:color w:val="auto"/>
        </w:rPr>
        <w:t xml:space="preserve"> to report for assets held for sale and discontinued operations.</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220"/>
        <w:spacing w:after="0" w:line="342" w:lineRule="auto"/>
        <w:rPr>
          <w:sz w:val="20"/>
          <w:szCs w:val="20"/>
          <w:color w:val="auto"/>
        </w:rPr>
      </w:pPr>
      <w:r>
        <w:rPr>
          <w:rFonts w:ascii="Arial" w:cs="Arial" w:eastAsia="Arial" w:hAnsi="Arial"/>
          <w:sz w:val="16"/>
          <w:szCs w:val="16"/>
          <w:color w:val="auto"/>
        </w:rPr>
        <w:t>During the third quarter of 2020, the Company closed it’s Oklahoma operations, which were comprised of three dispensaries and a processing facility. This discontinuance represents a strategic geographical shift in business operations. The acquisition of Oklahoma was in 2019 (Note 9).</w:t>
      </w:r>
    </w:p>
    <w:p>
      <w:pPr>
        <w:spacing w:after="0" w:line="124" w:lineRule="exact"/>
        <w:rPr>
          <w:sz w:val="20"/>
          <w:szCs w:val="20"/>
          <w:color w:val="auto"/>
        </w:rPr>
      </w:pPr>
    </w:p>
    <w:p>
      <w:pPr>
        <w:jc w:val="both"/>
        <w:ind w:left="660" w:right="480"/>
        <w:spacing w:after="0" w:line="263" w:lineRule="auto"/>
        <w:rPr>
          <w:sz w:val="20"/>
          <w:szCs w:val="20"/>
          <w:color w:val="auto"/>
        </w:rPr>
      </w:pPr>
      <w:r>
        <w:rPr>
          <w:rFonts w:ascii="Arial" w:cs="Arial" w:eastAsia="Arial" w:hAnsi="Arial"/>
          <w:sz w:val="18"/>
          <w:szCs w:val="18"/>
          <w:color w:val="auto"/>
        </w:rPr>
        <w:t>Discontinued operations are presented separate from continuing operations in the consolidated statement of operations and the consolidated statement of cash flows and represented a loss of $2,145,631. There were no proceeds received in connection with the discontinuation of the Oklahoma operation.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following table represents the financial results associated with discontinued operation as reflected in the Company’s condensed consolidated statements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1,861,758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2,022,721</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(1,367,699)</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(1,292,501)</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494,059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730,220</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1,054,339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1,058,679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57,043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119,578</w:t>
            </w: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98,195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104,630</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1,209,577</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1,282,887</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before taxes and non-controlling interest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(715,518)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(552,667)</w:t>
            </w: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non-controlling interest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(715,518)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(552,667)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Lees amount attributable to non-controlling interest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536,639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414,500</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 net of tax</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(1,966,751)</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attributed to Verano Holdings, LLC and Subsidiaries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(2,145,631</w:t>
            </w:r>
            <w:r>
              <w:rPr>
                <w:rFonts w:ascii="Arial" w:cs="Arial" w:eastAsia="Arial" w:hAnsi="Arial"/>
                <w:sz w:val="29"/>
                <w:szCs w:val="29"/>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(138,167</w:t>
            </w:r>
            <w:r>
              <w:rPr>
                <w:rFonts w:ascii="Arial" w:cs="Arial" w:eastAsia="Arial" w:hAnsi="Arial"/>
                <w:sz w:val="29"/>
                <w:szCs w:val="29"/>
                <w:color w:val="auto"/>
                <w:vertAlign w:val="superscript"/>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tab/>
        <w:t>DECONSOLIDATION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In July 2020, the Company entered into an agreement to unwind its interest in Zen Leaf Retail PR, Inc. Accordingly, the Company does not exercise any control over this entity. As a result, the assets and liabilities of both entities have been derecognized from the consolidated statements of financial position, with a loss of $189,324 being recognized in the consolidated statements of operations.</w:t>
      </w:r>
    </w:p>
    <w:p>
      <w:pPr>
        <w:spacing w:after="0" w:line="184"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In February 2019, the Company entered into an agreement to unwind pending interests in United Development of Illinois, LLC and Union Group of Illinois, LLC. Accordingly, the Company does not exercise any control over these entities. As a result, the assets and liabilities of both entities have been derecognized from the consolidated statements of financial position, with a loss of $3,086,878 being recognized in the consolidated statements of operations. This amount included a cash payment of $775,000.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5.</w:t>
            </w:r>
          </w:p>
        </w:tc>
        <w:tc>
          <w:tcPr>
            <w:tcW w:w="84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INVENTORIES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The Company’s inventories consist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4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566,352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46,586,170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10,373,918</w:t>
            </w: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12,703,895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3,133,094</w:t>
            </w:r>
          </w:p>
        </w:tc>
        <w:tc>
          <w:tcPr>
            <w:tcW w:w="0" w:type="dxa"/>
            <w:vAlign w:val="bottom"/>
          </w:tcPr>
          <w:p>
            <w:pPr>
              <w:spacing w:after="0"/>
              <w:rPr>
                <w:sz w:val="1"/>
                <w:szCs w:val="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8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59,290,065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14,073,364</w:t>
            </w:r>
          </w:p>
        </w:tc>
        <w:tc>
          <w:tcPr>
            <w:tcW w:w="0" w:type="dxa"/>
            <w:vAlign w:val="bottom"/>
          </w:tcPr>
          <w:p>
            <w:pPr>
              <w:spacing w:after="0"/>
              <w:rPr>
                <w:sz w:val="1"/>
                <w:szCs w:val="1"/>
                <w:color w:val="auto"/>
              </w:rPr>
            </w:pPr>
          </w:p>
        </w:tc>
      </w:tr>
      <w:tr>
        <w:trPr>
          <w:trHeight w:val="21"/>
        </w:trPr>
        <w:tc>
          <w:tcPr>
            <w:tcW w:w="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w:t>
            </w:r>
          </w:p>
        </w:tc>
        <w:tc>
          <w:tcPr>
            <w:tcW w:w="84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BIOLOGICAL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40" w:type="dxa"/>
            <w:vAlign w:val="bottom"/>
            <w:tcBorders>
              <w:bottom w:val="single" w:sz="8" w:color="auto"/>
            </w:tcBorders>
            <w:vMerge w:val="continue"/>
          </w:tcPr>
          <w:p>
            <w:pPr>
              <w:spacing w:after="0"/>
              <w:rPr>
                <w:sz w:val="24"/>
                <w:szCs w:val="24"/>
                <w:color w:val="auto"/>
              </w:rPr>
            </w:pPr>
          </w:p>
        </w:tc>
        <w:tc>
          <w:tcPr>
            <w:tcW w:w="84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Biological assets consist of cannabis plants. At December 31, 2020 and December 31, 2019, the changes in the carrying value of biological assets are shown below:</w:t>
      </w:r>
    </w:p>
    <w:p>
      <w:pPr>
        <w:sectPr>
          <w:pgSz w:w="11900" w:h="16838" w:orient="portrait"/>
          <w:cols w:equalWidth="0" w:num="1">
            <w:col w:w="11240"/>
          </w:cols>
          <w:pgMar w:left="320" w:top="904" w:right="339" w:bottom="1440"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Harvest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42607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Costs incurred prior to harvest to facilitate biological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 on fair value of biological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Transferred to inventory upon harvest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bl>
    <w:p>
      <w:pPr>
        <w:spacing w:after="0" w:line="215" w:lineRule="exact"/>
        <w:rPr>
          <w:sz w:val="20"/>
          <w:szCs w:val="20"/>
          <w:color w:val="auto"/>
        </w:rPr>
      </w:pPr>
    </w:p>
    <w:p>
      <w:pPr>
        <w:ind w:left="325" w:hanging="325"/>
        <w:spacing w:after="0"/>
        <w:tabs>
          <w:tab w:leader="none" w:pos="325" w:val="left"/>
        </w:tabs>
        <w:numPr>
          <w:ilvl w:val="0"/>
          <w:numId w:val="35"/>
        </w:numPr>
        <w:rPr>
          <w:rFonts w:ascii="Arial" w:cs="Arial" w:eastAsia="Arial" w:hAnsi="Arial"/>
          <w:sz w:val="17"/>
          <w:szCs w:val="17"/>
          <w:color w:val="auto"/>
        </w:rPr>
      </w:pPr>
      <w:r>
        <w:rPr>
          <w:rFonts w:ascii="Arial" w:cs="Arial" w:eastAsia="Arial" w:hAnsi="Arial"/>
          <w:sz w:val="17"/>
          <w:szCs w:val="17"/>
          <w:color w:val="auto"/>
        </w:rPr>
        <w:t>16,613,392   $   10,675,028</w:t>
      </w:r>
    </w:p>
    <w:p>
      <w:pPr>
        <w:spacing w:after="0" w:line="34" w:lineRule="exact"/>
        <w:rPr>
          <w:rFonts w:ascii="Arial" w:cs="Arial" w:eastAsia="Arial" w:hAnsi="Arial"/>
          <w:sz w:val="17"/>
          <w:szCs w:val="17"/>
          <w:color w:val="auto"/>
        </w:rPr>
      </w:pPr>
    </w:p>
    <w:p>
      <w:pPr>
        <w:ind w:left="325"/>
        <w:spacing w:after="0"/>
        <w:rPr>
          <w:rFonts w:ascii="Arial" w:cs="Arial" w:eastAsia="Arial" w:hAnsi="Arial"/>
          <w:sz w:val="17"/>
          <w:szCs w:val="17"/>
          <w:color w:val="auto"/>
        </w:rPr>
      </w:pPr>
      <w:r>
        <w:rPr>
          <w:rFonts w:ascii="Arial" w:cs="Arial" w:eastAsia="Arial" w:hAnsi="Arial"/>
          <w:sz w:val="18"/>
          <w:szCs w:val="18"/>
          <w:color w:val="auto"/>
        </w:rPr>
        <w:t>55,535,842</w:t>
      </w:r>
      <w:r>
        <w:rPr>
          <w:rFonts w:ascii="Arial" w:cs="Arial" w:eastAsia="Arial" w:hAnsi="Arial"/>
          <w:sz w:val="16"/>
          <w:szCs w:val="16"/>
          <w:color w:val="auto"/>
        </w:rPr>
        <w:t>25,470,334</w:t>
      </w:r>
    </w:p>
    <w:p>
      <w:pPr>
        <w:spacing w:after="0" w:line="9" w:lineRule="exact"/>
        <w:rPr>
          <w:sz w:val="20"/>
          <w:szCs w:val="20"/>
          <w:color w:val="auto"/>
        </w:rPr>
      </w:pPr>
    </w:p>
    <w:p>
      <w:pPr>
        <w:ind w:left="225"/>
        <w:spacing w:after="0"/>
        <w:tabs>
          <w:tab w:leader="none" w:pos="1625" w:val="left"/>
        </w:tabs>
        <w:rPr>
          <w:sz w:val="20"/>
          <w:szCs w:val="20"/>
          <w:color w:val="auto"/>
        </w:rPr>
      </w:pPr>
      <w:r>
        <w:rPr>
          <w:rFonts w:ascii="Arial" w:cs="Arial" w:eastAsia="Arial" w:hAnsi="Arial"/>
          <w:sz w:val="17"/>
          <w:szCs w:val="17"/>
          <w:color w:val="auto"/>
        </w:rPr>
        <w:t>254,154,780</w:t>
      </w:r>
      <w:r>
        <w:rPr>
          <w:sz w:val="20"/>
          <w:szCs w:val="20"/>
          <w:color w:val="auto"/>
        </w:rPr>
        <w:tab/>
      </w:r>
      <w:r>
        <w:rPr>
          <w:rFonts w:ascii="Arial" w:cs="Arial" w:eastAsia="Arial" w:hAnsi="Arial"/>
          <w:sz w:val="17"/>
          <w:szCs w:val="17"/>
          <w:color w:val="auto"/>
        </w:rPr>
        <w:t>44,539,847</w:t>
      </w:r>
    </w:p>
    <w:p>
      <w:pPr>
        <w:spacing w:after="0" w:line="21" w:lineRule="exact"/>
        <w:rPr>
          <w:sz w:val="20"/>
          <w:szCs w:val="20"/>
          <w:color w:val="auto"/>
        </w:rPr>
      </w:pPr>
    </w:p>
    <w:p>
      <w:pPr>
        <w:ind w:left="165"/>
        <w:spacing w:after="0"/>
        <w:tabs>
          <w:tab w:leader="none" w:pos="1565" w:val="left"/>
        </w:tabs>
        <w:rPr>
          <w:sz w:val="20"/>
          <w:szCs w:val="20"/>
          <w:color w:val="auto"/>
        </w:rPr>
      </w:pPr>
      <w:r>
        <w:rPr>
          <w:rFonts w:ascii="Arial" w:cs="Arial" w:eastAsia="Arial" w:hAnsi="Arial"/>
          <w:sz w:val="18"/>
          <w:szCs w:val="18"/>
          <w:color w:val="auto"/>
        </w:rPr>
        <w:t>(216,927,447)</w:t>
      </w:r>
      <w:r>
        <w:rPr>
          <w:sz w:val="20"/>
          <w:szCs w:val="20"/>
          <w:color w:val="auto"/>
        </w:rPr>
        <w:tab/>
      </w:r>
      <w:r>
        <w:rPr>
          <w:rFonts w:ascii="Arial" w:cs="Arial" w:eastAsia="Arial" w:hAnsi="Arial"/>
          <w:sz w:val="16"/>
          <w:szCs w:val="16"/>
          <w:color w:val="auto"/>
        </w:rPr>
        <w:t>(64,071,817)</w:t>
      </w:r>
    </w:p>
    <w:p>
      <w:pPr>
        <w:spacing w:after="0" w:line="292" w:lineRule="exact"/>
        <w:rPr>
          <w:sz w:val="20"/>
          <w:szCs w:val="20"/>
          <w:color w:val="auto"/>
        </w:rPr>
      </w:pPr>
    </w:p>
    <w:p>
      <w:pPr>
        <w:ind w:left="5"/>
        <w:spacing w:after="0"/>
        <w:tabs>
          <w:tab w:leader="none" w:pos="205" w:val="left"/>
          <w:tab w:leader="none" w:pos="1325" w:val="left"/>
          <w:tab w:leader="none" w:pos="1625" w:val="left"/>
        </w:tabs>
        <w:rPr>
          <w:sz w:val="20"/>
          <w:szCs w:val="20"/>
          <w:color w:val="auto"/>
        </w:rPr>
      </w:pPr>
      <w:r>
        <w:rPr>
          <w:rFonts w:ascii="Arial" w:cs="Arial" w:eastAsia="Arial" w:hAnsi="Arial"/>
          <w:sz w:val="18"/>
          <w:szCs w:val="18"/>
          <w:u w:val="single" w:color="auto"/>
          <w:color w:val="auto"/>
        </w:rPr>
        <w:t>$</w:t>
        <w:tab/>
        <w:t>109,376,567</w:t>
        <w:tab/>
        <w:t>$</w:t>
      </w:r>
      <w:r>
        <w:rPr>
          <w:sz w:val="20"/>
          <w:szCs w:val="20"/>
          <w:color w:val="auto"/>
        </w:rPr>
        <w:tab/>
      </w:r>
      <w:r>
        <w:rPr>
          <w:rFonts w:ascii="Arial" w:cs="Arial" w:eastAsia="Arial" w:hAnsi="Arial"/>
          <w:sz w:val="16"/>
          <w:szCs w:val="16"/>
          <w:u w:val="single" w:color="auto"/>
          <w:color w:val="auto"/>
        </w:rPr>
        <w:t>16,613,392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56019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904" w:right="339" w:bottom="1440" w:gutter="0" w:footer="0" w:header="0"/>
          <w:type w:val="continuous"/>
        </w:sectPr>
      </w:pPr>
    </w:p>
    <w:p>
      <w:pPr>
        <w:spacing w:after="0" w:line="93" w:lineRule="exact"/>
        <w:rPr>
          <w:sz w:val="20"/>
          <w:szCs w:val="20"/>
          <w:color w:val="auto"/>
        </w:rPr>
      </w:pPr>
    </w:p>
    <w:p>
      <w:pPr>
        <w:jc w:val="both"/>
        <w:ind w:left="660" w:right="260"/>
        <w:spacing w:after="0" w:line="263" w:lineRule="auto"/>
        <w:rPr>
          <w:sz w:val="20"/>
          <w:szCs w:val="20"/>
          <w:color w:val="auto"/>
        </w:rPr>
      </w:pPr>
      <w:r>
        <w:rPr>
          <w:rFonts w:ascii="Arial" w:cs="Arial" w:eastAsia="Arial" w:hAnsi="Arial"/>
          <w:sz w:val="18"/>
          <w:szCs w:val="18"/>
          <w:color w:val="auto"/>
        </w:rPr>
        <w:t>The Company values its biological assets at the end of each reporting period at fair value less costs to sell. This is determined using a valuation model to estimate the expected harvest yield per plant applied to the estimated price per gram less processing and selling costs. This model also considers the progress in the plant life cycle.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has made the following estimates in this valuation model:</w:t>
      </w:r>
    </w:p>
    <w:p>
      <w:pPr>
        <w:spacing w:after="0" w:line="225"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average number of weeks in the growing cycle is nineteen weeks from propagation to harvest;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average harvest yield of whole flower is 320.26 grams per plant (292 grams – 2019);</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average selling price of whole flower is $6.98 per gram ($6.12 per gram – 2019);</w:t>
      </w:r>
    </w:p>
    <w:p>
      <w:pPr>
        <w:spacing w:after="0" w:line="9" w:lineRule="exact"/>
        <w:rPr>
          <w:rFonts w:ascii="Arial" w:cs="Arial" w:eastAsia="Arial" w:hAnsi="Arial"/>
          <w:sz w:val="18"/>
          <w:szCs w:val="18"/>
          <w:color w:val="auto"/>
        </w:rPr>
      </w:pPr>
    </w:p>
    <w:p>
      <w:pPr>
        <w:ind w:left="1300" w:right="100" w:hanging="320"/>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Processing costs include drying and curing, testing and packaging, post-harvest overhead allocation, and oil extraction costs estimated to be $0.57 per gram ($0.70 per gram – 2019); and</w:t>
      </w: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Selling costs include shipping, order fulfillment, and labelling, estimated to be $0.12 per gram ($0.12 per gram - 2019).</w:t>
      </w:r>
    </w:p>
    <w:p>
      <w:pPr>
        <w:spacing w:after="0" w:line="211" w:lineRule="exact"/>
        <w:rPr>
          <w:sz w:val="20"/>
          <w:szCs w:val="20"/>
          <w:color w:val="auto"/>
        </w:rPr>
      </w:pPr>
    </w:p>
    <w:p>
      <w:pPr>
        <w:ind w:left="660" w:right="160"/>
        <w:spacing w:after="0" w:line="308" w:lineRule="auto"/>
        <w:rPr>
          <w:sz w:val="20"/>
          <w:szCs w:val="20"/>
          <w:color w:val="auto"/>
        </w:rPr>
      </w:pPr>
      <w:r>
        <w:rPr>
          <w:rFonts w:ascii="Arial" w:cs="Arial" w:eastAsia="Arial" w:hAnsi="Arial"/>
          <w:sz w:val="17"/>
          <w:szCs w:val="17"/>
          <w:color w:val="auto"/>
        </w:rPr>
        <w:t>The estimates of growing cycle, harvest yield, and costs per gram are based on the Company’s historical results. The estimate of the selling price per gram is based on the Company’s historical sales in addition to the Company’s expected sales price going forward.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BIOLOGICAL ASSETS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has quantified the sensitivity of the inputs, and determined the following:</w:t>
      </w:r>
    </w:p>
    <w:p>
      <w:pPr>
        <w:spacing w:after="0" w:line="225" w:lineRule="exact"/>
        <w:rPr>
          <w:sz w:val="20"/>
          <w:szCs w:val="20"/>
          <w:color w:val="auto"/>
        </w:rPr>
      </w:pPr>
    </w:p>
    <w:p>
      <w:pPr>
        <w:ind w:left="1300" w:right="60" w:hanging="320"/>
        <w:spacing w:after="0" w:line="258"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Selling price per gram – an increase or decrease in the selling price per gram by 5% would result in an increase or decrease the fair value of biological assets by $6,321,578 ($1,030,145 – 2019).</w:t>
      </w:r>
    </w:p>
    <w:p>
      <w:pPr>
        <w:spacing w:after="0" w:line="1"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Harvest yield per plant – an increase or decrease in the harvest yield per plant of 5% would result in an increase or decrease the fair value of biological assets by $5,468,828 ($830,670 – 2019).</w:t>
      </w:r>
    </w:p>
    <w:p>
      <w:pPr>
        <w:ind w:left="1300" w:right="20" w:hanging="320"/>
        <w:spacing w:after="0" w:line="26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 of production per gram – an increase or decrease in the cost of production per gram by 5% would result in a decrease or increase the fair value of biological assets by $824,412 ($188,566 – 2019).</w:t>
      </w:r>
    </w:p>
    <w:p>
      <w:pPr>
        <w:spacing w:after="0" w:line="18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These inputs are level 3 on the fair value hierarchy, and are subject to volatility and several uncontrollable factors, which could significantly affect the fair value of biological assets in future periods.</w:t>
      </w:r>
    </w:p>
    <w:p>
      <w:pPr>
        <w:spacing w:after="0" w:line="170"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As of December 31, 2020 and December 31, 2019, the biological assets were on average, 34.1% and 41.3%, respectively, complete and the estimated fair value less costs to sell of dry cannabis was $4.69 and $3.51 per gram, respectively.</w:t>
      </w:r>
    </w:p>
    <w:p>
      <w:pPr>
        <w:spacing w:after="0" w:line="170"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As of December 31, 2020 and December 31, 2019, it is expected that the Company’s biological assets will ultimately yield approximately 43,488 and 7,588 kilograms of cannabis, respectively.</w:t>
      </w:r>
    </w:p>
    <w:p>
      <w:pPr>
        <w:spacing w:after="0" w:line="166"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The notes receivable consists of two secured promissory notes. The first note is a secured promissory note with SOL Global Investments Corp, a member of the Company (SOL Global Investments Corp holds 3,335,411 Class B Units) for an original amount of $5,000,000. The note was dated March 2019 and originally matured in September 2020. Interest of 10% per annum and principal are due at maturity. The note was amended in March 2020 to reduce the amount due by $300,000 and increase the interest rate to 15.25% in the event the interest was not paid in full on September 1, 2020. In September 2020, the note was amended to include specified payment dates through October 29, 2020 with interest due at 15.25% per annum. As of the December 31, 2020, the Company has received principal payments for $2,175,000 and has a remaining principal outstanding of $2,825,000 plus accrued interest.</w:t>
      </w:r>
    </w:p>
    <w:p>
      <w:pPr>
        <w:spacing w:after="0" w:line="177" w:lineRule="exact"/>
        <w:rPr>
          <w:sz w:val="20"/>
          <w:szCs w:val="20"/>
          <w:color w:val="auto"/>
        </w:rPr>
      </w:pPr>
    </w:p>
    <w:p>
      <w:pPr>
        <w:ind w:left="660" w:right="420"/>
        <w:spacing w:after="0" w:line="263" w:lineRule="auto"/>
        <w:rPr>
          <w:sz w:val="20"/>
          <w:szCs w:val="20"/>
          <w:color w:val="auto"/>
        </w:rPr>
      </w:pPr>
      <w:r>
        <w:rPr>
          <w:rFonts w:ascii="Arial" w:cs="Arial" w:eastAsia="Arial" w:hAnsi="Arial"/>
          <w:sz w:val="18"/>
          <w:szCs w:val="18"/>
          <w:color w:val="auto"/>
        </w:rPr>
        <w:t>The second note is a secured promissory note dated August 13, 2020 with an unrelated party for $180,000. The note is due and payable on or before the earlier of February 13, 2021 (which may be extended at the discretion of the lender until August 13, 2021) or such other date the principal amount becomes due and payable by acceleration after an event of default.</w:t>
      </w:r>
    </w:p>
    <w:p>
      <w:pPr>
        <w:spacing w:after="0" w:line="184"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As of December 31, 2020 and December 31, 2019, accrued interest on the aforementioned notes totaled $940,023 and $376,712, respectively, and is included in interest receivable.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and related accumulated depreciation consists of the following at December 31, 2020 and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12,137,559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6,707,177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15,223,120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8,727,420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5,258,417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3,028,537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3,330,685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1,646,157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88,329,837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56,081,457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Tools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27,237,388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14,691,284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850,080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564,578</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Assets Under Construction</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8,514,196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1,646,157</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 Property, Plant and Equipment, Gross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160,881,282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103,199,320</w:t>
            </w: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(17,743,697)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(8,819,576)</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143,137,585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94,379,744</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under construction represent construction in progress related to facilities not yet completed or otherwise not placed in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balances of property, plant and equipment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Property, Plant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Property, Plant</w:t>
            </w:r>
          </w:p>
        </w:tc>
      </w:tr>
      <w:tr>
        <w:trPr>
          <w:trHeight w:val="216"/>
        </w:trPr>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and</w:t>
            </w:r>
          </w:p>
        </w:tc>
      </w:tr>
      <w:tr>
        <w:trPr>
          <w:trHeight w:val="229"/>
        </w:trPr>
        <w:tc>
          <w:tcPr>
            <w:tcW w:w="7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Equipment,</w:t>
            </w: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Accumulated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Equipment,</w:t>
            </w:r>
          </w:p>
        </w:tc>
      </w:tr>
      <w:tr>
        <w:trPr>
          <w:trHeight w:val="241"/>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Depreciation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Net</w:t>
            </w:r>
          </w:p>
        </w:tc>
      </w:tr>
      <w:tr>
        <w:trPr>
          <w:trHeight w:val="216"/>
        </w:trPr>
        <w:tc>
          <w:tcPr>
            <w:tcW w:w="7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44,984,255</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(4,237,355</w:t>
            </w:r>
            <w:r>
              <w:rPr>
                <w:rFonts w:ascii="Arial" w:cs="Arial" w:eastAsia="Arial" w:hAnsi="Arial"/>
                <w:sz w:val="29"/>
                <w:szCs w:val="29"/>
                <w:color w:val="auto"/>
                <w:vertAlign w:val="superscript"/>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40,746,900</w:t>
            </w:r>
          </w:p>
        </w:tc>
      </w:tr>
      <w:tr>
        <w:trPr>
          <w:trHeight w:val="21"/>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65,673,552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65,673,552</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Property, plant and equipment from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144,698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144,698</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Disposals</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(7,603,185)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(7,603,185)</w:t>
            </w:r>
          </w:p>
        </w:tc>
      </w:tr>
      <w:tr>
        <w:trPr>
          <w:trHeight w:val="23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(4,582,221)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(4,582,221)</w:t>
            </w:r>
          </w:p>
        </w:tc>
      </w:tr>
      <w:tr>
        <w:trPr>
          <w:trHeight w:val="216"/>
        </w:trPr>
        <w:tc>
          <w:tcPr>
            <w:tcW w:w="7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103,199,320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(8,819,576</w:t>
            </w:r>
            <w:r>
              <w:rPr>
                <w:rFonts w:ascii="Arial" w:cs="Arial" w:eastAsia="Arial" w:hAnsi="Arial"/>
                <w:sz w:val="29"/>
                <w:szCs w:val="29"/>
                <w:color w:val="auto"/>
                <w:vertAlign w:val="superscript"/>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94,379,744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color w:val="auto"/>
        </w:rPr>
        <w:t>Additions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Disposals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deconsolidation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Depreciation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as of December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58,161,038</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57,173,786</w:t>
            </w:r>
          </w:p>
        </w:tc>
      </w:tr>
      <w:tr>
        <w:trPr>
          <w:trHeight w:val="403"/>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1,351,171</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1,351,171</w:t>
            </w:r>
          </w:p>
        </w:tc>
        <w:tc>
          <w:tcPr>
            <w:tcW w:w="60" w:type="dxa"/>
            <w:vAlign w:val="bottom"/>
          </w:tcPr>
          <w:p>
            <w:pPr>
              <w:spacing w:after="0"/>
              <w:rPr>
                <w:sz w:val="24"/>
                <w:szCs w:val="24"/>
                <w:color w:val="auto"/>
              </w:rPr>
            </w:pPr>
          </w:p>
        </w:tc>
      </w:tr>
      <w:tr>
        <w:trPr>
          <w:trHeight w:val="216"/>
        </w:trPr>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(11,246)</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(11,246)</w:t>
            </w:r>
          </w:p>
        </w:tc>
      </w:tr>
      <w:tr>
        <w:trPr>
          <w:trHeight w:val="230"/>
        </w:trPr>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(1,819,001)</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(1,819,001)</w:t>
            </w:r>
          </w:p>
        </w:tc>
      </w:tr>
      <w:tr>
        <w:trPr>
          <w:trHeight w:val="446"/>
        </w:trPr>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(8,924,121)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(8,924,121)</w:t>
            </w:r>
          </w:p>
        </w:tc>
      </w:tr>
      <w:tr>
        <w:trPr>
          <w:trHeight w:val="27"/>
        </w:trPr>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1180" w:type="dxa"/>
            <w:vAlign w:val="bottom"/>
          </w:tcPr>
          <w:p>
            <w:pPr>
              <w:jc w:val="right"/>
              <w:spacing w:after="0"/>
              <w:rPr>
                <w:sz w:val="20"/>
                <w:szCs w:val="20"/>
                <w:color w:val="auto"/>
              </w:rPr>
            </w:pPr>
            <w:r>
              <w:rPr>
                <w:rFonts w:ascii="Arial" w:cs="Arial" w:eastAsia="Arial" w:hAnsi="Arial"/>
                <w:sz w:val="18"/>
                <w:szCs w:val="18"/>
                <w:color w:val="auto"/>
                <w:w w:val="96"/>
              </w:rPr>
              <w:t>$  160,881,282</w:t>
            </w:r>
          </w:p>
        </w:tc>
        <w:tc>
          <w:tcPr>
            <w:tcW w:w="140" w:type="dxa"/>
            <w:vAlign w:val="bottom"/>
          </w:tcPr>
          <w:p>
            <w:pPr>
              <w:spacing w:after="0"/>
              <w:rPr>
                <w:sz w:val="24"/>
                <w:szCs w:val="24"/>
                <w:color w:val="auto"/>
              </w:rPr>
            </w:pPr>
          </w:p>
        </w:tc>
        <w:tc>
          <w:tcPr>
            <w:tcW w:w="1580" w:type="dxa"/>
            <w:vAlign w:val="bottom"/>
            <w:gridSpan w:val="5"/>
          </w:tcPr>
          <w:p>
            <w:pPr>
              <w:jc w:val="right"/>
              <w:ind w:right="100"/>
              <w:spacing w:after="0"/>
              <w:rPr>
                <w:sz w:val="20"/>
                <w:szCs w:val="20"/>
                <w:color w:val="auto"/>
              </w:rPr>
            </w:pPr>
            <w:r>
              <w:rPr>
                <w:rFonts w:ascii="Arial" w:cs="Arial" w:eastAsia="Arial" w:hAnsi="Arial"/>
                <w:sz w:val="18"/>
                <w:szCs w:val="18"/>
                <w:color w:val="auto"/>
              </w:rPr>
              <w:t>$  (17,743,697</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143,137,585</w:t>
            </w:r>
          </w:p>
        </w:tc>
        <w:tc>
          <w:tcPr>
            <w:tcW w:w="60" w:type="dxa"/>
            <w:vAlign w:val="bottom"/>
          </w:tcPr>
          <w:p>
            <w:pPr>
              <w:spacing w:after="0"/>
              <w:rPr>
                <w:sz w:val="24"/>
                <w:szCs w:val="24"/>
                <w:color w:val="auto"/>
              </w:rPr>
            </w:pP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-1190625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-916305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-641985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-350520</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000"/>
          </w:cols>
          <w:pgMar w:left="320" w:top="904" w:right="339" w:bottom="1440" w:gutter="0" w:footer="0" w:header="0"/>
          <w:type w:val="continuous"/>
        </w:sectPr>
      </w:pPr>
    </w:p>
    <w:p>
      <w:pPr>
        <w:spacing w:after="0" w:line="2"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For the years ended December 31, 2020 and 2019, depreciation expense totaled $8,147,233 and $3,284,380, respectively, was included in costs of goods sold.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65" w:lineRule="exact"/>
        <w:rPr>
          <w:rFonts w:ascii="Arial" w:cs="Arial" w:eastAsia="Arial" w:hAnsi="Arial"/>
          <w:sz w:val="18"/>
          <w:szCs w:val="18"/>
          <w:b w:val="1"/>
          <w:bCs w:val="1"/>
          <w:color w:val="auto"/>
        </w:rPr>
      </w:pPr>
    </w:p>
    <w:p>
      <w:pPr>
        <w:ind w:left="720" w:hanging="334"/>
        <w:spacing w:after="0"/>
        <w:tabs>
          <w:tab w:leader="none" w:pos="72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rFonts w:ascii="Arial" w:cs="Arial" w:eastAsia="Arial" w:hAnsi="Arial"/>
          <w:sz w:val="18"/>
          <w:szCs w:val="18"/>
          <w:b w:val="1"/>
          <w:bCs w:val="1"/>
          <w:color w:val="auto"/>
        </w:rPr>
      </w:pPr>
    </w:p>
    <w:p>
      <w:pPr>
        <w:ind w:left="7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April 2019, the Company entered into a definitive agreement with an unrelated party, AGG Wellness d/b/a Herban Legends of Towson (“Herban”). Herban holds a medical cannabis license in Towson, Maryland. Pursuant to the terms of the transaction, Verano, through wholly-owned subsidiary Zen Leaf Technologies, LLC, also entered into a management and administrative services agreement with Herban in exchange for a placement fee equal to $2,500,000 in cash and $1,800,000 in stock of PubCo of the acquirer of Verano if Verano is sold prior to going public. Cash consideration transferred totaled $3,300,000, which was paid during 2019. At December 31, 2020, the Company owed $630,000, of which $430,000 was paid in January 2021. The final payment of $200,000 will be paid upon final closing. Based on the funding and providing of services, the Company determined that control was transferred at the closing and accounted for the transaction as an asset acquisition with the application of the IFRS 3 Amendment.</w:t>
      </w:r>
    </w:p>
    <w:p>
      <w:pPr>
        <w:spacing w:after="0" w:line="178" w:lineRule="exact"/>
        <w:rPr>
          <w:rFonts w:ascii="Arial" w:cs="Arial" w:eastAsia="Arial" w:hAnsi="Arial"/>
          <w:sz w:val="18"/>
          <w:szCs w:val="18"/>
          <w:b w:val="1"/>
          <w:bCs w:val="1"/>
          <w:color w:val="auto"/>
        </w:rPr>
      </w:pPr>
    </w:p>
    <w:p>
      <w:pPr>
        <w:ind w:left="72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In April 2019, a Company affiliate entered into a definitive agreement to purchase an unrelated party, Magpie Management, LLC (“Magpie”). Magpie, through various subsidiaries, owns two medical cannabis commercial grower licenses, one medical cannabis commercial processing license, and three medical cannabis commercial dispensary licenses in the State of Oklahoma. The transaction provided for the Company’s affiliate to purchase 25% of the issued and outstanding membership interested of Magpie, as well as other commercial arrangements. Consideration for the transaction totaled $1,000,000, which had not been paid in full as of the date of this report. The Company determined that control was transferred at the closing and accounted for the transaction as a business acquisition in accordance with IFRS 3,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p>
    <w:p>
      <w:pPr>
        <w:spacing w:after="0" w:line="194" w:lineRule="exact"/>
        <w:rPr>
          <w:rFonts w:ascii="Arial" w:cs="Arial" w:eastAsia="Arial" w:hAnsi="Arial"/>
          <w:sz w:val="18"/>
          <w:szCs w:val="18"/>
          <w:b w:val="1"/>
          <w:bCs w:val="1"/>
          <w:color w:val="auto"/>
        </w:rPr>
      </w:pPr>
    </w:p>
    <w:p>
      <w:pPr>
        <w:ind w:left="72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July 2020, the Company acquired an additional 50% ownership interest in a Las Vegas real estate entity which provided the Company with a controlling interest and was accounted for as a business acquisition in accordance with IFRS,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purchase price was allocated to the building and land, which totaled $1,160,000. Consideration included cash of $230,000 and a note payable of $350,000 (Note 11). A gain on the previously held equity interest was recognized for $458,039. Acquisition costs, which are expensed as incurred, were not significant and were excluded from the consideration transferred.</w:t>
      </w:r>
    </w:p>
    <w:p>
      <w:pPr>
        <w:spacing w:after="0" w:line="187" w:lineRule="exact"/>
        <w:rPr>
          <w:rFonts w:ascii="Arial" w:cs="Arial" w:eastAsia="Arial" w:hAnsi="Arial"/>
          <w:sz w:val="18"/>
          <w:szCs w:val="18"/>
          <w:b w:val="1"/>
          <w:bCs w:val="1"/>
          <w:color w:val="auto"/>
        </w:rPr>
      </w:pPr>
    </w:p>
    <w:p>
      <w:pPr>
        <w:ind w:left="720" w:right="2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In July 2020, the Company entered into a membership interest purchase agreement to acquire, upon the satisfaction of certain conditions precedent, 100% of a dispensary located in Illinois. The total purchase price was $20,000,000 plus a $31,151 working capital adjustment. The Company paid $10,000,000 in July 2020 and an additional $8,000,000 was paid in November 2020. The remaining purchase price will be paid pursuant to the membership interest purchase agreement. Verano, through a subsidiary, also entered into a management and administrative services agreement. Based on the funding and providing of services, the Company determined that control was transferred at the closing and accounted for the transaction as a business acquisition in accordance with IFRS 3,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and consolidated the seller as of July 2020. Acquisition costs, which are expensed as incurred, were not significant and were excluded from the consideration transferred.</w:t>
      </w:r>
    </w:p>
    <w:p>
      <w:pPr>
        <w:spacing w:after="0" w:line="166" w:lineRule="exact"/>
        <w:rPr>
          <w:rFonts w:ascii="Arial" w:cs="Arial" w:eastAsia="Arial" w:hAnsi="Arial"/>
          <w:sz w:val="18"/>
          <w:szCs w:val="18"/>
          <w:b w:val="1"/>
          <w:bCs w:val="1"/>
          <w:color w:val="auto"/>
        </w:rPr>
      </w:pPr>
    </w:p>
    <w:p>
      <w:pPr>
        <w:ind w:left="72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In December 2020, the Company entered into a membership interest purchase agreement to acquire, upon the satisfaction of certain conditions precedent, 100% of a dispensary located in Illinois. The total undiscounted purchase price was $22,347,011 plus a $315,065 working capital adjustment. The Company paid $5,347,011 in December 2020. The remaining purchase price will be paid pursuant to the membership interest purchase agreement. Verano, through a subsidiary, also entered into a management and administrative services agreement. Based on the funding and providing of services, the Company determined that control was transferred at the closing and accounted for the transaction as a business acquisition in accordance with IFRS 3,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and consolidated the seller as of December 2020. Acquisition costs, which are expensed as incurred, were not significant and were excluded from the consideration transferred.</w:t>
      </w:r>
    </w:p>
    <w:p>
      <w:pPr>
        <w:spacing w:after="0" w:line="382" w:lineRule="exact"/>
        <w:rPr>
          <w:rFonts w:ascii="Arial" w:cs="Arial" w:eastAsia="Arial" w:hAnsi="Arial"/>
          <w:sz w:val="18"/>
          <w:szCs w:val="18"/>
          <w:b w:val="1"/>
          <w:bCs w:val="1"/>
          <w:color w:val="auto"/>
        </w:rPr>
      </w:pPr>
    </w:p>
    <w:p>
      <w:pPr>
        <w:ind w:left="5540" w:hanging="111"/>
        <w:spacing w:after="0"/>
        <w:tabs>
          <w:tab w:leader="none" w:pos="55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-6045200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right="30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purchase price allocation for the acquisitions, as set forth in the table below, reflects various fair value estimates and analyses which are subject to change within the measurement period. The primary areas of the purchase price allocation that are subject to change relate to the fair value of certain tangible assets, the value of intangible assets acquired, and residual goodwill. The Company expects to continue to obtain information to assist in determining the fair value of the net assets acquired at the acquisition date during the measurement period.</w:t>
      </w:r>
    </w:p>
    <w:p>
      <w:pPr>
        <w:spacing w:after="0" w:line="157" w:lineRule="exact"/>
        <w:rPr>
          <w:rFonts w:ascii="Arial" w:cs="Arial" w:eastAsia="Arial" w:hAnsi="Arial"/>
          <w:sz w:val="18"/>
          <w:szCs w:val="18"/>
          <w:b w:val="1"/>
          <w:bCs w:val="1"/>
          <w:color w:val="auto"/>
        </w:rPr>
      </w:pPr>
    </w:p>
    <w:p>
      <w:pPr>
        <w:ind w:left="660" w:right="3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Measurement period adjustments that the Company determined to be material will be applied retrospectively to the period of acquisition in the Company’s consolidated financial statements, and depending on the nature of the adjustments, other periods subsequent to the period of acquisition could be affected. The measurement period ends one year subsequent to the acquisition date.</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the provisional accounting estimates of the acquisition that occurred during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-1778635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Evanston</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Elevele</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7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328,722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1,034,790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1,363,512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552,633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431,040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983,673</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366,081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369,435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1,053,404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38,079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1,091,483</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43,791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(940,702)</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(1,108,987)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(2,049,689)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(5,766,702)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(6,548,193)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(12,314,895)</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(122,779)</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(68,451)</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(191,230)</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identifiable net assets (liabilities)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(4,892,070)</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(5,811,850)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(10,703,920)</w:t>
            </w: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24,923,221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28,112,566</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53,035,787</w:t>
            </w: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20,031,151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22,300,716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42,331,867</w:t>
            </w: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5,347,011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23,347,011</w:t>
            </w: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Acquisition price payable</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2,031,151</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16,953,705</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18,984,856</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20,031,151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22,300,716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42,331,867</w:t>
            </w:r>
          </w:p>
        </w:tc>
        <w:tc>
          <w:tcPr>
            <w:tcW w:w="10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spacing w:after="0" w:line="275" w:lineRule="auto"/>
        <w:rPr>
          <w:sz w:val="20"/>
          <w:szCs w:val="20"/>
          <w:color w:val="auto"/>
        </w:rPr>
      </w:pPr>
      <w:r>
        <w:rPr>
          <w:rFonts w:ascii="Arial" w:cs="Arial" w:eastAsia="Arial" w:hAnsi="Arial"/>
          <w:sz w:val="17"/>
          <w:szCs w:val="17"/>
          <w:color w:val="auto"/>
        </w:rPr>
        <w:t>In addition to the acquisitions noted above, a Company affiliate entered into a membership purchase agreement with a licensee in Maryland which would allow the Company to process medical marijuana in Maryland. The Company analyzed the transactions and recorded the transaction as a business combination. The total purchase price was $6,900,000 and $1,050,000 was paid in December 2020. The Company recognized a license in the amount of $6,640,312 and tools and equipment in the amount of $259,688, which are included in the intangible assets and property, plant and equipment, respectively, of the consolidated statements of financial position.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92" w:lineRule="exact"/>
        <w:rPr>
          <w:rFonts w:ascii="Arial" w:cs="Arial" w:eastAsia="Arial" w:hAnsi="Arial"/>
          <w:sz w:val="18"/>
          <w:szCs w:val="18"/>
          <w:b w:val="1"/>
          <w:bCs w:val="1"/>
          <w:color w:val="auto"/>
        </w:rPr>
      </w:pPr>
    </w:p>
    <w:p>
      <w:pPr>
        <w:ind w:left="660" w:hanging="328"/>
        <w:spacing w:after="0"/>
        <w:tabs>
          <w:tab w:leader="none" w:pos="660"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final accounting estimates of the acquisitions that occurred during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-568960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AGG Wellness </w:t>
            </w:r>
            <w:r>
              <w:rPr>
                <w:rFonts w:ascii="Arial" w:cs="Arial" w:eastAsia="Arial" w:hAnsi="Arial"/>
                <w:sz w:val="18"/>
                <w:szCs w:val="18"/>
                <w:b w:val="1"/>
                <w:bCs w:val="1"/>
                <w:i w:val="1"/>
                <w:iCs w:val="1"/>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 xml:space="preserve">Magpie </w:t>
            </w:r>
            <w:r>
              <w:rPr>
                <w:rFonts w:ascii="Arial" w:cs="Arial" w:eastAsia="Arial" w:hAnsi="Arial"/>
                <w:sz w:val="18"/>
                <w:szCs w:val="18"/>
                <w:b w:val="1"/>
                <w:bCs w:val="1"/>
                <w:i w:val="1"/>
                <w:iCs w:val="1"/>
                <w:color w:val="auto"/>
                <w:w w:val="94"/>
              </w:rPr>
              <w:t>(2)</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7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61,003</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237,352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537,352</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34,502</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144,698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144,698</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457,046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856,910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1,313,956</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(197,693)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(197,693)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(1,293,435)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(1,293,435)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(457,046)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(856,910)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(1,313,956)</w:t>
            </w:r>
          </w:p>
        </w:tc>
      </w:tr>
      <w:tr>
        <w:trPr>
          <w:trHeight w:val="23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(2,400,000)</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(2,700,00)</w:t>
            </w:r>
          </w:p>
        </w:tc>
      </w:tr>
      <w:tr>
        <w:trPr>
          <w:trHeight w:val="216"/>
        </w:trPr>
        <w:tc>
          <w:tcPr>
            <w:tcW w:w="7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 (liabilities)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(1,293,435)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(2,120,138)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(3,413,573)</w:t>
            </w: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5,793,435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3,120,138</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8,913,573</w:t>
            </w:r>
          </w:p>
        </w:tc>
      </w:tr>
      <w:tr>
        <w:trPr>
          <w:trHeight w:val="216"/>
        </w:trPr>
        <w:tc>
          <w:tcPr>
            <w:tcW w:w="7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1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5,500,00</w:t>
            </w:r>
          </w:p>
        </w:tc>
      </w:tr>
      <w:tr>
        <w:trPr>
          <w:trHeight w:val="216"/>
        </w:trPr>
        <w:tc>
          <w:tcPr>
            <w:tcW w:w="7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Cash</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3,300,00</w:t>
            </w:r>
          </w:p>
        </w:tc>
      </w:tr>
      <w:tr>
        <w:trPr>
          <w:trHeight w:val="23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Acquisition price payable</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2,200,000</w:t>
            </w:r>
          </w:p>
        </w:tc>
      </w:tr>
      <w:tr>
        <w:trPr>
          <w:trHeight w:val="216"/>
        </w:trPr>
        <w:tc>
          <w:tcPr>
            <w:tcW w:w="7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620" w:right="300" w:hanging="316"/>
        <w:spacing w:after="0" w:line="259"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Acquisition accounted for as an asset acquisition with the application of the IFRS Amendment. During the measurement period a material deferred tax adjustment was identified related to the AGG Wellness acquisition in which a deferred tax liability and additional goodwill of $1,293,435 was recognized. The additional goodwill is reflected as a 2020 addition in the intangible assets and goodwill footnote (Note 10).</w:t>
      </w:r>
    </w:p>
    <w:p>
      <w:pPr>
        <w:spacing w:after="0" w:line="186" w:lineRule="exact"/>
        <w:rPr>
          <w:rFonts w:ascii="Arial" w:cs="Arial" w:eastAsia="Arial" w:hAnsi="Arial"/>
          <w:sz w:val="18"/>
          <w:szCs w:val="18"/>
          <w:color w:val="auto"/>
        </w:rPr>
      </w:pPr>
    </w:p>
    <w:p>
      <w:pPr>
        <w:ind w:left="1620" w:hanging="316"/>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Acquisition accounted for as a business combination under IFRS 3.</w:t>
      </w:r>
    </w:p>
    <w:p>
      <w:pPr>
        <w:spacing w:after="0" w:line="225"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Acquisition costs, which are expensed as incurred, were not significant and were excluded from the consideration transferred. The Magpie (Oklahoma) operation was discontinued during the third quarter of 2020 (Note 3).</w:t>
      </w:r>
    </w:p>
    <w:p>
      <w:pPr>
        <w:spacing w:after="0" w:line="166"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Licenses</w:t>
      </w:r>
    </w:p>
    <w:p>
      <w:pPr>
        <w:spacing w:after="0" w:line="229" w:lineRule="exact"/>
        <w:rPr>
          <w:rFonts w:ascii="Arial" w:cs="Arial" w:eastAsia="Arial" w:hAnsi="Arial"/>
          <w:sz w:val="18"/>
          <w:szCs w:val="18"/>
          <w:b w:val="1"/>
          <w:bCs w:val="1"/>
          <w:color w:val="auto"/>
        </w:rPr>
      </w:pPr>
    </w:p>
    <w:p>
      <w:pPr>
        <w:ind w:left="6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2020, a Company affiliate entered into consulting, licensing, or other contractual arrangements with licensees in Pennsylvania which would allow the Company to operate medical and/or recreational marijuana dispensaries in Pennsylvania. The Company analyzed the transactions and recorded the transactions as asset acquisitions. The Company capitalized the licenses in the amount of $7,000,000, which are included in the intangible assets on the consolidated statement of financial position. The Company entered into a secured promissory note of $3,163,000 in July and the remaining liability of seller financing was fully repaid ahead of the scheduled pay-off date. The payment was the final financial obligation remaining under the transaction documents.</w:t>
      </w:r>
    </w:p>
    <w:p>
      <w:pPr>
        <w:spacing w:after="0" w:line="200" w:lineRule="exact"/>
        <w:rPr>
          <w:rFonts w:ascii="Arial" w:cs="Arial" w:eastAsia="Arial" w:hAnsi="Arial"/>
          <w:sz w:val="18"/>
          <w:szCs w:val="18"/>
          <w:b w:val="1"/>
          <w:bCs w:val="1"/>
          <w:color w:val="auto"/>
        </w:rPr>
      </w:pPr>
    </w:p>
    <w:p>
      <w:pPr>
        <w:spacing w:after="0" w:line="208" w:lineRule="exact"/>
        <w:rPr>
          <w:rFonts w:ascii="Arial" w:cs="Arial" w:eastAsia="Arial" w:hAnsi="Arial"/>
          <w:sz w:val="18"/>
          <w:szCs w:val="18"/>
          <w:b w:val="1"/>
          <w:bCs w:val="1"/>
          <w:color w:val="auto"/>
        </w:rPr>
      </w:pPr>
    </w:p>
    <w:p>
      <w:pPr>
        <w:ind w:left="5540" w:hanging="111"/>
        <w:spacing w:after="0"/>
        <w:tabs>
          <w:tab w:leader="none" w:pos="5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2019, Company affiliates entered into consulting, licensing, or other contractual arrangements with licensees in Ohio and Michigan which would allow the Company to operate medical and/or recreational marijuana dispensaries in Ohio or Michigan. The Company analyzed the transactions and recorded the transactions as asset acquisitions. The Company capitalized the licenses in the amount of $3,996,707, which are included in the intangible assets on the consolidated statements of financial position. The Company had $60,185 payable as of December 31, 2019, which was paid in full in 2020. The Company determined that the acquired licenses have an indefinite life and are not subject to amortization.</w:t>
      </w:r>
    </w:p>
    <w:p>
      <w:pPr>
        <w:spacing w:after="0" w:line="188" w:lineRule="exact"/>
        <w:rPr>
          <w:rFonts w:ascii="Arial" w:cs="Arial" w:eastAsia="Arial" w:hAnsi="Arial"/>
          <w:sz w:val="18"/>
          <w:szCs w:val="18"/>
          <w:b w:val="1"/>
          <w:bCs w:val="1"/>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intangible assets and goodwill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Balance at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Additions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30"/>
        </w:trPr>
        <w:tc>
          <w:tcPr>
            <w:tcW w:w="12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Purchases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Acquisitions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Disposals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Indefinite Lives</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19,802,449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47,017,018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73,819,467</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78,000</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78,000</w:t>
            </w:r>
          </w:p>
        </w:tc>
      </w:tr>
      <w:tr>
        <w:trPr>
          <w:trHeight w:val="23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5,064,248</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13,952,516</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(2,987,861)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16,028,903</w:t>
            </w:r>
          </w:p>
        </w:tc>
      </w:tr>
      <w:tr>
        <w:trPr>
          <w:trHeight w:val="216"/>
        </w:trPr>
        <w:tc>
          <w:tcPr>
            <w:tcW w:w="12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24,944,697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60,969,534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(2,987,861</w:t>
            </w:r>
            <w:r>
              <w:rPr>
                <w:rFonts w:ascii="Arial" w:cs="Arial" w:eastAsia="Arial" w:hAnsi="Arial"/>
                <w:sz w:val="29"/>
                <w:szCs w:val="29"/>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89,926,370</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intangible assets and goodwill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Balance at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Additions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30"/>
        </w:trPr>
        <w:tc>
          <w:tcPr>
            <w:tcW w:w="12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Purchases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Acquisitions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Disposals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175"/>
        </w:trPr>
        <w:tc>
          <w:tcPr>
            <w:tcW w:w="46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Indefinite Lives</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22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12,575,742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8,496,707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19,802,449</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119,000</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78,000</w:t>
            </w:r>
          </w:p>
        </w:tc>
      </w:tr>
      <w:tr>
        <w:trPr>
          <w:trHeight w:val="237"/>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1,995,233</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3,120,138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(51,123)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5,064,248</w:t>
            </w:r>
          </w:p>
        </w:tc>
      </w:tr>
      <w:tr>
        <w:trPr>
          <w:trHeight w:val="216"/>
        </w:trPr>
        <w:tc>
          <w:tcPr>
            <w:tcW w:w="12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14,689,975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8,496,707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3,120,138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(1,362,123</w:t>
            </w:r>
            <w:r>
              <w:rPr>
                <w:rFonts w:ascii="Arial" w:cs="Arial" w:eastAsia="Arial" w:hAnsi="Arial"/>
                <w:sz w:val="29"/>
                <w:szCs w:val="29"/>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24,944,697</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1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- 33 -</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As of December 31, 2020 and December 31, 2019, notes payable consisted of the following:</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Credit agreement dated July 2, 2020 for an initial commitment of $20,000,000 issued to various investors under</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Chicago Atlantic GIC Advisers, LLC as administrative agent with an incremental loan not to exceed $10,000,000;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interest at 15.25% per annum matures June 2022. The Company was advanced $30,000,000 during the third quarter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of 2020. Debt issuance costs were reflected as a reduction of the carrying value of the long-term debt on the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Company’s consolidated statements of financial position and was amortized to interest expense over the term of the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note using the effective interest method. This note is guaranteed by a member. This note has prepayment penalties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mandatory prepayment as described in the note. The note holders have a first right of refusal to refinance the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note under substantially similar terms. The note is substantially collateralized by all the assets of the Company and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 subject to certain restrictive covenants as defined in the agreement.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   30,000,000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note dated November 25, 2019 for up to $20,000,000 issued to accredited investors; interest at 1.5% per</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month matures in August 2020 subject to an extension of six months or the completion of a transaction, if earlier.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The note was extended for six month and with a maturity in February 2021. The note was repaid in November 2020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when the holder elected to exercise their warrants. Refer to </w:t>
            </w:r>
            <w:r>
              <w:rPr>
                <w:rFonts w:ascii="Arial" w:cs="Arial" w:eastAsia="Arial" w:hAnsi="Arial"/>
                <w:sz w:val="18"/>
                <w:szCs w:val="18"/>
                <w:i w:val="1"/>
                <w:iCs w:val="1"/>
                <w:color w:val="auto"/>
              </w:rPr>
              <w:t>(c)</w:t>
            </w:r>
            <w:r>
              <w:rPr>
                <w:rFonts w:ascii="Arial" w:cs="Arial" w:eastAsia="Arial" w:hAnsi="Arial"/>
                <w:sz w:val="18"/>
                <w:szCs w:val="18"/>
                <w:color w:val="auto"/>
              </w:rPr>
              <w:t xml:space="preserve"> below.</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5,100,000</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note dated November 25, 2019 for $5,000,000 issued to accredited investors; interest at 1.5% per month</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matures in August 2020 subject to an extension of six months or the completion of a transaction, if earlier. Principal</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and interest is due on the maturity date. The note was extended for six month and matures in February 2021. Refer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i w:val="1"/>
                <w:iCs w:val="1"/>
                <w:color w:val="auto"/>
              </w:rPr>
              <w:t>(d)</w:t>
            </w:r>
            <w:r>
              <w:rPr>
                <w:rFonts w:ascii="Arial" w:cs="Arial" w:eastAsia="Arial" w:hAnsi="Arial"/>
                <w:sz w:val="18"/>
                <w:szCs w:val="18"/>
                <w:color w:val="auto"/>
              </w:rPr>
              <w:t xml:space="preserve"> below.</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3,709,425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5,100,000</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Secured promissory notes dated February 13, 2019 for $3,412,500 issued to accredited investors; interest at 2.57%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compounded annually matures in February 2020. The note was amended in June 2020 and extended for six months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to August 2020 and is subject to four extension dates. The interest rate was also amended to bear interest at 6%</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from February to June 2020, 11% compounded annually until August 2020, 14% compounded annually until the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second extension date of February 2021, and 15.5% compounded annually for additional extension dates. Refer to</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xml:space="preserve">(b) </w:t>
            </w:r>
            <w:r>
              <w:rPr>
                <w:rFonts w:ascii="Arial" w:cs="Arial" w:eastAsia="Arial" w:hAnsi="Arial"/>
                <w:sz w:val="18"/>
                <w:szCs w:val="18"/>
                <w:color w:val="auto"/>
              </w:rPr>
              <w:t>below.</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3,412,500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3,412,500</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Promissory note secured by deed of trust dated May 15, 2020 for $1,473,922 issued to Eastern and Pebble, LLC; bears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at 4% per annum and matures on September 15,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856,594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Promissory note dated September 4, 2019 for up to $16,000,000 issued to accredited investors; interest at 5.0% per</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annum matures in September 2020 or upon the occurrence of a corporate transaction if earlier. Principal and interest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 due on the maturity date. The loan was repaid in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w:t>
            </w:r>
          </w:p>
        </w:tc>
      </w:tr>
      <w:tr>
        <w:trPr>
          <w:trHeight w:val="655"/>
        </w:trPr>
        <w:tc>
          <w:tcPr>
            <w:tcW w:w="8680" w:type="dxa"/>
            <w:vAlign w:val="bottom"/>
            <w:tcBorders>
              <w:bottom w:val="single" w:sz="8" w:color="auto"/>
            </w:tcBorders>
          </w:tcPr>
          <w:p>
            <w:pPr>
              <w:ind w:left="5420"/>
              <w:spacing w:after="0"/>
              <w:rPr>
                <w:sz w:val="20"/>
                <w:szCs w:val="20"/>
                <w:color w:val="auto"/>
              </w:rPr>
            </w:pPr>
            <w:r>
              <w:rPr>
                <w:rFonts w:ascii="Arial" w:cs="Arial" w:eastAsia="Arial" w:hAnsi="Arial"/>
                <w:sz w:val="18"/>
                <w:szCs w:val="18"/>
                <w:color w:val="auto"/>
              </w:rPr>
              <w:t>- 34 -</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 xml:space="preserve">As of December 31, 2020 and 2019, notes payable consisted of the following </w:t>
            </w:r>
            <w:r>
              <w:rPr>
                <w:rFonts w:ascii="Arial" w:cs="Arial" w:eastAsia="Arial" w:hAnsi="Arial"/>
                <w:sz w:val="18"/>
                <w:szCs w:val="18"/>
                <w:i w:val="1"/>
                <w:iCs w:val="1"/>
                <w:color w:val="auto"/>
              </w:rPr>
              <w:t>(Continued):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Promissory note dated July 31, 2017, in the original amount of $2,900,000 issued to an accredited investor; monthly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payment of $19,294 with a balloon payment of $2,493,308 due on August 1, 2027 including interest at 7.00% per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annum. Refer to </w:t>
            </w:r>
            <w:r>
              <w:rPr>
                <w:rFonts w:ascii="Arial" w:cs="Arial" w:eastAsia="Arial" w:hAnsi="Arial"/>
                <w:sz w:val="18"/>
                <w:szCs w:val="18"/>
                <w:i w:val="1"/>
                <w:iCs w:val="1"/>
                <w:color w:val="auto"/>
              </w:rPr>
              <w:t>(a)</w:t>
            </w:r>
            <w:r>
              <w:rPr>
                <w:rFonts w:ascii="Arial" w:cs="Arial" w:eastAsia="Arial" w:hAnsi="Arial"/>
                <w:sz w:val="18"/>
                <w:szCs w:val="18"/>
                <w:color w:val="auto"/>
              </w:rPr>
              <w:t xml:space="preserve"> below.</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2,790,274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2,827,924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Vehicle loan dated December 11, 2017, in the original amount of $17,709 issued to accredited investors; monthly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payment of $548, including interest at 6.94% and matures in December 2020. The loan was repaid in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Vehicle loan dated August 25, 2017, in the original amount of $18,966 issued to accredited investors; monthly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payment of $341, including interest at 2.99% and matures in September 2022. The loan was repaid in 2020.</w:t>
            </w: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Vehicle loan dated May 21, 2018, in the original amount of $18,247 issued to accredited investors; monthly payment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$563, including interest at 6.75% and matures in February 2021. The loan was repaid in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Promissory Note dated July 2, 2020, in the original amount of $350,000 issued to BB Marketing, LLC; matures in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2021; interest is due at 5% in the event of a default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unamortized debt issuance costs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(824,833)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Less: unamortized debt discount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(5,525,503)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unamortized debt discount - warrants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(4,405,756)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Notes Payable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40,293,910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14,366,667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Current Portion of Notes Payable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(7,814,261)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(8,153,234)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 and Unamortized Debt Issuance Costs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   32,479,649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6,213,433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60" w:type="dxa"/>
            <w:vAlign w:val="bottom"/>
            <w:tcBorders>
              <w:top w:val="single" w:sz="8" w:color="CCEEFF"/>
              <w:bottom w:val="single" w:sz="8" w:color="CCEEFF"/>
            </w:tcBorders>
            <w:vMerge w:val="restart"/>
          </w:tcPr>
          <w:p>
            <w:pPr>
              <w:ind w:left="5400"/>
              <w:spacing w:after="0"/>
              <w:rPr>
                <w:sz w:val="20"/>
                <w:szCs w:val="20"/>
                <w:color w:val="auto"/>
              </w:rPr>
            </w:pPr>
            <w:r>
              <w:rPr>
                <w:rFonts w:ascii="Arial" w:cs="Arial" w:eastAsia="Arial" w:hAnsi="Arial"/>
                <w:sz w:val="18"/>
                <w:szCs w:val="18"/>
                <w:color w:val="auto"/>
              </w:rPr>
              <w:t>- 35 -</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86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660"/>
              <w:spacing w:after="0"/>
              <w:rPr>
                <w:sz w:val="20"/>
                <w:szCs w:val="20"/>
                <w:color w:val="auto"/>
              </w:rPr>
            </w:pPr>
            <w:r>
              <w:rPr>
                <w:rFonts w:ascii="Arial" w:cs="Arial" w:eastAsia="Arial" w:hAnsi="Arial"/>
                <w:sz w:val="18"/>
                <w:szCs w:val="18"/>
                <w:color w:val="auto"/>
              </w:rPr>
              <w:t>Stated maturities of debt obligations are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Unamortized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Debt Issuance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Total Notes</w:t>
            </w: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Payments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Costs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Payable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8,365,694</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551,433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7,814,261</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30,039,862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273,450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29,766,412</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42,744</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45,834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45,834</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49,147</w:t>
            </w:r>
          </w:p>
        </w:tc>
        <w:tc>
          <w:tcPr>
            <w:tcW w:w="100" w:type="dxa"/>
            <w:vAlign w:val="bottom"/>
            <w:shd w:val="clear" w:color="auto" w:fill="CCEEFF"/>
          </w:tcPr>
          <w:p>
            <w:pPr>
              <w:spacing w:after="0"/>
              <w:rPr>
                <w:sz w:val="18"/>
                <w:szCs w:val="18"/>
                <w:color w:val="auto"/>
              </w:rPr>
            </w:pP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2,575,512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2,575,512</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41,118,793</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824,883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40,293,910</w:t>
            </w:r>
          </w:p>
        </w:tc>
        <w:tc>
          <w:tcPr>
            <w:tcW w:w="100" w:type="dxa"/>
            <w:vAlign w:val="bottom"/>
          </w:tcPr>
          <w:p>
            <w:pPr>
              <w:spacing w:after="0"/>
              <w:rPr>
                <w:sz w:val="22"/>
                <w:szCs w:val="22"/>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4"/>
        <w:spacing w:after="0" w:line="277" w:lineRule="auto"/>
        <w:tabs>
          <w:tab w:leader="none" w:pos="915"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The promissory note with an outstanding balance of $2,790,274 at December 31, 2020 is collateralized by certain real estate and improvements made to the property.</w:t>
      </w:r>
    </w:p>
    <w:p>
      <w:pPr>
        <w:spacing w:after="0" w:line="170" w:lineRule="exact"/>
        <w:rPr>
          <w:rFonts w:ascii="Arial" w:cs="Arial" w:eastAsia="Arial" w:hAnsi="Arial"/>
          <w:sz w:val="18"/>
          <w:szCs w:val="18"/>
          <w:i w:val="1"/>
          <w:iCs w:val="1"/>
          <w:color w:val="auto"/>
        </w:rPr>
      </w:pPr>
    </w:p>
    <w:p>
      <w:pPr>
        <w:ind w:left="660" w:right="60" w:hanging="4"/>
        <w:spacing w:after="0" w:line="277" w:lineRule="auto"/>
        <w:tabs>
          <w:tab w:leader="none" w:pos="915"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The two promissory notes which have convertible features, with an outstanding balance at December 31, 2020 of $3,412,500 are collateralized by the note holders’ units in DGV Group, LLC. These notes were repaid in full in February 2021.</w:t>
      </w:r>
    </w:p>
    <w:p>
      <w:pPr>
        <w:spacing w:after="0" w:line="170" w:lineRule="exact"/>
        <w:rPr>
          <w:rFonts w:ascii="Arial" w:cs="Arial" w:eastAsia="Arial" w:hAnsi="Arial"/>
          <w:sz w:val="18"/>
          <w:szCs w:val="18"/>
          <w:i w:val="1"/>
          <w:iCs w:val="1"/>
          <w:color w:val="auto"/>
        </w:rPr>
      </w:pPr>
    </w:p>
    <w:p>
      <w:pPr>
        <w:ind w:left="660" w:right="120" w:hanging="4"/>
        <w:spacing w:after="0" w:line="259" w:lineRule="auto"/>
        <w:tabs>
          <w:tab w:leader="none" w:pos="904"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In August 2018, the Company and ZenNorth, LLC entered into a $10,000,000 credit facility. The terms of the loan provide the Company with the facility at a rate of 1%, compounded monthly, with conversion options. The loan was to be made in several advances on or before December 31, 2018. No such advances were made. In connection with the credit facility, the Company issued a warrant for 424,242 Class B units at an exercise price of $7.14, with a term of 5 years.</w:t>
      </w:r>
    </w:p>
    <w:p>
      <w:pPr>
        <w:spacing w:after="0" w:line="187"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i w:val="1"/>
          <w:iCs w:val="1"/>
          <w:color w:val="auto"/>
        </w:rPr>
        <w:t xml:space="preserve">(c&amp;d) </w:t>
      </w:r>
      <w:r>
        <w:rPr>
          <w:rFonts w:ascii="Arial" w:cs="Arial" w:eastAsia="Arial" w:hAnsi="Arial"/>
          <w:sz w:val="18"/>
          <w:szCs w:val="18"/>
          <w:color w:val="auto"/>
        </w:rPr>
        <w:t>At the sole option of the lender or upon completion of a transaction, the convertible notes are convertible to equity. A total of $10,000,000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was advanced during 2019, of which $5,000,000 was advanced from ZenNorth, LLC and affiliates </w:t>
      </w:r>
      <w:r>
        <w:rPr>
          <w:rFonts w:ascii="Arial" w:cs="Arial" w:eastAsia="Arial" w:hAnsi="Arial"/>
          <w:sz w:val="18"/>
          <w:szCs w:val="18"/>
          <w:i w:val="1"/>
          <w:iCs w:val="1"/>
          <w:color w:val="auto"/>
        </w:rPr>
        <w:t>(c)</w:t>
      </w:r>
      <w:r>
        <w:rPr>
          <w:rFonts w:ascii="Arial" w:cs="Arial" w:eastAsia="Arial" w:hAnsi="Arial"/>
          <w:sz w:val="18"/>
          <w:szCs w:val="18"/>
          <w:color w:val="auto"/>
        </w:rPr>
        <w:t xml:space="preserve"> and $5,000,000 from the Company’s Chief Executive Officer </w:t>
      </w:r>
      <w:r>
        <w:rPr>
          <w:rFonts w:ascii="Arial" w:cs="Arial" w:eastAsia="Arial" w:hAnsi="Arial"/>
          <w:sz w:val="18"/>
          <w:szCs w:val="18"/>
          <w:i w:val="1"/>
          <w:iCs w:val="1"/>
          <w:color w:val="auto"/>
        </w:rPr>
        <w:t>(d)</w:t>
      </w:r>
      <w:r>
        <w:rPr>
          <w:rFonts w:ascii="Arial" w:cs="Arial" w:eastAsia="Arial" w:hAnsi="Arial"/>
          <w:sz w:val="18"/>
          <w:szCs w:val="18"/>
          <w:color w:val="auto"/>
        </w:rPr>
        <w:t>. Both advances had an origination fee of 2%, which is due in full on the maturity date. The origination fee was recorded as a reduction to the carrying value of the note payable. This reduction is recognized on a straight-line basis which approximates the effective interest rate method as interest expense. The charge to interest expense was $2,272,450 and $33,333 for the years ended December 31, 2020 and 2019, respectively.</w:t>
      </w:r>
    </w:p>
    <w:p>
      <w:pPr>
        <w:spacing w:after="0" w:line="192" w:lineRule="exact"/>
        <w:rPr>
          <w:sz w:val="20"/>
          <w:szCs w:val="20"/>
          <w:color w:val="auto"/>
        </w:rPr>
      </w:pPr>
    </w:p>
    <w:p>
      <w:pPr>
        <w:ind w:left="660" w:right="60"/>
        <w:spacing w:after="0" w:line="288" w:lineRule="auto"/>
        <w:rPr>
          <w:sz w:val="20"/>
          <w:szCs w:val="20"/>
          <w:color w:val="auto"/>
        </w:rPr>
      </w:pPr>
      <w:r>
        <w:rPr>
          <w:rFonts w:ascii="Arial" w:cs="Arial" w:eastAsia="Arial" w:hAnsi="Arial"/>
          <w:sz w:val="16"/>
          <w:szCs w:val="16"/>
          <w:i w:val="1"/>
          <w:iCs w:val="1"/>
          <w:color w:val="auto"/>
        </w:rPr>
        <w:t xml:space="preserve">(c&amp;d) </w:t>
      </w:r>
      <w:r>
        <w:rPr>
          <w:rFonts w:ascii="Arial" w:cs="Arial" w:eastAsia="Arial" w:hAnsi="Arial"/>
          <w:sz w:val="16"/>
          <w:szCs w:val="16"/>
          <w:color w:val="auto"/>
        </w:rPr>
        <w:t>Additionally, in connection with the convertible notes issued in 2019, the Company issued warrants to purchase 990,000 common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exercise price of $7.575 per share. The warrants have a three year term from the date of the closing. The Company determined the fair value of the warrants to be $5,061,933 using the Black -Scholes valuation model with a volatility of 85%, dividend yield of 0% and risk-free rate of 1.60%. A debt discount is reflected as a reduction of the carrying value of the note payable on the Company’s consolidated statements of financial position and is being amortized over the term of the notes. Amortization of the debt issuance cost for warrants was $4,405,756 and $656,177 for the years ended December 31, 2020 and December 31, 2019, respectively. The conversion feature was treated as an embedded derivative liability and did not require bifurcation, as such the entire amount was recorded as a liability. The warrants for 424,242 Class B units and 990,000 common shares were exercised for an exercise value of $3,029,088 and $7,499,250, respectively. The exercise proceeds were used to relieve the remaining debt outstanding with ZenNorth, LLC. The exercise proceeds for the Chief Executive Officer did not exceed the outstanding note balance, leaving an outstanding balance of $3,709,425 at December 31, 2020, which was repaid in full in February 2021.</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The Company issued two convertible notes for $10,000,000 in 2019 (Note 11). A reconciliation of the beginning and ending balances of the derivative liabilities for the periods ended December 31, 2020 and 2019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Derivative</w:t>
            </w: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Liability</w:t>
            </w:r>
          </w:p>
        </w:tc>
      </w:tr>
      <w:tr>
        <w:trPr>
          <w:trHeight w:val="216"/>
        </w:trPr>
        <w:tc>
          <w:tcPr>
            <w:tcW w:w="10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liabilities on issuance date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6,216,191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Additional issuance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change in derivative liability</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562,319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6,778,510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6,778,510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Additional issuance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Gain on derivative liability</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(6,778,510)</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1002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spacing w:after="0" w:line="301" w:lineRule="auto"/>
        <w:rPr>
          <w:sz w:val="20"/>
          <w:szCs w:val="20"/>
          <w:color w:val="auto"/>
        </w:rPr>
      </w:pPr>
      <w:r>
        <w:rPr>
          <w:rFonts w:ascii="Arial" w:cs="Arial" w:eastAsia="Arial" w:hAnsi="Arial"/>
          <w:sz w:val="16"/>
          <w:szCs w:val="16"/>
          <w:color w:val="auto"/>
        </w:rPr>
        <w:t>In accordance with IFRS, a contract to issue a variable number of equity shares fails to meet the definition of equity and must instead be classified as a derivative liability and measured at fair value with changes in fair value recognized in the consolidated statements of operations at each period-end. The derivative liability will ultimately be converted into the Company’s equity when the convertible notes payable is converted or will be extinguished on the repayment of the convertible notes payable and will not result in the outlay of any additional cash by the Company.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initial recognition, the Company recorded a derivative liability and debt discount of $3,126,285 in relation to the derivative liability portion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convertible notes. The Company had additional issuances through the remainder of 2019 that resulted in an additional debt discount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$3,089,906. The Company recorded $5,525,503 and $690,688 in amortization related to the debt discount for the years ended December 31, 2020</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December 31, 2019, respectively.</w:t>
      </w:r>
    </w:p>
    <w:p>
      <w:pPr>
        <w:spacing w:after="0" w:line="21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As of December 31, 2020, the Company had no probability of debt conversion. The Company adjusted the derivative liabilities and debt discount to reflect the outcome.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Members’ Equity</w:t>
      </w:r>
    </w:p>
    <w:p>
      <w:pPr>
        <w:spacing w:after="0" w:line="229" w:lineRule="exact"/>
        <w:rPr>
          <w:sz w:val="20"/>
          <w:szCs w:val="20"/>
          <w:color w:val="auto"/>
        </w:rPr>
      </w:pPr>
    </w:p>
    <w:p>
      <w:pPr>
        <w:ind w:left="660" w:right="340"/>
        <w:spacing w:after="0" w:line="342" w:lineRule="auto"/>
        <w:rPr>
          <w:sz w:val="20"/>
          <w:szCs w:val="20"/>
          <w:color w:val="auto"/>
        </w:rPr>
      </w:pPr>
      <w:r>
        <w:rPr>
          <w:rFonts w:ascii="Arial" w:cs="Arial" w:eastAsia="Arial" w:hAnsi="Arial"/>
          <w:sz w:val="16"/>
          <w:szCs w:val="16"/>
          <w:color w:val="auto"/>
        </w:rPr>
        <w:t>Effective January 1, 2019, Verano Holdings, LLC elected to be treated as a C Corporation for Federal income tax purposes. Prior to January 1, 2019, members’ equity was primarily comprised of one class of units, as described in the Company’s applicable operating agreements.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MEMBERS’ EQUITY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29" w:lineRule="exact"/>
        <w:rPr>
          <w:rFonts w:ascii="Arial" w:cs="Arial" w:eastAsia="Arial" w:hAnsi="Arial"/>
          <w:sz w:val="18"/>
          <w:szCs w:val="18"/>
          <w:b w:val="1"/>
          <w:bCs w:val="1"/>
          <w:color w:val="auto"/>
        </w:rPr>
      </w:pPr>
    </w:p>
    <w:p>
      <w:pPr>
        <w:ind w:left="6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2020, the Company entered into various agreements to acquire non-controlling interests in certain entities as described below. As a result of the transaction, a Company affiliate now owns 100% of the membership interests in each entity. The aggregate purchase price for the membership interests totaled approximately $6,900,000. The Company recorded these transactions as distributions to members and all non-controlling interests in these entities were transferred to members’ equity.</w:t>
      </w:r>
    </w:p>
    <w:p>
      <w:pPr>
        <w:spacing w:after="0" w:line="186" w:lineRule="exact"/>
        <w:rPr>
          <w:rFonts w:ascii="Arial" w:cs="Arial" w:eastAsia="Arial" w:hAnsi="Arial"/>
          <w:sz w:val="18"/>
          <w:szCs w:val="18"/>
          <w:b w:val="1"/>
          <w:bCs w:val="1"/>
          <w:color w:val="auto"/>
        </w:rPr>
      </w:pPr>
    </w:p>
    <w:p>
      <w:pPr>
        <w:ind w:left="66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January 1, 2020, the Company had a 50% non -controlling interest in NatureX, LLC. The Company acquired 40% of the non-controlling interest on July 31, 2020 and acquired the remaining 10% on August 12, 2020 for an aggregate purchase price of $1.3 million, of which $200,000 is included in the acquisition price payable balance as of December 31, 2020.</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On July 29, 2020, the Company acquired the remaining 25% non-controlling interesting in Four Daughters Compassionate Care for $1.1 million.</w:t>
      </w:r>
    </w:p>
    <w:p>
      <w:pPr>
        <w:spacing w:after="0" w:line="248" w:lineRule="exact"/>
        <w:rPr>
          <w:rFonts w:ascii="Arial" w:cs="Arial" w:eastAsia="Arial" w:hAnsi="Arial"/>
          <w:sz w:val="18"/>
          <w:szCs w:val="18"/>
          <w:b w:val="1"/>
          <w:bCs w:val="1"/>
          <w:color w:val="auto"/>
        </w:rPr>
      </w:pPr>
    </w:p>
    <w:p>
      <w:pPr>
        <w:ind w:left="6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2020, the Company acquired the remaining non-controlling interest in Healthway Services of West Illinois, LLC, for an aggregate purchase price of $3,900,000, which is included in the acquisition price payable balance as of December 31, 2020.</w:t>
      </w:r>
    </w:p>
    <w:p>
      <w:pPr>
        <w:spacing w:after="0" w:line="170" w:lineRule="exact"/>
        <w:rPr>
          <w:rFonts w:ascii="Arial" w:cs="Arial" w:eastAsia="Arial" w:hAnsi="Arial"/>
          <w:sz w:val="18"/>
          <w:szCs w:val="18"/>
          <w:b w:val="1"/>
          <w:bCs w:val="1"/>
          <w:color w:val="auto"/>
        </w:rPr>
      </w:pPr>
    </w:p>
    <w:p>
      <w:pPr>
        <w:ind w:left="6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2020, the Company acquired individually insignificant non-controlling interests for an approximate aggregate purchase price of $531,000 in Class B units.</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rFonts w:ascii="Arial" w:cs="Arial" w:eastAsia="Arial" w:hAnsi="Arial"/>
          <w:sz w:val="18"/>
          <w:szCs w:val="18"/>
          <w:b w:val="1"/>
          <w:bCs w:val="1"/>
          <w:color w:val="auto"/>
        </w:rPr>
      </w:pPr>
    </w:p>
    <w:p>
      <w:pPr>
        <w:ind w:left="660" w:right="1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In connection with a subscription agreement offering in October of 2018, the Company entered into an agency agreement with Clarus Securities, Inc., (“Clarus”) pursuant to which Clarus would broker the subscription of up to $12,000,000 of Class B units of the Company. On or about February 7, 2019, the Company and Clarus mutually agreed to terminate the agency agreement and any rights which may have arisen thereunder, in consideration for which the Company granted the Clarus’s blocker entity 100,000 Class B warrants in the Company at a price of $21.73 per Class B unit. Clarus’s blocker, Clarus Securities SIV, Inc., exercised the warrants on February 11, 2019 for $2,173,000.</w:t>
      </w:r>
    </w:p>
    <w:p>
      <w:pPr>
        <w:spacing w:after="0" w:line="161" w:lineRule="exact"/>
        <w:rPr>
          <w:rFonts w:ascii="Arial" w:cs="Arial" w:eastAsia="Arial" w:hAnsi="Arial"/>
          <w:sz w:val="18"/>
          <w:szCs w:val="18"/>
          <w:b w:val="1"/>
          <w:bCs w:val="1"/>
          <w:color w:val="auto"/>
        </w:rPr>
      </w:pPr>
    </w:p>
    <w:p>
      <w:pPr>
        <w:ind w:left="6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August 2018, the Company issued a warrant for 424,242 Class B units at an exercise price of $7.14, with a term of 5 years in connection with a credit facility (Note 11). The Company determined the fair value of the warrant to be $2,661,935 using the Black-Scholes valuation model with a volatility of 85%, dividend yield of 0%, and risk-free rate of 2.87%. As there were no proceeds received in connection with the credit facility, the fair value was recorded as debt issuance costs on the Consolidated Statements of Financial Position. These costs were amortized over the period of expected availability through December 31, 2018. The balance of the debt issuance costs associated with this warrant was fully amortized in 2018. The Company determined the fair value of the incremental units to be $2,289,674. The Company amended the warrant agreement in 2019 that resulted in 751,973 Class B units at an exercise price of $4.03 and the amended agreement preserves the presentation as equity and was presented as such as of December 31, 2019.</w:t>
      </w:r>
    </w:p>
    <w:p>
      <w:pPr>
        <w:spacing w:after="0" w:line="178" w:lineRule="exact"/>
        <w:rPr>
          <w:rFonts w:ascii="Arial" w:cs="Arial" w:eastAsia="Arial" w:hAnsi="Arial"/>
          <w:sz w:val="18"/>
          <w:szCs w:val="18"/>
          <w:b w:val="1"/>
          <w:bCs w:val="1"/>
          <w:color w:val="auto"/>
        </w:rPr>
      </w:pPr>
    </w:p>
    <w:p>
      <w:pPr>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convertible notes issued in 2019, the Company issued warrants to purchase 990,000 common shares with an exercise price of $7.575 per share. The warrants have a three year term from the date of the closing. The Company determined the fair value of the warrants to be $5,061,933 using the Black-Scholes valuation model with a volatility of 85%, dividend yield of 0% and risk-free rate of 1.60%. The conversion feature is a derivative liability; however, it has zero value and the entire amount has been recorded as a liability. A debt discount is reflected as a reduction of the carrying value of the note payable on the Company’s consolidated statements of financial position and is being amortized over the term of the notes. Amortization of the debt issuance cost for warrants was $4,572,423 and $656,177 for the years ended December 31, 2020 and December 31, 2019, respectively.</w:t>
      </w:r>
    </w:p>
    <w:p>
      <w:pPr>
        <w:spacing w:after="0" w:line="200" w:lineRule="exact"/>
        <w:rPr>
          <w:rFonts w:ascii="Arial" w:cs="Arial" w:eastAsia="Arial" w:hAnsi="Arial"/>
          <w:sz w:val="18"/>
          <w:szCs w:val="18"/>
          <w:b w:val="1"/>
          <w:bCs w:val="1"/>
          <w:color w:val="auto"/>
        </w:rPr>
      </w:pPr>
    </w:p>
    <w:p>
      <w:pPr>
        <w:spacing w:after="0" w:line="210" w:lineRule="exact"/>
        <w:rPr>
          <w:rFonts w:ascii="Arial" w:cs="Arial" w:eastAsia="Arial" w:hAnsi="Arial"/>
          <w:sz w:val="18"/>
          <w:szCs w:val="18"/>
          <w:b w:val="1"/>
          <w:bCs w:val="1"/>
          <w:color w:val="auto"/>
        </w:rPr>
      </w:pPr>
    </w:p>
    <w:p>
      <w:pPr>
        <w:ind w:left="5540" w:hanging="111"/>
        <w:spacing w:after="0"/>
        <w:tabs>
          <w:tab w:leader="none" w:pos="55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-6456680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MEMBERS’ EQUITY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As disclosed in Note 11, the 424,242 Class B units and 990,000 common shares were exercised for an exercise value of $3,029,088 and</w:t>
      </w:r>
    </w:p>
    <w:p>
      <w:pPr>
        <w:spacing w:after="0" w:line="34" w:lineRule="exact"/>
        <w:rPr>
          <w:rFonts w:ascii="Arial" w:cs="Arial" w:eastAsia="Arial" w:hAnsi="Arial"/>
          <w:sz w:val="18"/>
          <w:szCs w:val="18"/>
          <w:b w:val="1"/>
          <w:bCs w:val="1"/>
          <w:color w:val="auto"/>
        </w:rPr>
      </w:pPr>
    </w:p>
    <w:p>
      <w:pPr>
        <w:ind w:left="6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$7,499,250, respectively. The exercise proceeds were used to relieve the remaining debt outstanding with ZenNorth, LLC. The exercise proceeds for the Chief Executive Officer did not exceed the outstanding note balance, resulting an outstanding balance of $3,709,425 as of December 31, 2020. The conversion of warrants increased net equity by $10,523,187 as of December 31, 2020.</w:t>
      </w:r>
    </w:p>
    <w:p>
      <w:pPr>
        <w:spacing w:after="0" w:line="185" w:lineRule="exact"/>
        <w:rPr>
          <w:rFonts w:ascii="Arial" w:cs="Arial" w:eastAsia="Arial" w:hAnsi="Arial"/>
          <w:sz w:val="18"/>
          <w:szCs w:val="18"/>
          <w:b w:val="1"/>
          <w:bCs w:val="1"/>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-1242060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Provision for income taxes consists of the following for years ended December 31, 2020 and 2019:</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r>
      <w:tr>
        <w:trPr>
          <w:trHeight w:val="236"/>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33,649,881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7,935,000</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12,821,250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2,720,800</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Total current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46,471,131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10,655,800</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20,996,289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3,160,796</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9,364,408</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1,386,625</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Total deferred</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30,360,697</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4,547,421</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8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76,831,828</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15,203,221</w:t>
            </w: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The reconciliation between the effective tax rate on income from operations and the statutory rate for the year ended December 31, 2020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203,472,001</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Arial" w:cs="Arial" w:eastAsia="Arial" w:hAnsi="Arial"/>
                <w:sz w:val="18"/>
                <w:szCs w:val="18"/>
                <w:color w:val="auto"/>
              </w:rPr>
              <w:t>Statutory Tax Rate</w:t>
            </w:r>
          </w:p>
        </w:tc>
        <w:tc>
          <w:tcPr>
            <w:tcW w:w="5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 (recovery) Based on Statutory Rates</w:t>
            </w:r>
          </w:p>
        </w:tc>
        <w:tc>
          <w:tcPr>
            <w:tcW w:w="5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42,729,120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Permanent Differences</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(1,309,238)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280E</w:t>
            </w:r>
          </w:p>
        </w:tc>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12,449,268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Gain on Derivative Liability</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(1,423,487)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1,524,010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State</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21,867,207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Book/Tax Basis in Acquired Intangibles</w:t>
            </w:r>
          </w:p>
        </w:tc>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2,595,455</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Arial" w:cs="Arial" w:eastAsia="Arial" w:hAnsi="Arial"/>
                <w:sz w:val="18"/>
                <w:szCs w:val="18"/>
                <w:color w:val="auto"/>
              </w:rPr>
              <w:t>Return to Provision</w:t>
            </w:r>
          </w:p>
        </w:tc>
        <w:tc>
          <w:tcPr>
            <w:tcW w:w="5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(1,600,507)</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5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76,831,828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640" w:type="dxa"/>
            <w:vAlign w:val="bottom"/>
            <w:vMerge w:val="restart"/>
          </w:tcPr>
          <w:p>
            <w:pPr>
              <w:jc w:val="right"/>
              <w:ind w:right="4070"/>
              <w:spacing w:after="0"/>
              <w:rPr>
                <w:sz w:val="20"/>
                <w:szCs w:val="20"/>
                <w:color w:val="auto"/>
              </w:rPr>
            </w:pPr>
            <w:r>
              <w:rPr>
                <w:rFonts w:ascii="Arial" w:cs="Arial" w:eastAsia="Arial" w:hAnsi="Arial"/>
                <w:sz w:val="18"/>
                <w:szCs w:val="18"/>
                <w:color w:val="auto"/>
              </w:rPr>
              <w:t>- 39 -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w w:val="95"/>
              </w:rPr>
              <w:t>As of December 31, 2020 and 2019, the components of deferred tax assets and liabilities were as follows: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(406,891)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(430,790)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Loyalty Points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(752,312)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(256,156)</w:t>
            </w: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Biological Assets</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(8,348,422)</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(2,466,257)</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Deferred Tax Assets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(9,507,625)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(3,153,203)</w:t>
            </w: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Book/ Tax Basis Differences in Acquired Intangibles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Fair Value Adjustment on Biological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jc w:val="center"/>
        <w:ind w:right="516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Deferred Income Tax Liabilities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540"/>
        <w:spacing w:after="0"/>
        <w:tabs>
          <w:tab w:leader="none" w:pos="1840" w:val="left"/>
        </w:tabs>
        <w:rPr>
          <w:sz w:val="20"/>
          <w:szCs w:val="20"/>
          <w:color w:val="auto"/>
        </w:rPr>
      </w:pPr>
      <w:r>
        <w:rPr>
          <w:rFonts w:ascii="Arial" w:cs="Arial" w:eastAsia="Arial" w:hAnsi="Arial"/>
          <w:sz w:val="16"/>
          <w:szCs w:val="16"/>
          <w:color w:val="auto"/>
        </w:rPr>
        <w:t>548,923</w:t>
      </w:r>
      <w:r>
        <w:rPr>
          <w:sz w:val="20"/>
          <w:szCs w:val="20"/>
          <w:color w:val="auto"/>
        </w:rPr>
        <w:tab/>
      </w:r>
      <w:r>
        <w:rPr>
          <w:rFonts w:ascii="Arial" w:cs="Arial" w:eastAsia="Arial" w:hAnsi="Arial"/>
          <w:sz w:val="16"/>
          <w:szCs w:val="16"/>
          <w:color w:val="auto"/>
        </w:rPr>
        <w:t>617,817</w:t>
      </w:r>
    </w:p>
    <w:p>
      <w:pPr>
        <w:spacing w:after="0" w:line="46" w:lineRule="exact"/>
        <w:rPr>
          <w:sz w:val="20"/>
          <w:szCs w:val="20"/>
          <w:color w:val="auto"/>
        </w:rPr>
      </w:pPr>
    </w:p>
    <w:p>
      <w:pPr>
        <w:ind w:left="320"/>
        <w:spacing w:after="0"/>
        <w:tabs>
          <w:tab w:leader="none" w:pos="2380" w:val="left"/>
        </w:tabs>
        <w:rPr>
          <w:sz w:val="20"/>
          <w:szCs w:val="20"/>
          <w:color w:val="auto"/>
        </w:rPr>
      </w:pPr>
      <w:r>
        <w:rPr>
          <w:rFonts w:ascii="Arial" w:cs="Arial" w:eastAsia="Arial" w:hAnsi="Arial"/>
          <w:sz w:val="18"/>
          <w:szCs w:val="18"/>
          <w:color w:val="auto"/>
        </w:rPr>
        <w:t>16,203,786</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320"/>
        <w:spacing w:after="0"/>
        <w:tabs>
          <w:tab w:leader="none" w:pos="1720" w:val="left"/>
        </w:tabs>
        <w:rPr>
          <w:sz w:val="20"/>
          <w:szCs w:val="20"/>
          <w:color w:val="auto"/>
        </w:rPr>
      </w:pPr>
      <w:r>
        <w:rPr>
          <w:rFonts w:ascii="Arial" w:cs="Arial" w:eastAsia="Arial" w:hAnsi="Arial"/>
          <w:sz w:val="16"/>
          <w:szCs w:val="16"/>
          <w:color w:val="auto"/>
        </w:rPr>
        <w:t>41,838,921</w:t>
      </w:r>
      <w:r>
        <w:rPr>
          <w:sz w:val="20"/>
          <w:szCs w:val="20"/>
          <w:color w:val="auto"/>
        </w:rPr>
        <w:tab/>
      </w:r>
      <w:r>
        <w:rPr>
          <w:rFonts w:ascii="Arial" w:cs="Arial" w:eastAsia="Arial" w:hAnsi="Arial"/>
          <w:sz w:val="16"/>
          <w:szCs w:val="16"/>
          <w:color w:val="auto"/>
        </w:rPr>
        <w:t>7,650,364</w:t>
      </w:r>
    </w:p>
    <w:p>
      <w:pPr>
        <w:spacing w:after="0" w:line="274" w:lineRule="exact"/>
        <w:rPr>
          <w:sz w:val="20"/>
          <w:szCs w:val="20"/>
          <w:color w:val="auto"/>
        </w:rPr>
      </w:pPr>
    </w:p>
    <w:p>
      <w:pPr>
        <w:ind w:left="320"/>
        <w:spacing w:after="0"/>
        <w:tabs>
          <w:tab w:leader="none" w:pos="1720" w:val="left"/>
        </w:tabs>
        <w:rPr>
          <w:sz w:val="20"/>
          <w:szCs w:val="20"/>
          <w:color w:val="auto"/>
        </w:rPr>
      </w:pPr>
      <w:r>
        <w:rPr>
          <w:rFonts w:ascii="Arial" w:cs="Arial" w:eastAsia="Arial" w:hAnsi="Arial"/>
          <w:sz w:val="16"/>
          <w:szCs w:val="16"/>
          <w:color w:val="auto"/>
        </w:rPr>
        <w:t>58,591,629</w:t>
      </w:r>
      <w:r>
        <w:rPr>
          <w:sz w:val="20"/>
          <w:szCs w:val="20"/>
          <w:color w:val="auto"/>
        </w:rPr>
        <w:tab/>
      </w:r>
      <w:r>
        <w:rPr>
          <w:rFonts w:ascii="Arial" w:cs="Arial" w:eastAsia="Arial" w:hAnsi="Arial"/>
          <w:sz w:val="16"/>
          <w:szCs w:val="16"/>
          <w:color w:val="auto"/>
        </w:rPr>
        <w:t>8,268,181</w:t>
      </w:r>
    </w:p>
    <w:p>
      <w:pPr>
        <w:spacing w:after="0" w:line="285" w:lineRule="exact"/>
        <w:rPr>
          <w:sz w:val="20"/>
          <w:szCs w:val="20"/>
          <w:color w:val="auto"/>
        </w:rPr>
      </w:pPr>
    </w:p>
    <w:p>
      <w:pPr>
        <w:spacing w:after="0"/>
        <w:tabs>
          <w:tab w:leader="none" w:pos="300" w:val="left"/>
          <w:tab w:leader="none" w:pos="1320" w:val="left"/>
          <w:tab w:leader="none" w:pos="1720" w:val="left"/>
        </w:tabs>
        <w:rPr>
          <w:sz w:val="20"/>
          <w:szCs w:val="20"/>
          <w:color w:val="auto"/>
        </w:rPr>
      </w:pPr>
      <w:r>
        <w:rPr>
          <w:rFonts w:ascii="Arial" w:cs="Arial" w:eastAsia="Arial" w:hAnsi="Arial"/>
          <w:sz w:val="18"/>
          <w:szCs w:val="18"/>
          <w:b w:val="1"/>
          <w:bCs w:val="1"/>
          <w:u w:val="single" w:color="auto"/>
          <w:color w:val="auto"/>
        </w:rPr>
        <w:t>$</w:t>
        <w:tab/>
        <w:t>49,084,004</w:t>
        <w:tab/>
        <w:t>$</w:t>
      </w:r>
      <w:r>
        <w:rPr>
          <w:sz w:val="20"/>
          <w:szCs w:val="20"/>
          <w:color w:val="auto"/>
        </w:rPr>
        <w:tab/>
      </w:r>
      <w:r>
        <w:rPr>
          <w:rFonts w:ascii="Arial" w:cs="Arial" w:eastAsia="Arial" w:hAnsi="Arial"/>
          <w:sz w:val="16"/>
          <w:szCs w:val="16"/>
          <w:b w:val="1"/>
          <w:bCs w:val="1"/>
          <w:u w:val="single" w:color="auto"/>
          <w:color w:val="auto"/>
        </w:rPr>
        <w:t>5,114,997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line="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intangible deferred tax liability includes $13.6 million that was acquired through business combinations and recognized as goodwill.</w:t>
      </w:r>
    </w:p>
    <w:p>
      <w:pPr>
        <w:spacing w:after="0" w:line="237"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 xml:space="preserve">Effective January 1, 2019, Verano Holdings, LLC elected to be treated as a C Corporation for Federal income tax purposes. The Company now accounts for income taxes in accordance with IAS 12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which deferred tax assets and liabilities are recognized based on anticipated future consequences attributable to differences between financial statement carrying values of assets and liabilities and the respective tax bases. As a result of the change, the Company recognized a deferred tax liability of approximately $2,320,000 with a corresponding increase to income tax expense as of January 1, 2019. The liability relates to the difference in reporting biological assets for financial statement and income tax reporting purposes.</w:t>
      </w:r>
    </w:p>
    <w:p>
      <w:pPr>
        <w:spacing w:after="0" w:line="192" w:lineRule="exact"/>
        <w:rPr>
          <w:sz w:val="20"/>
          <w:szCs w:val="20"/>
          <w:color w:val="auto"/>
        </w:rPr>
      </w:pPr>
    </w:p>
    <w:p>
      <w:pPr>
        <w:ind w:left="660" w:right="160"/>
        <w:spacing w:after="0" w:line="301" w:lineRule="auto"/>
        <w:rPr>
          <w:sz w:val="20"/>
          <w:szCs w:val="20"/>
          <w:color w:val="auto"/>
        </w:rPr>
      </w:pPr>
      <w:r>
        <w:rPr>
          <w:rFonts w:ascii="Arial" w:cs="Arial" w:eastAsia="Arial" w:hAnsi="Arial"/>
          <w:sz w:val="16"/>
          <w:szCs w:val="16"/>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 The Company has not identified any uncertain tax positions for the year ended December 31, 2020.</w:t>
      </w:r>
    </w:p>
    <w:p>
      <w:pPr>
        <w:spacing w:after="0" w:line="157" w:lineRule="exact"/>
        <w:rPr>
          <w:sz w:val="20"/>
          <w:szCs w:val="20"/>
          <w:color w:val="auto"/>
        </w:rPr>
      </w:pPr>
    </w:p>
    <w:p>
      <w:pPr>
        <w:ind w:left="660" w:right="280"/>
        <w:spacing w:after="0" w:line="308" w:lineRule="auto"/>
        <w:rPr>
          <w:sz w:val="20"/>
          <w:szCs w:val="20"/>
          <w:color w:val="auto"/>
        </w:rPr>
      </w:pPr>
      <w:r>
        <w:rPr>
          <w:rFonts w:ascii="Arial" w:cs="Arial" w:eastAsia="Arial" w:hAnsi="Arial"/>
          <w:sz w:val="17"/>
          <w:szCs w:val="17"/>
          <w:color w:val="auto"/>
        </w:rPr>
        <w:t>The Company files income tax returns in the United States and various state jurisdictions. The federal statute of limitation remains open for the 2016 tax year to present. The state income tax returns generally remain open for the 2016 tax year through the present.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LOYALTY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The Company has customer loyalty programs where retail customers accumulate points for each dollar of spending. These points are recorded as a contract liability until customers redeem their points for discounts on cannabis and vape products as part of an in-store sales transaction. In addition, the Company records a performance obligation as a reduction of revenue based on the estimated probability of point obligation incurred, which is calculated based on a standalone selling price that ranges between $0.05 and $0.08 per loyalty point.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LOYALTY OBLIGATIONS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Upon redemption, the loyalty program obligation is relieved and the offset is recorded as revenue. As of December 31, 2020, there were 42,273,800 points outstanding, with an approximate value of $2,060,848, which is included in accrued liabilities. As of December 31, 2019, there were 19,550,694 points outstanding, with an approximate value of $953,096. The Company estimates that 25% of points will not be redeemed (breakage) and expects the remaining outstanding loyalty points will be redeemed within one year.</w:t>
      </w:r>
    </w:p>
    <w:p>
      <w:pPr>
        <w:spacing w:after="0" w:line="16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ind w:left="6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leases certain business facilities from third parties under operating lease agreements that contain minimum rental provision that expire through 2029. Some of these leases also contain renewal provision and provide for rent abatement and escalating payments. As discussed in Note 2(m), upon the adoption of IFRS 16, such commitments will be recognized as a right-of-use asset representing the right to use the underlying asset and a lease liability representing the obligation to make lease payments.</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Future minimum lease payments under non-cancelable operating leases having an initial or remaining term of more than one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-1229995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Scheduled</w:t>
            </w:r>
          </w:p>
        </w:tc>
      </w:t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payments</w:t>
            </w:r>
          </w:p>
        </w:tc>
      </w:tr>
      <w:tr>
        <w:trPr>
          <w:trHeight w:val="216"/>
        </w:trPr>
        <w:tc>
          <w:tcPr>
            <w:tcW w:w="9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2,890,456</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2,582,412</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2,175,968</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1,951,146</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1,875,541</w:t>
            </w: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2026 and Thereafter</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6,129,421</w:t>
            </w:r>
          </w:p>
        </w:tc>
        <w:tc>
          <w:tcPr>
            <w:tcW w:w="100" w:type="dxa"/>
            <w:vAlign w:val="bottom"/>
            <w:tcBorders>
              <w:bottom w:val="single" w:sz="8" w:color="CCEEFF"/>
            </w:tcBorders>
          </w:tcPr>
          <w:p>
            <w:pPr>
              <w:spacing w:after="0"/>
              <w:rPr>
                <w:sz w:val="20"/>
                <w:szCs w:val="20"/>
                <w:color w:val="auto"/>
              </w:rPr>
            </w:pP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Total undiscounted lease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17,604,944</w:t>
            </w:r>
          </w:p>
        </w:tc>
        <w:tc>
          <w:tcPr>
            <w:tcW w:w="100" w:type="dxa"/>
            <w:vAlign w:val="bottom"/>
          </w:tcPr>
          <w:p>
            <w:pPr>
              <w:spacing w:after="0"/>
              <w:rPr>
                <w:sz w:val="18"/>
                <w:szCs w:val="18"/>
                <w:color w:val="auto"/>
              </w:rPr>
            </w:pPr>
          </w:p>
        </w:tc>
      </w:tr>
      <w:tr>
        <w:trPr>
          <w:trHeight w:val="237"/>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Discount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(4,829,557)</w:t>
            </w:r>
          </w:p>
        </w:tc>
      </w:tr>
      <w:tr>
        <w:trPr>
          <w:trHeight w:val="216"/>
        </w:trPr>
        <w:tc>
          <w:tcPr>
            <w:tcW w:w="9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as of December 31, 2020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12,775,387</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Less current portion of lease liabilities</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(1,910,645)</w:t>
            </w:r>
          </w:p>
        </w:tc>
      </w:tr>
      <w:tr>
        <w:trPr>
          <w:trHeight w:val="216"/>
        </w:trPr>
        <w:tc>
          <w:tcPr>
            <w:tcW w:w="9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10020" w:type="dxa"/>
            <w:vAlign w:val="bottom"/>
            <w:gridSpan w:val="2"/>
          </w:tcPr>
          <w:p>
            <w:pPr>
              <w:spacing w:after="0"/>
              <w:rPr>
                <w:sz w:val="20"/>
                <w:szCs w:val="20"/>
                <w:color w:val="auto"/>
              </w:rPr>
            </w:pPr>
            <w:r>
              <w:rPr>
                <w:rFonts w:ascii="Arial" w:cs="Arial" w:eastAsia="Arial" w:hAnsi="Arial"/>
                <w:sz w:val="18"/>
                <w:szCs w:val="18"/>
                <w:color w:val="auto"/>
              </w:rPr>
              <w:t>Long-term portion of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10,864,742</w:t>
            </w:r>
          </w:p>
        </w:tc>
        <w:tc>
          <w:tcPr>
            <w:tcW w:w="100" w:type="dxa"/>
            <w:vAlign w:val="bottom"/>
          </w:tcPr>
          <w:p>
            <w:pPr>
              <w:spacing w:after="0"/>
              <w:rPr>
                <w:sz w:val="22"/>
                <w:szCs w:val="22"/>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depreciation on the right-of-use assets of $1,841,035 and $1,479,222, of which $694,871 and $634,587 was included in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goods sold for the years ended December 31, 2020 and 2019, respectively. The Company recorded interest expense of $834,024 and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$728,503, of which $240,934 and $221,330 was included in cost of goods sold for the years ended December 31, 2020 and 2019, respectively.</w:t>
      </w:r>
    </w:p>
    <w:p>
      <w:pPr>
        <w:spacing w:after="0" w:line="234"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While management of the Company believes that the Company is in compliance with applicable local and state regulation at December 31, 2020, medical cannabis regulations continue to evolve and are subject to differing interpretations. As a result, the Company may be subject to regulatory fines, penalties, or restrictions in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229" w:lineRule="exact"/>
        <w:rPr>
          <w:rFonts w:ascii="Arial" w:cs="Arial" w:eastAsia="Arial" w:hAnsi="Arial"/>
          <w:sz w:val="18"/>
          <w:szCs w:val="18"/>
          <w:b w:val="1"/>
          <w:bCs w:val="1"/>
          <w:color w:val="auto"/>
        </w:rPr>
      </w:pPr>
    </w:p>
    <w:p>
      <w:pPr>
        <w:ind w:left="660" w:right="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From time to time, the Company may be involved in litigation relating to claims arising out of operations in the normal course of business. At December 31, 2020 there were no pending or threatened lawsuits that could reasonably be expected to have a material effect on the results of the Company’s consolidated operations, except as disclosed in these consolidated financial statements. There are also no proceedings in which any of the Company’s directors, officers or affiliates is an adverse party or has a material interest adverse to the Company’s interest.</w:t>
      </w:r>
    </w:p>
    <w:p>
      <w:pPr>
        <w:spacing w:after="0" w:line="153" w:lineRule="exact"/>
        <w:rPr>
          <w:rFonts w:ascii="Arial" w:cs="Arial" w:eastAsia="Arial" w:hAnsi="Arial"/>
          <w:sz w:val="18"/>
          <w:szCs w:val="18"/>
          <w:b w:val="1"/>
          <w:bCs w:val="1"/>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Due from Related Parties</w:t>
      </w:r>
    </w:p>
    <w:p>
      <w:pPr>
        <w:spacing w:after="0" w:line="229" w:lineRule="exact"/>
        <w:rPr>
          <w:rFonts w:ascii="Arial" w:cs="Arial" w:eastAsia="Arial" w:hAnsi="Arial"/>
          <w:sz w:val="18"/>
          <w:szCs w:val="18"/>
          <w:b w:val="1"/>
          <w:bCs w:val="1"/>
          <w:color w:val="auto"/>
        </w:rPr>
      </w:pPr>
    </w:p>
    <w:p>
      <w:pPr>
        <w:ind w:left="6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December 31, 2019, amounts due from related parties were comprised of balances due from investors of $108,254 and $253,580, respectively. These amounts are due on demand and did not have formal contractual agreements governing payment terms or interest. Other related party transactions are described through these consolidated financial statements. Refer to Notes 7, 11, and 13 for additional details of related party transactions.</w:t>
      </w:r>
    </w:p>
    <w:p>
      <w:pPr>
        <w:spacing w:after="0" w:line="182" w:lineRule="exact"/>
        <w:rPr>
          <w:rFonts w:ascii="Arial" w:cs="Arial" w:eastAsia="Arial" w:hAnsi="Arial"/>
          <w:sz w:val="18"/>
          <w:szCs w:val="18"/>
          <w:b w:val="1"/>
          <w:bCs w:val="1"/>
          <w:color w:val="auto"/>
        </w:rPr>
      </w:pPr>
    </w:p>
    <w:p>
      <w:pPr>
        <w:ind w:left="660" w:hanging="328"/>
        <w:spacing w:after="0"/>
        <w:tabs>
          <w:tab w:leader="none" w:pos="660"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Due to Related Parties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2020 and December 31, 2019, amounts due to related parties were comprised of advances to investors payable totaling</w:t>
      </w:r>
    </w:p>
    <w:p>
      <w:pPr>
        <w:spacing w:after="0" w:line="46" w:lineRule="exact"/>
        <w:rPr>
          <w:rFonts w:ascii="Arial" w:cs="Arial" w:eastAsia="Arial" w:hAnsi="Arial"/>
          <w:sz w:val="18"/>
          <w:szCs w:val="18"/>
          <w:b w:val="1"/>
          <w:bCs w:val="1"/>
          <w:color w:val="auto"/>
        </w:rPr>
      </w:pPr>
    </w:p>
    <w:p>
      <w:pPr>
        <w:ind w:left="660" w:right="1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$44,664 and $82,718, respectively. Advances did not have formal contractual agreements governing payment terms or interest. Refer to Notes 7, 11, and 13 for additional details of related party transactions.</w:t>
      </w:r>
    </w:p>
    <w:p>
      <w:pPr>
        <w:spacing w:after="0" w:line="181" w:lineRule="exact"/>
        <w:rPr>
          <w:rFonts w:ascii="Arial" w:cs="Arial" w:eastAsia="Arial" w:hAnsi="Arial"/>
          <w:sz w:val="18"/>
          <w:szCs w:val="18"/>
          <w:b w:val="1"/>
          <w:bCs w:val="1"/>
          <w:color w:val="auto"/>
        </w:rPr>
      </w:pPr>
    </w:p>
    <w:p>
      <w:pPr>
        <w:ind w:left="340" w:right="5080" w:hanging="332"/>
        <w:spacing w:after="0" w:line="526" w:lineRule="auto"/>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 Financial Instruments</w:t>
      </w:r>
    </w:p>
    <w:p>
      <w:pPr>
        <w:spacing w:after="0" w:line="1"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biological assets, notes receivable, notes payable, and derivative liability. The carrying values of these financial instruments approximate their fair values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-4074160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-2813685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-730885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0" w:lineRule="exact"/>
        <w:rPr>
          <w:sz w:val="20"/>
          <w:szCs w:val="20"/>
          <w:color w:val="auto"/>
        </w:rPr>
      </w:pPr>
    </w:p>
    <w:p>
      <w:pPr>
        <w:ind w:left="340" w:right="780"/>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3" w:lineRule="exact"/>
        <w:rPr>
          <w:sz w:val="20"/>
          <w:szCs w:val="20"/>
          <w:color w:val="auto"/>
        </w:rPr>
      </w:pPr>
    </w:p>
    <w:p>
      <w:pPr>
        <w:ind w:left="660" w:right="2080"/>
        <w:spacing w:after="0" w:line="260"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transfers between fair value levels during the years ended December 31, 2020 and 2019.</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Risk Management</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rFonts w:ascii="Arial" w:cs="Arial" w:eastAsia="Arial" w:hAnsi="Arial"/>
          <w:sz w:val="18"/>
          <w:szCs w:val="18"/>
          <w:b w:val="1"/>
          <w:bCs w:val="1"/>
          <w:color w:val="auto"/>
        </w:rPr>
      </w:pPr>
    </w:p>
    <w:p>
      <w:pPr>
        <w:jc w:val="both"/>
        <w:ind w:left="660" w:right="7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Credit risk is the risk of a potential loss to the Company if a customer or third party to a financial instrument fails to meet its contractual obligations. The maximum credit exposure at December 31, 2020 and 2019 is the carrying amount of cash. The Company does not have significant credit risk with respect to its customers. All cash is placed with major U.S. financial institutions.</w:t>
      </w:r>
    </w:p>
    <w:p>
      <w:pPr>
        <w:spacing w:after="0" w:line="165"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rise but has limited risk as the majority of its sales are transacted with cash.</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229" w:lineRule="exact"/>
        <w:rPr>
          <w:rFonts w:ascii="Arial" w:cs="Arial" w:eastAsia="Arial" w:hAnsi="Arial"/>
          <w:sz w:val="18"/>
          <w:szCs w:val="18"/>
          <w:b w:val="1"/>
          <w:bCs w:val="1"/>
          <w:color w:val="auto"/>
        </w:rPr>
      </w:pPr>
    </w:p>
    <w:p>
      <w:pPr>
        <w:jc w:val="both"/>
        <w:ind w:left="660" w:right="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management of its capital structure. The Company’s approach to managing liquidity is to ensure that it will have sufficient liquidity to settle obligations and liabilities when due.</w:t>
      </w:r>
    </w:p>
    <w:p>
      <w:pPr>
        <w:spacing w:after="0" w:line="179" w:lineRule="exact"/>
        <w:rPr>
          <w:rFonts w:ascii="Arial" w:cs="Arial" w:eastAsia="Arial" w:hAnsi="Arial"/>
          <w:sz w:val="18"/>
          <w:szCs w:val="18"/>
          <w:b w:val="1"/>
          <w:bCs w:val="1"/>
          <w:color w:val="auto"/>
        </w:rPr>
      </w:pPr>
    </w:p>
    <w:p>
      <w:pPr>
        <w:ind w:left="660" w:hanging="328"/>
        <w:spacing w:after="0"/>
        <w:tabs>
          <w:tab w:leader="none" w:pos="66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Market Risk</w:t>
      </w:r>
    </w:p>
    <w:p>
      <w:pPr>
        <w:spacing w:after="0" w:line="229" w:lineRule="exact"/>
        <w:rPr>
          <w:rFonts w:ascii="Arial" w:cs="Arial" w:eastAsia="Arial" w:hAnsi="Arial"/>
          <w:sz w:val="18"/>
          <w:szCs w:val="18"/>
          <w:b w:val="1"/>
          <w:bCs w:val="1"/>
          <w:color w:val="auto"/>
        </w:rPr>
      </w:pPr>
    </w:p>
    <w:p>
      <w:pPr>
        <w:ind w:left="1100" w:hanging="444"/>
        <w:spacing w:after="0"/>
        <w:tabs>
          <w:tab w:leader="none" w:pos="1100" w:val="left"/>
        </w:tabs>
        <w:numPr>
          <w:ilvl w:val="2"/>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Risk</w:t>
      </w:r>
    </w:p>
    <w:p>
      <w:pPr>
        <w:spacing w:after="0" w:line="225" w:lineRule="exact"/>
        <w:rPr>
          <w:rFonts w:ascii="Arial" w:cs="Arial" w:eastAsia="Arial" w:hAnsi="Arial"/>
          <w:sz w:val="18"/>
          <w:szCs w:val="18"/>
          <w:i w:val="1"/>
          <w:iCs w:val="1"/>
          <w:color w:val="auto"/>
        </w:rPr>
      </w:pPr>
    </w:p>
    <w:p>
      <w:pPr>
        <w:ind w:left="1100" w:right="3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The Company’s financial debts have fixed rates of interest and therefore expose the Company to a limited interest rate fair value risk.</w:t>
      </w:r>
    </w:p>
    <w:p>
      <w:pPr>
        <w:spacing w:after="0" w:line="183" w:lineRule="exact"/>
        <w:rPr>
          <w:rFonts w:ascii="Arial" w:cs="Arial" w:eastAsia="Arial" w:hAnsi="Arial"/>
          <w:sz w:val="18"/>
          <w:szCs w:val="18"/>
          <w:i w:val="1"/>
          <w:iCs w:val="1"/>
          <w:color w:val="auto"/>
        </w:rPr>
      </w:pPr>
    </w:p>
    <w:p>
      <w:pPr>
        <w:ind w:left="1100" w:hanging="444"/>
        <w:spacing w:after="0"/>
        <w:tabs>
          <w:tab w:leader="none" w:pos="1100" w:val="left"/>
        </w:tabs>
        <w:numPr>
          <w:ilvl w:val="2"/>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Price Risk</w:t>
      </w:r>
    </w:p>
    <w:p>
      <w:pPr>
        <w:spacing w:after="0" w:line="225" w:lineRule="exact"/>
        <w:rPr>
          <w:rFonts w:ascii="Arial" w:cs="Arial" w:eastAsia="Arial" w:hAnsi="Arial"/>
          <w:sz w:val="18"/>
          <w:szCs w:val="18"/>
          <w:i w:val="1"/>
          <w:iCs w:val="1"/>
          <w:color w:val="auto"/>
        </w:rPr>
      </w:pPr>
    </w:p>
    <w:p>
      <w:pPr>
        <w:ind w:left="1100" w:right="2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Price risk is the risk of variability in fair value due to movements in equity or market prices. See Note 6 for the Company’s assessment of certain changes in the fair value assumption used in the calculation of biological asset values.</w:t>
      </w:r>
    </w:p>
    <w:p>
      <w:pPr>
        <w:spacing w:after="0" w:line="166" w:lineRule="exact"/>
        <w:rPr>
          <w:rFonts w:ascii="Arial" w:cs="Arial" w:eastAsia="Arial" w:hAnsi="Arial"/>
          <w:sz w:val="18"/>
          <w:szCs w:val="18"/>
          <w:i w:val="1"/>
          <w:iCs w:val="1"/>
          <w:color w:val="auto"/>
        </w:rPr>
      </w:pPr>
    </w:p>
    <w:p>
      <w:pPr>
        <w:ind w:left="660" w:hanging="328"/>
        <w:spacing w:after="0"/>
        <w:tabs>
          <w:tab w:leader="none" w:pos="66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Banking Risk</w:t>
      </w:r>
    </w:p>
    <w:p>
      <w:pPr>
        <w:spacing w:after="0" w:line="229" w:lineRule="exact"/>
        <w:rPr>
          <w:rFonts w:ascii="Arial" w:cs="Arial" w:eastAsia="Arial" w:hAnsi="Arial"/>
          <w:sz w:val="18"/>
          <w:szCs w:val="18"/>
          <w:b w:val="1"/>
          <w:bCs w:val="1"/>
          <w:color w:val="auto"/>
        </w:rPr>
      </w:pPr>
    </w:p>
    <w:p>
      <w:pPr>
        <w:ind w:left="6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Notwithstanding that a majority of states have legalized medical marijuana, there has been no change in U.S. federal banking laws related to the deposit and holding of funds derived from activities related to the marijuana industry. Given that U.S. federal law provides that the production and possession of cannabis is illegal, there is a strong argument that banks cannot accept for deposit, funds from businesses involved with the marijuana industry. Consequently, businesses involved in the marijuana industry often have difficulty accessing the U.S. banking system and traditional financing sources. The inability to open bank accounts with certain institutions may make it difficult to operate the businesses of the Company and leaves their cash holdings vulnerable.</w:t>
      </w:r>
    </w:p>
    <w:p>
      <w:pPr>
        <w:spacing w:after="0" w:line="188" w:lineRule="exact"/>
        <w:rPr>
          <w:rFonts w:ascii="Arial" w:cs="Arial" w:eastAsia="Arial" w:hAnsi="Arial"/>
          <w:sz w:val="18"/>
          <w:szCs w:val="18"/>
          <w:b w:val="1"/>
          <w:bCs w:val="1"/>
          <w:color w:val="auto"/>
        </w:rPr>
      </w:pPr>
    </w:p>
    <w:p>
      <w:pPr>
        <w:ind w:left="660" w:hanging="328"/>
        <w:spacing w:after="0"/>
        <w:tabs>
          <w:tab w:leader="none" w:pos="66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Asset Forfeiture Risk</w:t>
      </w:r>
    </w:p>
    <w:p>
      <w:pPr>
        <w:spacing w:after="0" w:line="229"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Because the cannabis industry remains illegal under U.S. federal law, any property owned by participants in the cannabis industry, which either are used in the course of conducting such business, or are the proceeds of such business, could be subject to seizure by law enforcement and subsequent civil asset forfeiture. Even if the owner of the property was never charged with a crime, the property in question could still be seized and subject to an administrative proceeding by which, with minimal due process, it could be subject to forfeiture.</w:t>
      </w:r>
    </w:p>
    <w:p>
      <w:pPr>
        <w:spacing w:after="0" w:line="387" w:lineRule="exact"/>
        <w:rPr>
          <w:rFonts w:ascii="Arial" w:cs="Arial" w:eastAsia="Arial" w:hAnsi="Arial"/>
          <w:sz w:val="18"/>
          <w:szCs w:val="18"/>
          <w:b w:val="1"/>
          <w:bCs w:val="1"/>
          <w:color w:val="auto"/>
        </w:rPr>
      </w:pPr>
    </w:p>
    <w:p>
      <w:pPr>
        <w:ind w:left="5540" w:hanging="111"/>
        <w:spacing w:after="0"/>
        <w:tabs>
          <w:tab w:leader="none" w:pos="5540" w:val="left"/>
        </w:tabs>
        <w:numPr>
          <w:ilvl w:val="3"/>
          <w:numId w:val="54"/>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-6456680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Risk</w:t>
      </w:r>
    </w:p>
    <w:p>
      <w:pPr>
        <w:spacing w:after="0" w:line="229" w:lineRule="exact"/>
        <w:rPr>
          <w:rFonts w:ascii="Arial" w:cs="Arial" w:eastAsia="Arial" w:hAnsi="Arial"/>
          <w:sz w:val="18"/>
          <w:szCs w:val="18"/>
          <w:b w:val="1"/>
          <w:bCs w:val="1"/>
          <w:color w:val="auto"/>
        </w:rPr>
      </w:pPr>
    </w:p>
    <w:p>
      <w:pPr>
        <w:ind w:left="660" w:right="2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Regulatory risk pertains to the risk that the Company’s business objectives are contingent, in part, upon the compliance of regulatory requirements. Due to the nature of the industry, the company recognizes that regulatory requirements are more stringent and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71" w:lineRule="exact"/>
        <w:rPr>
          <w:rFonts w:ascii="Arial" w:cs="Arial" w:eastAsia="Arial" w:hAnsi="Arial"/>
          <w:sz w:val="18"/>
          <w:szCs w:val="18"/>
          <w:b w:val="1"/>
          <w:bCs w:val="1"/>
          <w:color w:val="auto"/>
        </w:rPr>
      </w:pPr>
    </w:p>
    <w:p>
      <w:pPr>
        <w:ind w:left="66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is cognizant of the advent of regulatory changes occurring in the cannabis industry on the city, state, and national levels. Although regulatory outlook on the cannabis industry has been moving in a positive trend, the Company is aware of the effect of unforeseen regulatory changes can have on the goals and operations of the business as a whole.</w:t>
      </w:r>
    </w:p>
    <w:p>
      <w:pPr>
        <w:spacing w:after="0" w:line="179" w:lineRule="exact"/>
        <w:rPr>
          <w:rFonts w:ascii="Arial" w:cs="Arial" w:eastAsia="Arial" w:hAnsi="Arial"/>
          <w:sz w:val="18"/>
          <w:szCs w:val="18"/>
          <w:b w:val="1"/>
          <w:bCs w:val="1"/>
          <w:color w:val="auto"/>
        </w:rPr>
      </w:pPr>
    </w:p>
    <w:p>
      <w:pPr>
        <w:ind w:left="660" w:hanging="328"/>
        <w:spacing w:after="0"/>
        <w:tabs>
          <w:tab w:leader="none" w:pos="66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Tax Risk</w:t>
      </w:r>
    </w:p>
    <w:p>
      <w:pPr>
        <w:spacing w:after="0" w:line="229" w:lineRule="exact"/>
        <w:rPr>
          <w:rFonts w:ascii="Arial" w:cs="Arial" w:eastAsia="Arial" w:hAnsi="Arial"/>
          <w:sz w:val="18"/>
          <w:szCs w:val="18"/>
          <w:b w:val="1"/>
          <w:bCs w:val="1"/>
          <w:color w:val="auto"/>
        </w:rPr>
      </w:pPr>
    </w:p>
    <w:p>
      <w:pPr>
        <w:ind w:left="6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Tax risk is the risk of changes in the tax environment that would have a material adverse effect on the Company’s business, results of operations, and financial condition. Currently, state licensed marijuana businesses are assessed a comparatively high effective federal tax rate due to section 280E which bars businesses from deducting all expenses except their cost of sales when calculating federal tax liability. Any increase in tax levies resulting from additional tax measures may have a further adverse effect on the operations of the Company, while any decrease in such tax levies will be beneficial to future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through April 5, 2021, which is the date on which the financial statements were available to be issued.</w:t>
      </w:r>
    </w:p>
    <w:p>
      <w:pPr>
        <w:spacing w:after="0" w:line="244"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Merger Agreement</w:t>
      </w:r>
    </w:p>
    <w:p>
      <w:pPr>
        <w:spacing w:after="0" w:line="229" w:lineRule="exact"/>
        <w:rPr>
          <w:rFonts w:ascii="Arial" w:cs="Arial" w:eastAsia="Arial" w:hAnsi="Arial"/>
          <w:sz w:val="18"/>
          <w:szCs w:val="18"/>
          <w:b w:val="1"/>
          <w:bCs w:val="1"/>
          <w:color w:val="auto"/>
        </w:rPr>
      </w:pPr>
    </w:p>
    <w:p>
      <w:pPr>
        <w:ind w:left="660" w:right="3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November 2020, the Company entered into a merger agreement with Alternative Medical Enterprises LLC, Plants of Ruskin GPS LLC, and RVC 360 LLC (collectively, “AltMed”). Per the merger agreement, the transaction was contingent upon, and was to close contemporaneously with, a reverse takeover transaction (“RTO”) resulting in the creation of a Canadian publicly-traded parent company.</w:t>
      </w:r>
    </w:p>
    <w:p>
      <w:pPr>
        <w:spacing w:after="0" w:line="165"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transaction received regulatory approvals on February 11, 2021 by various state and local authorities in each of the markets where such approvals were required. The parties took ownership of the resulting issuer and shareholders of AltMed will receive $35MM in cash compensation in the aggregate. The first $20MM was paid in cash in connection with the closing and the remaining $15MM obligation is represented by promissory notes convertible into Class A Subordinate Voting Shares of the Company’s publicly-traded parent.</w:t>
      </w:r>
    </w:p>
    <w:p>
      <w:pPr>
        <w:spacing w:after="0" w:line="167" w:lineRule="exact"/>
        <w:rPr>
          <w:rFonts w:ascii="Arial" w:cs="Arial" w:eastAsia="Arial" w:hAnsi="Arial"/>
          <w:sz w:val="18"/>
          <w:szCs w:val="18"/>
          <w:b w:val="1"/>
          <w:bCs w:val="1"/>
          <w:color w:val="auto"/>
        </w:rPr>
      </w:pPr>
    </w:p>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RTO, Financing, and Commencement of Trading</w:t>
      </w:r>
    </w:p>
    <w:p>
      <w:pPr>
        <w:spacing w:after="0" w:line="229" w:lineRule="exact"/>
        <w:rPr>
          <w:rFonts w:ascii="Arial" w:cs="Arial" w:eastAsia="Arial" w:hAnsi="Arial"/>
          <w:sz w:val="18"/>
          <w:szCs w:val="18"/>
          <w:b w:val="1"/>
          <w:bCs w:val="1"/>
          <w:color w:val="auto"/>
        </w:rPr>
      </w:pPr>
    </w:p>
    <w:p>
      <w:pPr>
        <w:ind w:left="6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February 11, 2021, the Company closed an RTO of Majesta Minerals Inc. (“Majesta”), a reporting issuer in Alberta, Canada, and received conditional approval of the Class A Subordinate Voting Shares resulting from the RTO for listing on the Canadian Securities Exchange (“CSE”). The RTO was structured as a plan of arrangement under the laws of British Columbia, with certain steps also occurring pursuant to the laws of Delaware. Former securityholders of Verano Holdings, LLC (and of certain Verano subsidiaries) and AltMed received, through a series of transactions, Subordinate Voting Shares and Class B Proportionate Voting Shares, which, in the aggregate and on an as-converted basis, constitute approximately 73.84% and 22.48%, respectively, of the resulting issuer’s outstanding shares. The remaining shares are held by former shareholders of Majesta (including participants in a financing completed in connection with the RTO) and AltMed’s financial advisor.</w:t>
      </w:r>
    </w:p>
    <w:p>
      <w:pPr>
        <w:spacing w:after="0" w:line="382" w:lineRule="exact"/>
        <w:rPr>
          <w:rFonts w:ascii="Arial" w:cs="Arial" w:eastAsia="Arial" w:hAnsi="Arial"/>
          <w:sz w:val="18"/>
          <w:szCs w:val="18"/>
          <w:b w:val="1"/>
          <w:bCs w:val="1"/>
          <w:color w:val="auto"/>
        </w:rPr>
      </w:pPr>
    </w:p>
    <w:p>
      <w:pPr>
        <w:ind w:left="5540" w:hanging="111"/>
        <w:spacing w:after="0"/>
        <w:tabs>
          <w:tab w:leader="none" w:pos="5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RTO, Financing, and Commencement of Trading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right="3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part of the RTO, the Company implemented a dual class share structure such that the outstanding shares of the Company consist of (i) 125,663,380.6484 Subordinate Voting Shares, and (ii) 1,643,366.1833 Proportionate Voting Shares. Each Subordinate Voting Share carries one vote per share and each Proportionate Voting Share carries 100 votes per share.</w:t>
      </w:r>
    </w:p>
    <w:p>
      <w:pPr>
        <w:spacing w:after="0" w:line="183" w:lineRule="exact"/>
        <w:rPr>
          <w:rFonts w:ascii="Arial" w:cs="Arial" w:eastAsia="Arial" w:hAnsi="Arial"/>
          <w:sz w:val="18"/>
          <w:szCs w:val="18"/>
          <w:b w:val="1"/>
          <w:bCs w:val="1"/>
          <w:color w:val="auto"/>
        </w:rPr>
      </w:pPr>
    </w:p>
    <w:p>
      <w:pPr>
        <w:ind w:left="6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RTO, among other things, 10,000,000 subscription receipts (the “Subscription Receipts”) were issued by 1276268 B.C. Ltd., a special purpose financing vehicle created for the purpose of the Subscription Receipt offering (the “Offering”). The Subscription Receipts were indirectly and automatically exchanged for Subordinate Voting Shares upon completion of the RTO and the satisfaction of other escrow release conditions. The Offering raised $100 million with a pre-money valuation of $2.8 billion. Certain proceeds from the Offering of the Subscription Receipts were placed into escrow (the “Escrowed Proceeds”) upon completion of the Offering as disclosed in the Company’s press release dated January 21, 2021. The Escrowed Proceeds were released from escrow and ultimately received by the Company in connection with the consummation of the RTO and the Merger.</w:t>
      </w:r>
    </w:p>
    <w:p>
      <w:pPr>
        <w:spacing w:after="0" w:line="194" w:lineRule="exact"/>
        <w:rPr>
          <w:rFonts w:ascii="Arial" w:cs="Arial" w:eastAsia="Arial" w:hAnsi="Arial"/>
          <w:sz w:val="18"/>
          <w:szCs w:val="18"/>
          <w:b w:val="1"/>
          <w:bCs w:val="1"/>
          <w:color w:val="auto"/>
        </w:rPr>
      </w:pPr>
    </w:p>
    <w:p>
      <w:pPr>
        <w:ind w:left="66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Verano received conditional approval from the CSE for the listing of the Subordinate Voting Shares under the symbol “VRNO”. The Subordinate Voting Shares began trading on the CSE at market open on February 17, 2021. The Proportionate Voting Shares are not listed for trading on the CSE but may be converted into Subordinate Voting Shares in certain circumstances.</w:t>
      </w:r>
    </w:p>
    <w:p>
      <w:pPr>
        <w:spacing w:after="0" w:line="179" w:lineRule="exact"/>
        <w:rPr>
          <w:rFonts w:ascii="Arial" w:cs="Arial" w:eastAsia="Arial" w:hAnsi="Arial"/>
          <w:sz w:val="18"/>
          <w:szCs w:val="18"/>
          <w:b w:val="1"/>
          <w:bCs w:val="1"/>
          <w:color w:val="auto"/>
        </w:rPr>
      </w:pPr>
    </w:p>
    <w:p>
      <w:pPr>
        <w:ind w:left="660" w:hanging="328"/>
        <w:spacing w:after="0"/>
        <w:tabs>
          <w:tab w:leader="none" w:pos="66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Glass City Alternatives, LLC</w:t>
      </w:r>
    </w:p>
    <w:p>
      <w:pPr>
        <w:spacing w:after="0" w:line="225" w:lineRule="exact"/>
        <w:rPr>
          <w:rFonts w:ascii="Arial" w:cs="Arial" w:eastAsia="Arial" w:hAnsi="Arial"/>
          <w:sz w:val="18"/>
          <w:szCs w:val="18"/>
          <w:b w:val="1"/>
          <w:bCs w:val="1"/>
          <w:color w:val="auto"/>
        </w:rPr>
      </w:pPr>
    </w:p>
    <w:p>
      <w:pPr>
        <w:ind w:left="6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January 2021, the Company entered into an ownership interest purchase and contribution agreement to acquire, upon the satisfaction of certain conditions precedent, 100% of one dispensary located in Ohio. The total purchase price was $2,600,000.</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Herbal Care Center, Inc.</w:t>
      </w:r>
    </w:p>
    <w:p>
      <w:pPr>
        <w:spacing w:after="0" w:line="225"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February 24, 2021, the Company entered into a purchase agreement with The Herbal Care Center, Inc. (“The Herbal Care Center”) subject to customary conditions and regulatory approvals. Total consideration includes cash consideration of $17,500,000, payable over 12 months subject to adjustment and Class A Subordinate Voting Shares and Class B Proportionate Voting Shares of the Company’s publicly-traded parent equivalent to 904,642 Class A Subordinate Voting Shares on an-as converted basis.</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TerraVida Holistic Centers, LLC</w:t>
      </w:r>
    </w:p>
    <w:p>
      <w:pPr>
        <w:spacing w:after="0" w:line="225" w:lineRule="exact"/>
        <w:rPr>
          <w:rFonts w:ascii="Arial" w:cs="Arial" w:eastAsia="Arial" w:hAnsi="Arial"/>
          <w:sz w:val="18"/>
          <w:szCs w:val="18"/>
          <w:b w:val="1"/>
          <w:bCs w:val="1"/>
          <w:color w:val="auto"/>
        </w:rPr>
      </w:pPr>
    </w:p>
    <w:p>
      <w:pPr>
        <w:ind w:left="66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February 24, 2021, a subsidiary of the Company entered into an agreement and plan of merger with subsidiaries of the Company will merge with and into TerraVida Holistic Centers, LLC (“TerraVida”) and GVB Holdings Groups, LLC. subject to customary conditions and regulatory approvals. TerraVida operates three of Pennsylvania’s top performing medical dispensaries. The merger consideration includes cash consideration of $62,500,000, subject to adjustment, with $15,000,000 being payable on the closing date, $10,000,000 payable within 90 days after closing, and the remainder payable within 180 days after the closing date. In addition, the merger consideration includes Class A Subordinate Voting Shares and/or Class B Subordinate Voting Shares of the Company’s publicly-traded parent equivalent to 3,013,500 Class A Subordinate Voting Shares on an as converted basis.</w:t>
      </w:r>
    </w:p>
    <w:p>
      <w:pPr>
        <w:spacing w:after="0" w:line="200" w:lineRule="exact"/>
        <w:rPr>
          <w:rFonts w:ascii="Arial" w:cs="Arial" w:eastAsia="Arial" w:hAnsi="Arial"/>
          <w:sz w:val="18"/>
          <w:szCs w:val="18"/>
          <w:b w:val="1"/>
          <w:bCs w:val="1"/>
          <w:color w:val="auto"/>
        </w:rPr>
      </w:pPr>
    </w:p>
    <w:p>
      <w:pPr>
        <w:spacing w:after="0" w:line="210" w:lineRule="exact"/>
        <w:rPr>
          <w:rFonts w:ascii="Arial" w:cs="Arial" w:eastAsia="Arial" w:hAnsi="Arial"/>
          <w:sz w:val="18"/>
          <w:szCs w:val="18"/>
          <w:b w:val="1"/>
          <w:bCs w:val="1"/>
          <w:color w:val="auto"/>
        </w:rPr>
      </w:pPr>
    </w:p>
    <w:p>
      <w:pPr>
        <w:ind w:left="5540" w:hanging="111"/>
        <w:spacing w:after="0"/>
        <w:tabs>
          <w:tab w:leader="none" w:pos="5540" w:val="left"/>
        </w:tabs>
        <w:numPr>
          <w:ilvl w:val="2"/>
          <w:numId w:val="57"/>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-6182360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jc w:val="both"/>
        <w:ind w:left="660" w:right="8700" w:hanging="328"/>
        <w:spacing w:after="0" w:line="566" w:lineRule="auto"/>
        <w:tabs>
          <w:tab w:leader="none" w:pos="660" w:val="left"/>
        </w:tabs>
        <w:numPr>
          <w:ilvl w:val="1"/>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i w:val="1"/>
          <w:iCs w:val="1"/>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Pennsylvania Dispensary</w:t>
      </w:r>
    </w:p>
    <w:p>
      <w:pPr>
        <w:ind w:left="66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On February 24, 2021, a subsidiary of the Company entered into an agreement pursuant to which it would acquire all of the issued and outstanding equity interests of a licensee that holds one dispensary permit in Pennsylvania, which would give the subsidiary the ability to open three dispensaries. Pursuant to these agreements, the purchase consideration includes cash consideration of $7,350,000 payable in cash and Class A Subordinate Voting and Class B Proportionate Voting Shares of the Company’s publicly-traded parent equivalent to 1,333,173 Class A Shares (on an as-converted basis). One of the sellers is also entitled to an earnout payable in shares in the capital of the Company’s publicly-traded parent (or up to 50% in cash at the election of the seller) in accordance with the terms of the applicable agreement. The transaction closed on March 9, 2021.</w:t>
      </w:r>
    </w:p>
    <w:p>
      <w:pPr>
        <w:spacing w:after="0" w:line="164"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Perpetual Healthcare Inc.</w:t>
      </w:r>
    </w:p>
    <w:p>
      <w:pPr>
        <w:spacing w:after="0" w:line="225" w:lineRule="exact"/>
        <w:rPr>
          <w:rFonts w:ascii="Arial" w:cs="Arial" w:eastAsia="Arial" w:hAnsi="Arial"/>
          <w:sz w:val="16"/>
          <w:szCs w:val="16"/>
          <w:b w:val="1"/>
          <w:bCs w:val="1"/>
          <w:color w:val="auto"/>
        </w:rPr>
      </w:pPr>
    </w:p>
    <w:p>
      <w:pPr>
        <w:ind w:left="660" w:right="40"/>
        <w:spacing w:after="0" w:line="275" w:lineRule="auto"/>
        <w:rPr>
          <w:rFonts w:ascii="Arial" w:cs="Arial" w:eastAsia="Arial" w:hAnsi="Arial"/>
          <w:sz w:val="16"/>
          <w:szCs w:val="16"/>
          <w:b w:val="1"/>
          <w:bCs w:val="1"/>
          <w:color w:val="auto"/>
        </w:rPr>
      </w:pPr>
      <w:r>
        <w:rPr>
          <w:rFonts w:ascii="Arial" w:cs="Arial" w:eastAsia="Arial" w:hAnsi="Arial"/>
          <w:sz w:val="17"/>
          <w:szCs w:val="17"/>
          <w:color w:val="auto"/>
        </w:rPr>
        <w:t>On February 24, 2021, the Company entered into an agreement whereby Perpetual Healthcare Inc. (“PHI”) will transfer the management and governance of PHI, which operates the Emerald Dispensary in Phoenix, Arizona. The agreement is subject to the approval of regulatory approvals and other customary closing condition. Total consideration includes cash consideration of $11,250,000, Class A Subordinate Voting Shares of the Company’s publicly-traded parent having an aggregate value of $11,250,000, subject to the performance of the shares in the ten day period immediately following the signing of the agreement. The transaction closed on March 10, 2021.</w:t>
      </w:r>
    </w:p>
    <w:p>
      <w:pPr>
        <w:spacing w:after="0" w:line="17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Territory Dispensary</w:t>
      </w:r>
    </w:p>
    <w:p>
      <w:pPr>
        <w:spacing w:after="0" w:line="225" w:lineRule="exact"/>
        <w:rPr>
          <w:rFonts w:ascii="Arial" w:cs="Arial" w:eastAsia="Arial" w:hAnsi="Arial"/>
          <w:sz w:val="16"/>
          <w:szCs w:val="16"/>
          <w:b w:val="1"/>
          <w:bCs w:val="1"/>
          <w:color w:val="auto"/>
        </w:rPr>
      </w:pPr>
    </w:p>
    <w:p>
      <w:pPr>
        <w:ind w:left="660" w:right="2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On February 24, 2021, the Company entered into an agreement to acquire three active dispensaries and one cultivation and production facility from NZCO LLC, an Arizona limited liability company (“NZCO”), Murff &amp; Company LLC, an Arizona limited liability company (“M&amp;C”), JWC1 LLC, an Arizona limited liability company (“JWC”), Hu Commercial Properties LLC, an Arizona limited liability company (“HCP”), and COBISH LLC, an Arizona limited liability company (“Cobish” and together with NZCO, M&amp;C, JWC and HCP, collectively, “Territory”). The transaction includes three premium, high traffic and easily accessible dispensaries located in Mesa, Chandler, and Gilbert Arizona, an 11,000 sq. ft. indoor cultivation facility, and 8,100 sq. ft. greenhouse in Winslow and two real estate locations. The agreement includes $7,500,000 payable in cash, subject to adjustment, and Class A Subordinate Voting Shares in the capital of Verano and/or Class B Proportionate Voting Shares in the capital of the Company’s publicly-traded parent equivalent to 3,989,875 Subordinate Voting Shares on an as converted basis.</w:t>
      </w:r>
    </w:p>
    <w:p>
      <w:pPr>
        <w:spacing w:after="0" w:line="16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Local Joint</w:t>
      </w:r>
    </w:p>
    <w:p>
      <w:pPr>
        <w:spacing w:after="0" w:line="225" w:lineRule="exact"/>
        <w:rPr>
          <w:rFonts w:ascii="Arial" w:cs="Arial" w:eastAsia="Arial" w:hAnsi="Arial"/>
          <w:sz w:val="16"/>
          <w:szCs w:val="16"/>
          <w:b w:val="1"/>
          <w:bCs w:val="1"/>
          <w:color w:val="auto"/>
        </w:rPr>
      </w:pPr>
    </w:p>
    <w:p>
      <w:pPr>
        <w:ind w:left="660" w:right="1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On March 22, 2021, an affiliate of the Company entered into an asset purchase agreement with Flower Launch LLC, the manager of Patient Alternative Relief Center, Inc., d/b/a Local Joint, an Arizona nonprofit corporation (“PARC”), which holds a dispensary license, an authorization to operate a second dispensary, and an authorization to operate an offsite cultivation facility, all in the State of Arizona. The total consideration includes cash consideration of $13,500,000, with $10,000,000 payable on the closing date and $3,500,000 payable within 120 days after the closing date, plus $3,500,000.00 in Class A Subordinate Voting and/or Class B Proportionate Voting Shares of the Company’s publicly-traded parent. The transaction closed on March 30, 2021.</w:t>
      </w:r>
    </w:p>
    <w:p>
      <w:pPr>
        <w:spacing w:after="0" w:line="200" w:lineRule="exact"/>
        <w:rPr>
          <w:rFonts w:ascii="Arial" w:cs="Arial" w:eastAsia="Arial" w:hAnsi="Arial"/>
          <w:sz w:val="16"/>
          <w:szCs w:val="16"/>
          <w:b w:val="1"/>
          <w:bCs w:val="1"/>
          <w:color w:val="auto"/>
        </w:rPr>
      </w:pPr>
    </w:p>
    <w:p>
      <w:pPr>
        <w:spacing w:after="0" w:line="208" w:lineRule="exact"/>
        <w:rPr>
          <w:rFonts w:ascii="Arial" w:cs="Arial" w:eastAsia="Arial" w:hAnsi="Arial"/>
          <w:sz w:val="16"/>
          <w:szCs w:val="16"/>
          <w:b w:val="1"/>
          <w:bCs w:val="1"/>
          <w:color w:val="auto"/>
        </w:rPr>
      </w:pPr>
    </w:p>
    <w:p>
      <w:pPr>
        <w:ind w:left="5540" w:hanging="111"/>
        <w:spacing w:after="0"/>
        <w:tabs>
          <w:tab w:leader="none" w:pos="55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-5770880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VERANO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right="9320" w:hanging="328"/>
        <w:spacing w:after="0" w:line="603" w:lineRule="auto"/>
        <w:tabs>
          <w:tab w:leader="none" w:pos="660" w:val="left"/>
        </w:tabs>
        <w:numPr>
          <w:ilvl w:val="1"/>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Notes Payable </w:t>
      </w:r>
      <w:r>
        <w:rPr>
          <w:rFonts w:ascii="Arial" w:cs="Arial" w:eastAsia="Arial" w:hAnsi="Arial"/>
          <w:sz w:val="15"/>
          <w:szCs w:val="15"/>
          <w:i w:val="1"/>
          <w:iCs w:val="1"/>
          <w:color w:val="auto"/>
        </w:rPr>
        <w:t>Note Repayment</w:t>
      </w:r>
    </w:p>
    <w:p>
      <w:pPr>
        <w:spacing w:after="0" w:line="1" w:lineRule="exact"/>
        <w:rPr>
          <w:rFonts w:ascii="Arial" w:cs="Arial" w:eastAsia="Arial" w:hAnsi="Arial"/>
          <w:sz w:val="15"/>
          <w:szCs w:val="15"/>
          <w:b w:val="1"/>
          <w:bCs w:val="1"/>
          <w:color w:val="auto"/>
        </w:rPr>
      </w:pPr>
    </w:p>
    <w:p>
      <w:pPr>
        <w:ind w:left="66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The two promissory notes which have convertible features, with an outstanding balance at December 31, 2020 of $3,412,500 are collateralized by the note holders’ units in DGV Group, LLC. These notes were repaid in full in February 2021.</w:t>
      </w:r>
    </w:p>
    <w:p>
      <w:pPr>
        <w:spacing w:after="0" w:line="170"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color w:val="auto"/>
        </w:rPr>
        <w:t>A convertible note with an outstanding balance at December 31, 2020 of $3,709,425 was repaid in full in February 2021.</w:t>
      </w:r>
    </w:p>
    <w:p>
      <w:pPr>
        <w:spacing w:after="0" w:line="221" w:lineRule="exact"/>
        <w:rPr>
          <w:rFonts w:ascii="Arial" w:cs="Arial" w:eastAsia="Arial" w:hAnsi="Arial"/>
          <w:sz w:val="15"/>
          <w:szCs w:val="15"/>
          <w:b w:val="1"/>
          <w:bCs w:val="1"/>
          <w:color w:val="auto"/>
        </w:rPr>
      </w:pPr>
    </w:p>
    <w:p>
      <w:pPr>
        <w:ind w:left="660" w:hanging="328"/>
        <w:spacing w:after="0"/>
        <w:tabs>
          <w:tab w:leader="none" w:pos="660"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720" w:right="100"/>
        <w:spacing w:after="0" w:line="257" w:lineRule="auto"/>
        <w:rPr>
          <w:sz w:val="20"/>
          <w:szCs w:val="20"/>
          <w:color w:val="auto"/>
        </w:rPr>
      </w:pPr>
      <w:r>
        <w:rPr>
          <w:rFonts w:ascii="Arial" w:cs="Arial" w:eastAsia="Arial" w:hAnsi="Arial"/>
          <w:sz w:val="18"/>
          <w:szCs w:val="18"/>
          <w:color w:val="auto"/>
        </w:rPr>
        <w:t>On March 11, 2021, the Company’s publicly-traded parent closed an agreement with Beacon Securities Limited (“Beacon”) and Canaccord Genuity Corp. (together with Beacon, the “Co-Lead Underwriters”), on behalf of a syndicate of underwriters (together with the Co-Lead Underwriters, the “Underwriters”) pursuant to which the Underwriters purchased, on a bought deal private placement basis, 3,510,000 special warrants of the Company (the “Special Warrants”) at a price per Special Warrant of C$28.50 (the “Issue Price”) for aggregate gross proceeds of C$100,035,000 (the “Offering”).</w:t>
      </w:r>
    </w:p>
    <w:p>
      <w:pPr>
        <w:spacing w:after="0" w:line="184"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29" w:lineRule="exact"/>
        <w:rPr>
          <w:rFonts w:ascii="Arial" w:cs="Arial" w:eastAsia="Arial" w:hAnsi="Arial"/>
          <w:sz w:val="18"/>
          <w:szCs w:val="18"/>
          <w:b w:val="1"/>
          <w:bCs w:val="1"/>
          <w:color w:val="auto"/>
        </w:rPr>
      </w:pPr>
    </w:p>
    <w:p>
      <w:pPr>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January 22, 2021, the Company received a letter from a member demanding that it produce, pursuant to the Company’s Operating Agreement, documents and information related to the Company’s debt and equity financing activities in 2018 and 2019. In response to the Company’s production of such information, the member has alleged that the warrants provided in connection with the loans from Rockview Capital and George Archos in November 2019 were not properly priced or valued. The Company has agreed to participate in voluntary mediation with this member regarding the claims, which is expected to take place on April 13, 2021.</w:t>
      </w:r>
    </w:p>
    <w:p>
      <w:pPr>
        <w:spacing w:after="0" w:line="176" w:lineRule="exact"/>
        <w:rPr>
          <w:rFonts w:ascii="Arial" w:cs="Arial" w:eastAsia="Arial" w:hAnsi="Arial"/>
          <w:sz w:val="18"/>
          <w:szCs w:val="18"/>
          <w:b w:val="1"/>
          <w:bCs w:val="1"/>
          <w:color w:val="auto"/>
        </w:rPr>
      </w:pPr>
    </w:p>
    <w:p>
      <w:pPr>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January of 2021, the Company received correspondence purportedly on behalf of a former employee of Harvest Health and Recreation Inc. (“Harvest”) in the State of Arkansas alleging that the former employee was directed to bring certain strains of Verano cannabis into Arkansas to help establish Harvest’s cultivation facility there during a time in which the Company and Harvest were allegedly planning to combine operations under a Business Combination Agreement between the Company and Harvest in effect at that time, which agreement has since been terminated. The letter alleged that, as a result of this activity, the employee was indicted in the State of Arkansas, that the Company and Harvest are at fault; counsel threatened RICO claims against the Company, Harvest, and their respective management teams. Thereafter, in response to the threat of suit, on March 4, 2021, the Company and certain named officers and employees joined in an arbitration proceeding in the State of Arizona related to claims made by the former Harvest employee. In response, on March 8, 2021, the employee filed suit in the United States District Court for the District of Colorado. The complaint alleges a violation of 18 U.S.C. § 1962(c) and (d) by the Company and certain of its officers and employees.</w:t>
      </w:r>
    </w:p>
    <w:p>
      <w:pPr>
        <w:spacing w:after="0" w:line="382" w:lineRule="exact"/>
        <w:rPr>
          <w:rFonts w:ascii="Arial" w:cs="Arial" w:eastAsia="Arial" w:hAnsi="Arial"/>
          <w:sz w:val="18"/>
          <w:szCs w:val="18"/>
          <w:b w:val="1"/>
          <w:bCs w:val="1"/>
          <w:color w:val="auto"/>
        </w:rPr>
      </w:pPr>
    </w:p>
    <w:p>
      <w:pPr>
        <w:ind w:left="5540" w:hanging="111"/>
        <w:spacing w:after="0"/>
        <w:tabs>
          <w:tab w:leader="none" w:pos="5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5357495" cy="7289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5749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VERANO HOLDINGS CORP.</w:t>
      </w: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UNAUDITED CONDENSED INTERIM</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QUARTER ENDED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September 30, 2021</w:t>
      </w:r>
    </w:p>
    <w:p>
      <w:pPr>
        <w:spacing w:after="0" w:line="211"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786130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61"/>
        </w:trPr>
        <w:tc>
          <w:tcPr>
            <w:tcW w:w="51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33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Page(s)</w:t>
            </w:r>
          </w:p>
        </w:tc>
      </w:tr>
      <w:tr>
        <w:trPr>
          <w:trHeight w:val="210"/>
        </w:trPr>
        <w:tc>
          <w:tcPr>
            <w:tcW w:w="101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CONDENSED INTERIM CONSOLIDATED FINANCIAL STATEMENTS:</w:t>
            </w:r>
          </w:p>
        </w:tc>
        <w:tc>
          <w:tcPr>
            <w:tcW w:w="112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6"/>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Condensed Interim Consolidated Statements of Financial Position (Unaudited)</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Condensed Interim Consolidated Statements of Operations (Unaudited)</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5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6"/>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Condensed Interim Consolidated Statements of Changes in Shareholders’ Equity (Unaudited)</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5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6"/>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Condensed Interim Consolidated Statements of Cash Flows (Unaudited)</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4 - 5</w:t>
            </w:r>
          </w:p>
        </w:tc>
      </w:tr>
      <w:tr>
        <w:trPr>
          <w:trHeight w:val="216"/>
        </w:trPr>
        <w:tc>
          <w:tcPr>
            <w:tcW w:w="5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6"/>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Notes to the Condensed Interim Consolidated Financial Statements (Unaudited)</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6 - 34</w:t>
            </w:r>
          </w:p>
        </w:tc>
      </w:tr>
      <w:tr>
        <w:trPr>
          <w:trHeight w:val="574"/>
        </w:trPr>
        <w:tc>
          <w:tcPr>
            <w:tcW w:w="5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33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Financial Position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tcPr>
          <w:p>
            <w:pPr>
              <w:spacing w:after="0"/>
              <w:rPr>
                <w:sz w:val="19"/>
                <w:szCs w:val="19"/>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w:t>
            </w:r>
          </w:p>
        </w:tc>
        <w:tc>
          <w:tcPr>
            <w:tcW w:w="1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7280" w:type="dxa"/>
            <w:vAlign w:val="bottom"/>
          </w:tcPr>
          <w:p>
            <w:pPr>
              <w:spacing w:after="0"/>
              <w:rPr>
                <w:sz w:val="20"/>
                <w:szCs w:val="20"/>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5"/>
              </w:rPr>
              <w:t>Footnote</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8"/>
                <w:szCs w:val="18"/>
                <w:i w:val="1"/>
                <w:iCs w:val="1"/>
                <w:color w:val="auto"/>
                <w:w w:val="93"/>
              </w:rPr>
              <w:t>(Audited)</w:t>
            </w:r>
          </w:p>
        </w:tc>
        <w:tc>
          <w:tcPr>
            <w:tcW w:w="0" w:type="dxa"/>
            <w:vAlign w:val="bottom"/>
          </w:tcPr>
          <w:p>
            <w:pPr>
              <w:spacing w:after="0"/>
              <w:rPr>
                <w:sz w:val="1"/>
                <w:szCs w:val="1"/>
                <w:color w:val="auto"/>
              </w:rPr>
            </w:pPr>
          </w:p>
        </w:tc>
      </w:tr>
      <w:tr>
        <w:trPr>
          <w:trHeight w:val="216"/>
        </w:trPr>
        <w:tc>
          <w:tcPr>
            <w:tcW w:w="728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56,937,196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16,494,365</w:t>
            </w: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24,244,213</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7,513,736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99"/>
              </w:rPr>
              <w:t>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280,926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Due from Related Parties</w:t>
            </w:r>
          </w:p>
        </w:tc>
        <w:tc>
          <w:tcPr>
            <w:tcW w:w="740" w:type="dxa"/>
            <w:vAlign w:val="bottom"/>
          </w:tcPr>
          <w:p>
            <w:pPr>
              <w:jc w:val="center"/>
              <w:ind w:left="30"/>
              <w:spacing w:after="0"/>
              <w:rPr>
                <w:sz w:val="20"/>
                <w:szCs w:val="20"/>
                <w:color w:val="auto"/>
              </w:rPr>
            </w:pPr>
            <w:r>
              <w:rPr>
                <w:rFonts w:ascii="Arial" w:cs="Arial" w:eastAsia="Arial" w:hAnsi="Arial"/>
                <w:sz w:val="18"/>
                <w:szCs w:val="18"/>
                <w:i w:val="1"/>
                <w:iCs w:val="1"/>
                <w:color w:val="auto"/>
                <w:w w:val="89"/>
              </w:rPr>
              <w:t>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99"/>
              </w:rPr>
              <w:t>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395,723,285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59,356,804</w:t>
            </w: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Biological Assets</w:t>
            </w:r>
          </w:p>
        </w:tc>
        <w:tc>
          <w:tcPr>
            <w:tcW w:w="740" w:type="dxa"/>
            <w:vAlign w:val="bottom"/>
          </w:tcPr>
          <w:p>
            <w:pPr>
              <w:jc w:val="center"/>
              <w:ind w:left="30"/>
              <w:spacing w:after="0"/>
              <w:rPr>
                <w:sz w:val="20"/>
                <w:szCs w:val="20"/>
                <w:color w:val="auto"/>
              </w:rPr>
            </w:pPr>
            <w:r>
              <w:rPr>
                <w:rFonts w:ascii="Arial" w:cs="Arial" w:eastAsia="Arial" w:hAnsi="Arial"/>
                <w:sz w:val="18"/>
                <w:szCs w:val="18"/>
                <w:i w:val="1"/>
                <w:iCs w:val="1"/>
                <w:color w:val="auto"/>
                <w:w w:val="99"/>
              </w:rPr>
              <w:t>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137,183,595</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109,376,567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14,734,011</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7,163,267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629,103,226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203,023,516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99"/>
              </w:rPr>
              <w:t>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379,074,162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143,607,264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740" w:type="dxa"/>
            <w:vAlign w:val="bottom"/>
          </w:tcPr>
          <w:p>
            <w:pPr>
              <w:jc w:val="center"/>
              <w:ind w:left="30"/>
              <w:spacing w:after="0"/>
              <w:rPr>
                <w:sz w:val="20"/>
                <w:szCs w:val="20"/>
                <w:color w:val="auto"/>
              </w:rPr>
            </w:pPr>
            <w:r>
              <w:rPr>
                <w:rFonts w:ascii="Arial" w:cs="Arial" w:eastAsia="Arial" w:hAnsi="Arial"/>
                <w:sz w:val="18"/>
                <w:szCs w:val="18"/>
                <w:i w:val="1"/>
                <w:iCs w:val="1"/>
                <w:color w:val="auto"/>
                <w:w w:val="89"/>
              </w:rPr>
              <w:t>17</w:t>
            </w:r>
          </w:p>
        </w:tc>
        <w:tc>
          <w:tcPr>
            <w:tcW w:w="460" w:type="dxa"/>
            <w:vAlign w:val="bottom"/>
          </w:tcPr>
          <w:p>
            <w:pPr>
              <w:jc w:val="center"/>
              <w:ind w:right="10"/>
              <w:spacing w:after="0"/>
              <w:rPr>
                <w:sz w:val="20"/>
                <w:szCs w:val="20"/>
                <w:color w:val="auto"/>
              </w:rPr>
            </w:pPr>
            <w:r>
              <w:rPr>
                <w:rFonts w:ascii="Arial" w:cs="Arial" w:eastAsia="Arial" w:hAnsi="Arial"/>
                <w:sz w:val="18"/>
                <w:szCs w:val="18"/>
                <w:i w:val="1"/>
                <w:iCs w:val="1"/>
                <w:color w:val="auto"/>
                <w:w w:val="90"/>
              </w:rPr>
              <w:t>(a)</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49,683,295</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11,337,343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99"/>
              </w:rPr>
              <w:t>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1,288,674,697</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73,096,730</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Goodwill</w:t>
            </w:r>
          </w:p>
        </w:tc>
        <w:tc>
          <w:tcPr>
            <w:tcW w:w="740" w:type="dxa"/>
            <w:vAlign w:val="bottom"/>
          </w:tcPr>
          <w:p>
            <w:pPr>
              <w:jc w:val="center"/>
              <w:ind w:left="30"/>
              <w:spacing w:after="0"/>
              <w:rPr>
                <w:sz w:val="20"/>
                <w:szCs w:val="20"/>
                <w:color w:val="auto"/>
              </w:rPr>
            </w:pPr>
            <w:r>
              <w:rPr>
                <w:rFonts w:ascii="Arial" w:cs="Arial" w:eastAsia="Arial" w:hAnsi="Arial"/>
                <w:sz w:val="18"/>
                <w:szCs w:val="18"/>
                <w:i w:val="1"/>
                <w:iCs w:val="1"/>
                <w:color w:val="auto"/>
                <w:w w:val="99"/>
              </w:rPr>
              <w:t>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329,131,465</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16,311,182</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8,706,503</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11,547,004</w:t>
            </w: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2,582,973</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797,321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2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2,686,956,321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459,720,360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36,915,109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18,305,258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32,167,620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13,915,776</w:t>
            </w: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740" w:type="dxa"/>
            <w:vAlign w:val="bottom"/>
          </w:tcPr>
          <w:p>
            <w:pPr>
              <w:jc w:val="center"/>
              <w:ind w:left="30"/>
              <w:spacing w:after="0"/>
              <w:rPr>
                <w:sz w:val="20"/>
                <w:szCs w:val="20"/>
                <w:color w:val="auto"/>
              </w:rPr>
            </w:pPr>
            <w:r>
              <w:rPr>
                <w:rFonts w:ascii="Arial" w:cs="Arial" w:eastAsia="Arial" w:hAnsi="Arial"/>
                <w:sz w:val="18"/>
                <w:szCs w:val="18"/>
                <w:i w:val="1"/>
                <w:iCs w:val="1"/>
                <w:color w:val="auto"/>
                <w:w w:val="89"/>
              </w:rPr>
              <w:t>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130,170,168</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46,872,445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Liabilities</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89"/>
              </w:rPr>
              <w:t>17</w:t>
            </w:r>
          </w:p>
        </w:tc>
        <w:tc>
          <w:tcPr>
            <w:tcW w:w="460" w:type="dxa"/>
            <w:vAlign w:val="bottom"/>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0"/>
              </w:rPr>
              <w:t>(a)</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6,511,441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Current Portion of Notes Payable</w:t>
            </w:r>
          </w:p>
        </w:tc>
        <w:tc>
          <w:tcPr>
            <w:tcW w:w="740" w:type="dxa"/>
            <w:vAlign w:val="bottom"/>
          </w:tcPr>
          <w:p>
            <w:pPr>
              <w:jc w:val="center"/>
              <w:ind w:left="30"/>
              <w:spacing w:after="0"/>
              <w:rPr>
                <w:sz w:val="20"/>
                <w:szCs w:val="20"/>
                <w:color w:val="auto"/>
              </w:rPr>
            </w:pPr>
            <w:r>
              <w:rPr>
                <w:rFonts w:ascii="Arial" w:cs="Arial" w:eastAsia="Arial" w:hAnsi="Arial"/>
                <w:sz w:val="18"/>
                <w:szCs w:val="18"/>
                <w:i w:val="1"/>
                <w:iCs w:val="1"/>
                <w:color w:val="auto"/>
                <w:w w:val="89"/>
              </w:rPr>
              <w:t>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14,372,049</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7,814,261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Payable</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99"/>
              </w:rPr>
              <w:t>8</w:t>
            </w:r>
          </w:p>
        </w:tc>
        <w:tc>
          <w:tcPr>
            <w:tcW w:w="460" w:type="dxa"/>
            <w:vAlign w:val="bottom"/>
            <w:shd w:val="clear" w:color="auto" w:fill="CCEEFF"/>
          </w:tcPr>
          <w:p>
            <w:pPr>
              <w:jc w:val="center"/>
              <w:ind w:right="10"/>
              <w:spacing w:after="0"/>
              <w:rPr>
                <w:sz w:val="20"/>
                <w:szCs w:val="20"/>
                <w:color w:val="auto"/>
              </w:rPr>
            </w:pPr>
            <w:r>
              <w:rPr>
                <w:rFonts w:ascii="Arial" w:cs="Arial" w:eastAsia="Arial" w:hAnsi="Arial"/>
                <w:sz w:val="18"/>
                <w:szCs w:val="18"/>
                <w:i w:val="1"/>
                <w:iCs w:val="1"/>
                <w:color w:val="auto"/>
                <w:w w:val="95"/>
              </w:rPr>
              <w:t>(c)</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49,950</w:t>
            </w: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Acquisition Price Payable</w:t>
            </w:r>
          </w:p>
        </w:tc>
        <w:tc>
          <w:tcPr>
            <w:tcW w:w="740" w:type="dxa"/>
            <w:vAlign w:val="bottom"/>
          </w:tcPr>
          <w:p>
            <w:pPr>
              <w:jc w:val="center"/>
              <w:ind w:left="30"/>
              <w:spacing w:after="0"/>
              <w:rPr>
                <w:sz w:val="20"/>
                <w:szCs w:val="20"/>
                <w:color w:val="auto"/>
              </w:rPr>
            </w:pPr>
            <w:r>
              <w:rPr>
                <w:rFonts w:ascii="Arial" w:cs="Arial" w:eastAsia="Arial" w:hAnsi="Arial"/>
                <w:sz w:val="18"/>
                <w:szCs w:val="18"/>
                <w:i w:val="1"/>
                <w:iCs w:val="1"/>
                <w:color w:val="auto"/>
                <w:w w:val="99"/>
              </w:rPr>
              <w:t>8</w:t>
            </w:r>
          </w:p>
        </w:tc>
        <w:tc>
          <w:tcPr>
            <w:tcW w:w="460" w:type="dxa"/>
            <w:vAlign w:val="bottom"/>
          </w:tcPr>
          <w:p>
            <w:pPr>
              <w:jc w:val="center"/>
              <w:spacing w:after="0"/>
              <w:rPr>
                <w:sz w:val="20"/>
                <w:szCs w:val="20"/>
                <w:color w:val="auto"/>
              </w:rPr>
            </w:pPr>
            <w:r>
              <w:rPr>
                <w:rFonts w:ascii="Arial" w:cs="Arial" w:eastAsia="Arial" w:hAnsi="Arial"/>
                <w:sz w:val="18"/>
                <w:szCs w:val="18"/>
                <w:i w:val="1"/>
                <w:iCs w:val="1"/>
                <w:color w:val="auto"/>
                <w:w w:val="91"/>
              </w:rPr>
              <w:t>(a,b)</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246,535,748</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33,611,485</w:t>
            </w:r>
          </w:p>
        </w:tc>
        <w:tc>
          <w:tcPr>
            <w:tcW w:w="0" w:type="dxa"/>
            <w:vAlign w:val="bottom"/>
          </w:tcPr>
          <w:p>
            <w:pPr>
              <w:spacing w:after="0"/>
              <w:rPr>
                <w:sz w:val="1"/>
                <w:szCs w:val="1"/>
                <w:color w:val="auto"/>
              </w:rPr>
            </w:pPr>
          </w:p>
        </w:tc>
      </w:tr>
      <w:tr>
        <w:trPr>
          <w:trHeight w:val="237"/>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Related Parties</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89"/>
              </w:rPr>
              <w:t>18</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44,664</w:t>
            </w: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466,672,135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122,524,484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1,490,537</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2,035,405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Net of Current Portion</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89"/>
              </w:rPr>
              <w:t>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148,413,285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32,479,649</w:t>
            </w: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740" w:type="dxa"/>
            <w:vAlign w:val="bottom"/>
          </w:tcPr>
          <w:p>
            <w:pPr>
              <w:jc w:val="center"/>
              <w:ind w:left="30"/>
              <w:spacing w:after="0"/>
              <w:rPr>
                <w:sz w:val="20"/>
                <w:szCs w:val="20"/>
                <w:color w:val="auto"/>
              </w:rPr>
            </w:pPr>
            <w:r>
              <w:rPr>
                <w:rFonts w:ascii="Arial" w:cs="Arial" w:eastAsia="Arial" w:hAnsi="Arial"/>
                <w:sz w:val="18"/>
                <w:szCs w:val="18"/>
                <w:i w:val="1"/>
                <w:iCs w:val="1"/>
                <w:color w:val="auto"/>
                <w:w w:val="89"/>
              </w:rPr>
              <w:t>17</w:t>
            </w:r>
          </w:p>
        </w:tc>
        <w:tc>
          <w:tcPr>
            <w:tcW w:w="460" w:type="dxa"/>
            <w:vAlign w:val="bottom"/>
          </w:tcPr>
          <w:p>
            <w:pPr>
              <w:jc w:val="center"/>
              <w:ind w:right="10"/>
              <w:spacing w:after="0"/>
              <w:rPr>
                <w:sz w:val="20"/>
                <w:szCs w:val="20"/>
                <w:color w:val="auto"/>
              </w:rPr>
            </w:pPr>
            <w:r>
              <w:rPr>
                <w:rFonts w:ascii="Arial" w:cs="Arial" w:eastAsia="Arial" w:hAnsi="Arial"/>
                <w:sz w:val="18"/>
                <w:szCs w:val="18"/>
                <w:i w:val="1"/>
                <w:iCs w:val="1"/>
                <w:color w:val="auto"/>
                <w:w w:val="90"/>
              </w:rPr>
              <w:t>(a)</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46,422,617</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10,864,742</w:t>
            </w:r>
          </w:p>
        </w:tc>
        <w:tc>
          <w:tcPr>
            <w:tcW w:w="0" w:type="dxa"/>
            <w:vAlign w:val="bottom"/>
          </w:tcPr>
          <w:p>
            <w:pPr>
              <w:spacing w:after="0"/>
              <w:rPr>
                <w:sz w:val="1"/>
                <w:szCs w:val="1"/>
                <w:color w:val="auto"/>
              </w:rPr>
            </w:pPr>
          </w:p>
        </w:tc>
      </w:tr>
      <w:tr>
        <w:trPr>
          <w:trHeight w:val="237"/>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89"/>
              </w:rPr>
              <w:t>16</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323,204,499</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49,084,004</w:t>
            </w: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519,530,938</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94,463,800</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986,203,073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216,988,284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1,698,418,807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242,387,456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tcPr>
          <w:p>
            <w:pPr>
              <w:spacing w:after="0"/>
              <w:rPr>
                <w:sz w:val="20"/>
                <w:szCs w:val="20"/>
                <w:color w:val="auto"/>
              </w:rPr>
            </w:pPr>
            <w:r>
              <w:rPr>
                <w:rFonts w:ascii="Arial" w:cs="Arial" w:eastAsia="Arial" w:hAnsi="Arial"/>
                <w:sz w:val="18"/>
                <w:szCs w:val="18"/>
                <w:b w:val="1"/>
                <w:bCs w:val="1"/>
                <w:color w:val="auto"/>
              </w:rPr>
              <w:t>NON-CONTROLLING INTEREST</w:t>
            </w: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2,334,441</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2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2,686,956,321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459,720,360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See accompanying notes to unaudited condensed interim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5"/>
          </w:tcPr>
          <w:p>
            <w:pPr>
              <w:jc w:val="right"/>
              <w:ind w:right="42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5"/>
          </w:tcPr>
          <w:p>
            <w:pPr>
              <w:jc w:val="right"/>
              <w:ind w:right="64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206,828,467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64,350,915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526,430,021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$ 154,497,924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Cost of Goods Sold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73,459,665</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22,635,128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218,305,464</w:t>
            </w:r>
          </w:p>
        </w:tc>
        <w:tc>
          <w:tcPr>
            <w:tcW w:w="1200" w:type="dxa"/>
            <w:vAlign w:val="bottom"/>
            <w:gridSpan w:val="3"/>
          </w:tcPr>
          <w:p>
            <w:pPr>
              <w:jc w:val="right"/>
              <w:ind w:right="21"/>
              <w:spacing w:after="0"/>
              <w:rPr>
                <w:sz w:val="20"/>
                <w:szCs w:val="20"/>
                <w:color w:val="auto"/>
              </w:rPr>
            </w:pPr>
            <w:r>
              <w:rPr>
                <w:rFonts w:ascii="Arial" w:cs="Arial" w:eastAsia="Arial" w:hAnsi="Arial"/>
                <w:sz w:val="18"/>
                <w:szCs w:val="18"/>
                <w:color w:val="auto"/>
              </w:rPr>
              <w:t>58,639,163</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before Biological Asset Adjustment</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133,368,802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41,715,787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308,124,557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95,858,761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Realized fair value amounts included in inventory sold</w:t>
            </w:r>
          </w:p>
        </w:tc>
        <w:tc>
          <w:tcPr>
            <w:tcW w:w="1600" w:type="dxa"/>
            <w:vAlign w:val="bottom"/>
            <w:gridSpan w:val="2"/>
          </w:tcPr>
          <w:p>
            <w:pPr>
              <w:ind w:left="600"/>
              <w:spacing w:after="0"/>
              <w:rPr>
                <w:sz w:val="20"/>
                <w:szCs w:val="20"/>
                <w:color w:val="auto"/>
              </w:rPr>
            </w:pPr>
            <w:r>
              <w:rPr>
                <w:rFonts w:ascii="Arial" w:cs="Arial" w:eastAsia="Arial" w:hAnsi="Arial"/>
                <w:sz w:val="18"/>
                <w:szCs w:val="18"/>
                <w:i w:val="1"/>
                <w:iCs w:val="1"/>
                <w:color w:val="auto"/>
              </w:rPr>
              <w:t>Note 5</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(63,300,438)</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(20,884,147)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w w:val="90"/>
              </w:rPr>
              <w:t>(315,559,112)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(75,413,941)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Unrealized fair value gain on growth of biological assets</w:t>
            </w:r>
          </w:p>
        </w:tc>
        <w:tc>
          <w:tcPr>
            <w:tcW w:w="160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Note 5</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152,104,175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94,170,395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450,293,230</w:t>
            </w:r>
          </w:p>
        </w:tc>
        <w:tc>
          <w:tcPr>
            <w:tcW w:w="12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178,446,465</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Gross Profit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89"/>
              </w:rPr>
              <w:t>222,172,539</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115,002,035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442,858,675</w:t>
            </w:r>
          </w:p>
        </w:tc>
        <w:tc>
          <w:tcPr>
            <w:tcW w:w="1200" w:type="dxa"/>
            <w:vAlign w:val="bottom"/>
            <w:gridSpan w:val="3"/>
          </w:tcPr>
          <w:p>
            <w:pPr>
              <w:jc w:val="right"/>
              <w:ind w:right="21"/>
              <w:spacing w:after="0"/>
              <w:rPr>
                <w:sz w:val="20"/>
                <w:szCs w:val="20"/>
                <w:color w:val="auto"/>
              </w:rPr>
            </w:pPr>
            <w:r>
              <w:rPr>
                <w:rFonts w:ascii="Arial" w:cs="Arial" w:eastAsia="Arial" w:hAnsi="Arial"/>
                <w:sz w:val="18"/>
                <w:szCs w:val="18"/>
                <w:color w:val="auto"/>
              </w:rPr>
              <w:t>198,891,285</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3,880,466</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7,752,101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52,040,335</w:t>
            </w:r>
          </w:p>
        </w:tc>
        <w:tc>
          <w:tcPr>
            <w:tcW w:w="1200" w:type="dxa"/>
            <w:vAlign w:val="bottom"/>
            <w:gridSpan w:val="3"/>
          </w:tcPr>
          <w:p>
            <w:pPr>
              <w:jc w:val="right"/>
              <w:ind w:right="21"/>
              <w:spacing w:after="0"/>
              <w:rPr>
                <w:sz w:val="20"/>
                <w:szCs w:val="20"/>
                <w:color w:val="auto"/>
              </w:rPr>
            </w:pPr>
            <w:r>
              <w:rPr>
                <w:rFonts w:ascii="Arial" w:cs="Arial" w:eastAsia="Arial" w:hAnsi="Arial"/>
                <w:sz w:val="18"/>
                <w:szCs w:val="18"/>
                <w:color w:val="auto"/>
              </w:rPr>
              <w:t>14,724,657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2,431,373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224,928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5,948,585</w:t>
            </w:r>
          </w:p>
        </w:tc>
        <w:tc>
          <w:tcPr>
            <w:tcW w:w="12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630,067</w:t>
            </w:r>
          </w:p>
        </w:tc>
        <w:tc>
          <w:tcPr>
            <w:tcW w:w="0" w:type="dxa"/>
            <w:vAlign w:val="bottom"/>
          </w:tcPr>
          <w:p>
            <w:pPr>
              <w:spacing w:after="0"/>
              <w:rPr>
                <w:sz w:val="1"/>
                <w:szCs w:val="1"/>
                <w:color w:val="auto"/>
              </w:rPr>
            </w:pPr>
          </w:p>
        </w:tc>
      </w:tr>
      <w:tr>
        <w:trPr>
          <w:trHeight w:val="216"/>
        </w:trPr>
        <w:tc>
          <w:tcPr>
            <w:tcW w:w="486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25,273,822</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3,158,694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53,570,716</w:t>
            </w:r>
          </w:p>
        </w:tc>
        <w:tc>
          <w:tcPr>
            <w:tcW w:w="1200" w:type="dxa"/>
            <w:vAlign w:val="bottom"/>
            <w:gridSpan w:val="3"/>
          </w:tcPr>
          <w:p>
            <w:pPr>
              <w:jc w:val="right"/>
              <w:ind w:right="21"/>
              <w:spacing w:after="0"/>
              <w:rPr>
                <w:sz w:val="20"/>
                <w:szCs w:val="20"/>
                <w:color w:val="auto"/>
              </w:rPr>
            </w:pPr>
            <w:r>
              <w:rPr>
                <w:rFonts w:ascii="Arial" w:cs="Arial" w:eastAsia="Arial" w:hAnsi="Arial"/>
                <w:sz w:val="18"/>
                <w:szCs w:val="18"/>
                <w:color w:val="auto"/>
              </w:rPr>
              <w:t>8,807,252</w:t>
            </w:r>
          </w:p>
        </w:tc>
        <w:tc>
          <w:tcPr>
            <w:tcW w:w="0" w:type="dxa"/>
            <w:vAlign w:val="bottom"/>
          </w:tcPr>
          <w:p>
            <w:pPr>
              <w:spacing w:after="0"/>
              <w:rPr>
                <w:sz w:val="1"/>
                <w:szCs w:val="1"/>
                <w:color w:val="auto"/>
              </w:rPr>
            </w:pPr>
          </w:p>
        </w:tc>
      </w:tr>
      <w:tr>
        <w:trPr>
          <w:trHeight w:val="249"/>
        </w:trPr>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4,920,198</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686,256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11,601,813</w:t>
            </w:r>
          </w:p>
        </w:tc>
        <w:tc>
          <w:tcPr>
            <w:tcW w:w="12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1,908,853</w:t>
            </w: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b w:val="1"/>
                <w:bCs w:val="1"/>
                <w:color w:val="auto"/>
              </w:rPr>
              <w:t>Total Expenses</w:t>
            </w:r>
          </w:p>
        </w:tc>
        <w:tc>
          <w:tcPr>
            <w:tcW w:w="15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36,505,859</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11,821,979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123,161,449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26,070,829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Investments in Associates</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844,688</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646,519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2,292,251</w:t>
            </w:r>
          </w:p>
        </w:tc>
        <w:tc>
          <w:tcPr>
            <w:tcW w:w="12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1,769,311</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Income From Continuing Operations</w:t>
            </w:r>
          </w:p>
        </w:tc>
        <w:tc>
          <w:tcPr>
            <w:tcW w:w="15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186,511,368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103,826,575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321,989,477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174,589,767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60"/>
              <w:spacing w:after="0"/>
              <w:rPr>
                <w:sz w:val="20"/>
                <w:szCs w:val="20"/>
                <w:color w:val="auto"/>
              </w:rPr>
            </w:pPr>
            <w:r>
              <w:rPr>
                <w:rFonts w:ascii="Arial" w:cs="Arial" w:eastAsia="Arial" w:hAnsi="Arial"/>
                <w:sz w:val="18"/>
                <w:szCs w:val="18"/>
                <w:color w:val="auto"/>
              </w:rPr>
              <w:t>Gain/(Loss) on Disposal of Property, Plant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31,005</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(436,770)</w:t>
            </w:r>
          </w:p>
        </w:tc>
        <w:tc>
          <w:tcPr>
            <w:tcW w:w="1200" w:type="dxa"/>
            <w:vAlign w:val="bottom"/>
            <w:gridSpan w:val="3"/>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on Deconsolidation</w:t>
            </w:r>
          </w:p>
        </w:tc>
        <w:tc>
          <w:tcPr>
            <w:tcW w:w="160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Note 20</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(189,324)</w:t>
            </w:r>
          </w:p>
        </w:tc>
        <w:tc>
          <w:tcPr>
            <w:tcW w:w="0" w:type="dxa"/>
            <w:vAlign w:val="bottom"/>
          </w:tcPr>
          <w:p>
            <w:pPr>
              <w:spacing w:after="0"/>
              <w:rPr>
                <w:sz w:val="1"/>
                <w:szCs w:val="1"/>
                <w:color w:val="auto"/>
              </w:rPr>
            </w:pPr>
          </w:p>
        </w:tc>
      </w:tr>
      <w:tr>
        <w:trPr>
          <w:trHeight w:val="216"/>
        </w:trPr>
        <w:tc>
          <w:tcPr>
            <w:tcW w:w="4860" w:type="dxa"/>
            <w:vAlign w:val="bottom"/>
          </w:tcPr>
          <w:p>
            <w:pPr>
              <w:ind w:left="160"/>
              <w:spacing w:after="0"/>
              <w:rPr>
                <w:sz w:val="20"/>
                <w:szCs w:val="20"/>
                <w:color w:val="auto"/>
              </w:rPr>
            </w:pPr>
            <w:r>
              <w:rPr>
                <w:rFonts w:ascii="Arial" w:cs="Arial" w:eastAsia="Arial" w:hAnsi="Arial"/>
                <w:sz w:val="18"/>
                <w:szCs w:val="18"/>
                <w:color w:val="auto"/>
              </w:rPr>
              <w:t>Gain on Previously Held Equity Interest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458,039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1"/>
              <w:spacing w:after="0"/>
              <w:rPr>
                <w:sz w:val="20"/>
                <w:szCs w:val="20"/>
                <w:color w:val="auto"/>
              </w:rPr>
            </w:pPr>
            <w:r>
              <w:rPr>
                <w:rFonts w:ascii="Arial" w:cs="Arial" w:eastAsia="Arial" w:hAnsi="Arial"/>
                <w:sz w:val="18"/>
                <w:szCs w:val="18"/>
                <w:color w:val="auto"/>
              </w:rPr>
              <w:t>458,039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Gain on Derivative Liability</w:t>
            </w:r>
          </w:p>
        </w:tc>
        <w:tc>
          <w:tcPr>
            <w:tcW w:w="160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Note 11</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6,778,510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6,778,510</w:t>
            </w:r>
          </w:p>
        </w:tc>
        <w:tc>
          <w:tcPr>
            <w:tcW w:w="0" w:type="dxa"/>
            <w:vAlign w:val="bottom"/>
          </w:tcPr>
          <w:p>
            <w:pPr>
              <w:spacing w:after="0"/>
              <w:rPr>
                <w:sz w:val="1"/>
                <w:szCs w:val="1"/>
                <w:color w:val="auto"/>
              </w:rPr>
            </w:pPr>
          </w:p>
        </w:tc>
      </w:tr>
      <w:tr>
        <w:trPr>
          <w:trHeight w:val="216"/>
        </w:trPr>
        <w:tc>
          <w:tcPr>
            <w:tcW w:w="4860" w:type="dxa"/>
            <w:vAlign w:val="bottom"/>
          </w:tcPr>
          <w:p>
            <w:pPr>
              <w:ind w:left="160"/>
              <w:spacing w:after="0"/>
              <w:rPr>
                <w:sz w:val="20"/>
                <w:szCs w:val="20"/>
                <w:color w:val="auto"/>
              </w:rPr>
            </w:pPr>
            <w:r>
              <w:rPr>
                <w:rFonts w:ascii="Arial" w:cs="Arial" w:eastAsia="Arial" w:hAnsi="Arial"/>
                <w:sz w:val="18"/>
                <w:szCs w:val="18"/>
                <w:color w:val="auto"/>
              </w:rPr>
              <w:t>Amortization of Debt Issuance Costs for Warrant</w:t>
            </w:r>
          </w:p>
        </w:tc>
        <w:tc>
          <w:tcPr>
            <w:tcW w:w="1600" w:type="dxa"/>
            <w:vAlign w:val="bottom"/>
            <w:gridSpan w:val="2"/>
          </w:tcPr>
          <w:p>
            <w:pPr>
              <w:ind w:left="600"/>
              <w:spacing w:after="0"/>
              <w:rPr>
                <w:sz w:val="20"/>
                <w:szCs w:val="20"/>
                <w:color w:val="auto"/>
              </w:rPr>
            </w:pPr>
            <w:r>
              <w:rPr>
                <w:rFonts w:ascii="Arial" w:cs="Arial" w:eastAsia="Arial" w:hAnsi="Arial"/>
                <w:sz w:val="18"/>
                <w:szCs w:val="18"/>
                <w:i w:val="1"/>
                <w:iCs w:val="1"/>
                <w:color w:val="auto"/>
              </w:rPr>
              <w:t>Note 10</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(1,524,141)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(4,572,423)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Convertible Debt Discount</w:t>
            </w:r>
          </w:p>
        </w:tc>
        <w:tc>
          <w:tcPr>
            <w:tcW w:w="160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Note 10</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(1,381,376)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(5,525,503)</w:t>
            </w:r>
          </w:p>
        </w:tc>
        <w:tc>
          <w:tcPr>
            <w:tcW w:w="0" w:type="dxa"/>
            <w:vAlign w:val="bottom"/>
          </w:tcPr>
          <w:p>
            <w:pPr>
              <w:spacing w:after="0"/>
              <w:rPr>
                <w:sz w:val="1"/>
                <w:szCs w:val="1"/>
                <w:color w:val="auto"/>
              </w:rPr>
            </w:pPr>
          </w:p>
        </w:tc>
      </w:tr>
      <w:tr>
        <w:trPr>
          <w:trHeight w:val="216"/>
        </w:trPr>
        <w:tc>
          <w:tcPr>
            <w:tcW w:w="4860" w:type="dxa"/>
            <w:vAlign w:val="bottom"/>
          </w:tcPr>
          <w:p>
            <w:pPr>
              <w:ind w:left="60"/>
              <w:spacing w:after="0"/>
              <w:rPr>
                <w:sz w:val="20"/>
                <w:szCs w:val="20"/>
                <w:color w:val="auto"/>
              </w:rPr>
            </w:pPr>
            <w:r>
              <w:rPr>
                <w:rFonts w:ascii="Arial" w:cs="Arial" w:eastAsia="Arial" w:hAnsi="Arial"/>
                <w:sz w:val="18"/>
                <w:szCs w:val="18"/>
                <w:color w:val="auto"/>
              </w:rPr>
              <w:t>Other Expense,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(475,605)</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(1,576,507)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(1,361,479)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(1,772,848)</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(8,068,148)</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(1,637,616)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9"/>
              </w:rPr>
              <w:t>(15,423,930)</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(2,151,385)</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b w:val="1"/>
                <w:bCs w:val="1"/>
                <w:color w:val="auto"/>
              </w:rPr>
              <w:t>Total Other Expense</w:t>
            </w:r>
          </w:p>
        </w:tc>
        <w:tc>
          <w:tcPr>
            <w:tcW w:w="15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(8,512,748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927,585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(17,222,179</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(6,974,934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Income Before Provision for</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 and Non-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Controlling Interest</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177,998,620</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104,754,160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304,767,298</w:t>
            </w:r>
          </w:p>
        </w:tc>
        <w:tc>
          <w:tcPr>
            <w:tcW w:w="12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167,614,833</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600" w:type="dxa"/>
            <w:vAlign w:val="bottom"/>
            <w:gridSpan w:val="2"/>
          </w:tcPr>
          <w:p>
            <w:pPr>
              <w:ind w:left="600"/>
              <w:spacing w:after="0"/>
              <w:rPr>
                <w:sz w:val="20"/>
                <w:szCs w:val="20"/>
                <w:color w:val="auto"/>
              </w:rPr>
            </w:pPr>
            <w:r>
              <w:rPr>
                <w:rFonts w:ascii="Arial" w:cs="Arial" w:eastAsia="Arial" w:hAnsi="Arial"/>
                <w:sz w:val="18"/>
                <w:szCs w:val="18"/>
                <w:i w:val="1"/>
                <w:iCs w:val="1"/>
                <w:color w:val="auto"/>
              </w:rPr>
              <w:t>Note 16</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(73,732,666)</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(17,879,454)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w w:val="90"/>
              </w:rPr>
              <w:t>(124,147,352)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(44,067,735)</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Before Non-Controlling Interest</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104,265,954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86,874,706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180,619,946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123,547,098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1600" w:type="dxa"/>
            <w:vAlign w:val="bottom"/>
            <w:gridSpan w:val="2"/>
          </w:tcPr>
          <w:p>
            <w:pPr>
              <w:ind w:left="600"/>
              <w:spacing w:after="0"/>
              <w:rPr>
                <w:sz w:val="20"/>
                <w:szCs w:val="20"/>
                <w:color w:val="auto"/>
              </w:rPr>
            </w:pPr>
            <w:r>
              <w:rPr>
                <w:rFonts w:ascii="Arial" w:cs="Arial" w:eastAsia="Arial" w:hAnsi="Arial"/>
                <w:sz w:val="18"/>
                <w:szCs w:val="18"/>
                <w:i w:val="1"/>
                <w:iCs w:val="1"/>
                <w:color w:val="auto"/>
              </w:rPr>
              <w:t>Note 19</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(4,884,323)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(4,884,323)</w:t>
            </w:r>
          </w:p>
        </w:tc>
        <w:tc>
          <w:tcPr>
            <w:tcW w:w="0" w:type="dxa"/>
            <w:vAlign w:val="bottom"/>
          </w:tcPr>
          <w:p>
            <w:pPr>
              <w:spacing w:after="0"/>
              <w:rPr>
                <w:sz w:val="1"/>
                <w:szCs w:val="1"/>
                <w:color w:val="auto"/>
              </w:rPr>
            </w:pPr>
          </w:p>
        </w:tc>
      </w:tr>
      <w:tr>
        <w:trPr>
          <w:trHeight w:val="236"/>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104,265,954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81,990,383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180,619,946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118,662,775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Income Attributable to Non-Controlling Interest</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550,575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135,488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1,989,821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554,888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Verano Holdings Corp.</w:t>
            </w:r>
          </w:p>
        </w:tc>
        <w:tc>
          <w:tcPr>
            <w:tcW w:w="160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103,715,379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81,854,895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178,630,125</w:t>
            </w:r>
          </w:p>
        </w:tc>
        <w:tc>
          <w:tcPr>
            <w:tcW w:w="12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w w:val="93"/>
              </w:rPr>
              <w:t>$ 118,107,887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per share – basic</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86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60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Basic – weighted average shares outstanding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89"/>
              </w:rPr>
              <w:t>313,674,044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281,961,659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 weighted average shares outstanding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316,926,366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292,724,219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See accompanying notes to unaudited condensed interim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LLC</w:t>
            </w: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0"/>
              </w:rPr>
              <w:t>Share Capital</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Share-</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w:t>
            </w:r>
          </w:p>
        </w:tc>
      </w:tr>
      <w:tr>
        <w:trPr>
          <w:trHeight w:val="223"/>
        </w:trPr>
        <w:tc>
          <w:tcPr>
            <w:tcW w:w="2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Membership</w:t>
            </w:r>
          </w:p>
        </w:tc>
        <w:tc>
          <w:tcPr>
            <w:tcW w:w="2060" w:type="dxa"/>
            <w:vAlign w:val="bottom"/>
            <w:gridSpan w:val="5"/>
          </w:tcPr>
          <w:p>
            <w:pPr>
              <w:ind w:left="500"/>
              <w:spacing w:after="0"/>
              <w:rPr>
                <w:sz w:val="20"/>
                <w:szCs w:val="20"/>
                <w:color w:val="auto"/>
              </w:rPr>
            </w:pPr>
            <w:r>
              <w:rPr>
                <w:rFonts w:ascii="Arial" w:cs="Arial" w:eastAsia="Arial" w:hAnsi="Arial"/>
                <w:sz w:val="18"/>
                <w:szCs w:val="18"/>
                <w:b w:val="1"/>
                <w:bCs w:val="1"/>
                <w:color w:val="auto"/>
              </w:rPr>
              <w:t># of Shares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Based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Accumulated</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Controlling</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r>
      <w:tr>
        <w:trPr>
          <w:trHeight w:val="237"/>
        </w:trPr>
        <w:tc>
          <w:tcPr>
            <w:tcW w:w="2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Units</w:t>
            </w:r>
          </w:p>
        </w:tc>
        <w:tc>
          <w:tcPr>
            <w:tcW w:w="90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SVS</w:t>
            </w: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PVS</w:t>
            </w:r>
          </w:p>
        </w:tc>
        <w:tc>
          <w:tcPr>
            <w:tcW w:w="20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Reserves</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Earnings</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r>
      <w:tr>
        <w:trPr>
          <w:trHeight w:val="184"/>
        </w:trPr>
        <w:tc>
          <w:tcPr>
            <w:tcW w:w="21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8"/>
              </w:rPr>
              <w:t>Balance as of January 1,</w:t>
            </w: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261,545,678</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111,752,803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5,090,823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116,843,626</w:t>
            </w:r>
          </w:p>
        </w:tc>
        <w:tc>
          <w:tcPr>
            <w:tcW w:w="100" w:type="dxa"/>
            <w:vAlign w:val="bottom"/>
            <w:shd w:val="clear" w:color="auto" w:fill="CCEEFF"/>
          </w:tcPr>
          <w:p>
            <w:pPr>
              <w:spacing w:after="0"/>
              <w:rPr>
                <w:sz w:val="20"/>
                <w:szCs w:val="20"/>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Buyout and transfer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w w:val="99"/>
              </w:rPr>
              <w:t>non-controlling interests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(6,765,629)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(134,371 )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(6,900,000 )</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(45,714)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(45,714)</w:t>
            </w:r>
          </w:p>
        </w:tc>
      </w:tr>
      <w:tr>
        <w:trPr>
          <w:trHeight w:val="236"/>
        </w:trPr>
        <w:tc>
          <w:tcPr>
            <w:tcW w:w="210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118,107,887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554,888</w:t>
            </w:r>
          </w:p>
        </w:tc>
        <w:tc>
          <w:tcPr>
            <w:tcW w:w="1080" w:type="dxa"/>
            <w:vAlign w:val="bottom"/>
          </w:tcPr>
          <w:p>
            <w:pPr>
              <w:jc w:val="right"/>
              <w:spacing w:after="0"/>
              <w:rPr>
                <w:sz w:val="20"/>
                <w:szCs w:val="20"/>
                <w:color w:val="auto"/>
              </w:rPr>
            </w:pPr>
            <w:r>
              <w:rPr>
                <w:rFonts w:ascii="Arial" w:cs="Arial" w:eastAsia="Arial" w:hAnsi="Arial"/>
                <w:sz w:val="18"/>
                <w:szCs w:val="18"/>
                <w:color w:val="auto"/>
              </w:rPr>
              <w:t>118,662,775</w:t>
            </w:r>
          </w:p>
        </w:tc>
        <w:tc>
          <w:tcPr>
            <w:tcW w:w="100" w:type="dxa"/>
            <w:vAlign w:val="bottom"/>
          </w:tcPr>
          <w:p>
            <w:pPr>
              <w:spacing w:after="0"/>
              <w:rPr>
                <w:sz w:val="20"/>
                <w:szCs w:val="20"/>
                <w:color w:val="auto"/>
              </w:rPr>
            </w:pPr>
          </w:p>
        </w:tc>
      </w:tr>
      <w:tr>
        <w:trPr>
          <w:trHeight w:val="216"/>
        </w:trPr>
        <w:tc>
          <w:tcPr>
            <w:tcW w:w="2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10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Balance as of September</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2"/>
        </w:trPr>
        <w:tc>
          <w:tcPr>
            <w:tcW w:w="2100" w:type="dxa"/>
            <w:vAlign w:val="bottom"/>
          </w:tcPr>
          <w:p>
            <w:pPr>
              <w:ind w:left="180"/>
              <w:spacing w:after="0"/>
              <w:rPr>
                <w:sz w:val="20"/>
                <w:szCs w:val="20"/>
                <w:color w:val="auto"/>
              </w:rPr>
            </w:pPr>
            <w:r>
              <w:rPr>
                <w:rFonts w:ascii="Arial" w:cs="Arial" w:eastAsia="Arial" w:hAnsi="Arial"/>
                <w:sz w:val="18"/>
                <w:szCs w:val="18"/>
                <w:b w:val="1"/>
                <w:bCs w:val="1"/>
                <w:color w:val="auto"/>
              </w:rPr>
              <w:t>30, 2020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261,545,678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$ 111,752,803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$ 111,296,544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$ 5,511,340</w:t>
            </w: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$ 228,560,687</w:t>
            </w:r>
          </w:p>
        </w:tc>
        <w:tc>
          <w:tcPr>
            <w:tcW w:w="100" w:type="dxa"/>
            <w:vAlign w:val="bottom"/>
          </w:tcPr>
          <w:p>
            <w:pPr>
              <w:spacing w:after="0"/>
              <w:rPr>
                <w:sz w:val="24"/>
                <w:szCs w:val="24"/>
                <w:color w:val="auto"/>
              </w:rPr>
            </w:pPr>
          </w:p>
        </w:tc>
      </w:tr>
      <w:tr>
        <w:trPr>
          <w:trHeight w:val="21"/>
        </w:trPr>
        <w:tc>
          <w:tcPr>
            <w:tcW w:w="2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20" w:type="dxa"/>
            <w:vAlign w:val="bottom"/>
          </w:tcPr>
          <w:p>
            <w:pPr>
              <w:spacing w:after="0"/>
              <w:rPr>
                <w:sz w:val="22"/>
                <w:szCs w:val="22"/>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LLC</w:t>
            </w: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7"/>
              </w:rPr>
              <w:t>Share Capital</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Share-</w:t>
            </w: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Membership</w:t>
            </w:r>
          </w:p>
        </w:tc>
        <w:tc>
          <w:tcPr>
            <w:tcW w:w="22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 of Shares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Based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Accumulated</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Controlling</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Units</w:t>
            </w:r>
          </w:p>
        </w:tc>
        <w:tc>
          <w:tcPr>
            <w:tcW w:w="108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SVS</w:t>
            </w: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PVS</w:t>
            </w:r>
          </w:p>
        </w:tc>
        <w:tc>
          <w:tcPr>
            <w:tcW w:w="18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Reserves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Earnings</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84"/>
        </w:trPr>
        <w:tc>
          <w:tcPr>
            <w:tcW w:w="18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4"/>
              </w:rPr>
              <w:t>Balance as of January</w:t>
            </w: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1, 2021</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279,900,000</w:t>
            </w: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242,387,456</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344,620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242,732,076</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Issuance of PubCo</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(279,900,000)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115,663,381</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1,643,366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716,240,115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716,240,115</w:t>
            </w: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Reverse takeover</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net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95,420,117</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95,420,117</w:t>
            </w:r>
          </w:p>
        </w:tc>
        <w:tc>
          <w:tcPr>
            <w:tcW w:w="0" w:type="dxa"/>
            <w:vAlign w:val="bottom"/>
          </w:tcPr>
          <w:p>
            <w:pPr>
              <w:spacing w:after="0"/>
              <w:rPr>
                <w:sz w:val="1"/>
                <w:szCs w:val="1"/>
                <w:color w:val="auto"/>
              </w:rPr>
            </w:pP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Issuance of shares in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conjunction with</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11,781,221</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88,718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382,016,992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382,016,992</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3,510,000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75,100,072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75,100,072</w:t>
            </w:r>
          </w:p>
        </w:tc>
        <w:tc>
          <w:tcPr>
            <w:tcW w:w="0" w:type="dxa"/>
            <w:vAlign w:val="bottom"/>
          </w:tcPr>
          <w:p>
            <w:pPr>
              <w:spacing w:after="0"/>
              <w:rPr>
                <w:sz w:val="1"/>
                <w:szCs w:val="1"/>
                <w:color w:val="auto"/>
              </w:rPr>
            </w:pP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Contingent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consideration &amp;</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w w:val="97"/>
              </w:rPr>
              <w:t>purchase accounting</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3,437,504</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4,662,990</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8,100,494</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shares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59,744,035</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(597,440)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Exercise of RSUs and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82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932,525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based</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523,436</w:t>
            </w: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523,436</w:t>
            </w:r>
          </w:p>
        </w:tc>
        <w:tc>
          <w:tcPr>
            <w:tcW w:w="0" w:type="dxa"/>
            <w:vAlign w:val="bottom"/>
          </w:tcPr>
          <w:p>
            <w:pPr>
              <w:spacing w:after="0"/>
              <w:rPr>
                <w:sz w:val="1"/>
                <w:szCs w:val="1"/>
                <w:color w:val="auto"/>
              </w:rPr>
            </w:pPr>
          </w:p>
        </w:tc>
      </w:tr>
      <w:tr>
        <w:trPr>
          <w:trHeight w:val="236"/>
        </w:trPr>
        <w:tc>
          <w:tcPr>
            <w:tcW w:w="182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178,630,125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1,989,821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180,619,946</w:t>
            </w:r>
          </w:p>
        </w:tc>
        <w:tc>
          <w:tcPr>
            <w:tcW w:w="0" w:type="dxa"/>
            <w:vAlign w:val="bottom"/>
          </w:tcPr>
          <w:p>
            <w:pPr>
              <w:spacing w:after="0"/>
              <w:rPr>
                <w:sz w:val="1"/>
                <w:szCs w:val="1"/>
                <w:color w:val="auto"/>
              </w:rPr>
            </w:pPr>
          </w:p>
        </w:tc>
      </w:tr>
      <w:tr>
        <w:trPr>
          <w:trHeight w:val="184"/>
        </w:trPr>
        <w:tc>
          <w:tcPr>
            <w:tcW w:w="18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as of</w:t>
            </w: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September 30, 2021</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201,631,162</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1,135,682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$ 1,514,602,256</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$ 5,186,426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$ 178,630,125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$ 2,334,441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$ 1,700,753,248</w:t>
            </w: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See accompanying notes to unaudited condensed interim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4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$ 180,619,946</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$ 118,662,775</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24,875,004</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7,931,808</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Non-cash interest expense</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8,492,872</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664,340</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income</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(1,096,317)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(845,749)</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485,479</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previously held equity interest</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(458,039)</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Bad debt expense</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84,915</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loan issuance costs – warrants</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4,405,756</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debt discount</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1,248,260</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300,227</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convertible debt discount</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5,525,503</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Write-off of note receivable</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13,733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derivative liability</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(6,778,510)</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Loss on deconsolidation of subsidiary</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80,168</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on discontinued operations</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4,775,780</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(Income) loss from underlying investees</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1,840,501</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(1,686,373)</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interest in Majesta Minerals</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523,436</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 compensation</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8,100,494</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Decrease in fair value of contingent consideration</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(2,642,291)</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share issuance</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1,206,520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(13,205,003)</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(3,757,530)</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(250,314,748)</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(23,234,059)</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Biological assets</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66,232,929</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(88,736,665)</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(4,200,477)</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(2,590,643)</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and other assets</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(646,989)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2,865,987</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(900,440)</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(7,855,791)</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82,764,342</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27,477,066</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Due to related parties</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(44,664)</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(38,054)</w:t>
            </w:r>
          </w:p>
        </w:tc>
      </w:tr>
      <w:tr>
        <w:trPr>
          <w:trHeight w:val="216"/>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distribution payable</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(271,376)</w:t>
            </w:r>
          </w:p>
        </w:tc>
      </w:tr>
      <w:tr>
        <w:trPr>
          <w:trHeight w:val="216"/>
        </w:trPr>
        <w:tc>
          <w:tcPr>
            <w:tcW w:w="7420" w:type="dxa"/>
            <w:vAlign w:val="bottom"/>
          </w:tcPr>
          <w:p>
            <w:pPr>
              <w:ind w:left="340"/>
              <w:spacing w:after="0"/>
              <w:rPr>
                <w:sz w:val="20"/>
                <w:szCs w:val="20"/>
                <w:color w:val="auto"/>
              </w:rPr>
            </w:pPr>
            <w:r>
              <w:rPr>
                <w:rFonts w:ascii="Arial" w:cs="Arial" w:eastAsia="Arial" w:hAnsi="Arial"/>
                <w:sz w:val="18"/>
                <w:szCs w:val="18"/>
                <w:color w:val="auto"/>
              </w:rPr>
              <w:t>Deferred taxes</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27,740,279</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11,339,635</w:t>
            </w:r>
          </w:p>
        </w:tc>
      </w:tr>
      <w:tr>
        <w:trPr>
          <w:trHeight w:val="237"/>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(629,868)</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3,916,371</w:t>
            </w:r>
          </w:p>
        </w:tc>
      </w:tr>
      <w:tr>
        <w:trPr>
          <w:trHeight w:val="216"/>
        </w:trPr>
        <w:tc>
          <w:tcPr>
            <w:tcW w:w="7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131,547,913</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52,292,627</w:t>
            </w:r>
          </w:p>
        </w:tc>
      </w:tr>
      <w:tr>
        <w:trPr>
          <w:trHeight w:val="216"/>
        </w:trPr>
        <w:tc>
          <w:tcPr>
            <w:tcW w:w="7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Cash paid in membership interest acquisition</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(200,000)</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(93,402,734)</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(31,703,450)</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Proceeds from disposal of assets</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896,123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to related parties</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108,254</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145,326</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Purchases of intangible assets</w:t>
            </w:r>
          </w:p>
        </w:tc>
        <w:tc>
          <w:tcPr>
            <w:tcW w:w="2620" w:type="dxa"/>
            <w:vAlign w:val="bottom"/>
            <w:gridSpan w:val="3"/>
          </w:tcPr>
          <w:p>
            <w:pPr>
              <w:jc w:val="right"/>
              <w:ind w:right="80"/>
              <w:spacing w:after="0"/>
              <w:rPr>
                <w:sz w:val="20"/>
                <w:szCs w:val="20"/>
                <w:color w:val="auto"/>
              </w:rPr>
            </w:pPr>
            <w:r>
              <w:rPr>
                <w:rFonts w:ascii="Arial" w:cs="Arial" w:eastAsia="Arial" w:hAnsi="Arial"/>
                <w:sz w:val="18"/>
                <w:szCs w:val="18"/>
                <w:color w:val="auto"/>
              </w:rPr>
              <w:t>(8,764,949)</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(3,857,797)</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acquisitions, net of cash received</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(225,691,164)</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(11,002,473)</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Dividend received from investments in associates</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1,000,000</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1,784,333</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note receivable</w:t>
            </w:r>
          </w:p>
        </w:tc>
        <w:tc>
          <w:tcPr>
            <w:tcW w:w="2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(146,511)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(180,000)</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Proceeds from payment of note receivable</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4,215,337</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850,000</w:t>
            </w:r>
          </w:p>
        </w:tc>
      </w:tr>
      <w:tr>
        <w:trPr>
          <w:trHeight w:val="23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received on note receivable</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141,749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7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(321,643,895)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(44,164,061)</w:t>
            </w:r>
          </w:p>
        </w:tc>
      </w:tr>
      <w:tr>
        <w:trPr>
          <w:trHeight w:val="27"/>
        </w:trPr>
        <w:tc>
          <w:tcPr>
            <w:tcW w:w="7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See accompanying notes to unaudited condensed interim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members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(45,712)</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Proceeds from issuance of notes payable</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100,424,974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32,473,922</w:t>
            </w:r>
          </w:p>
        </w:tc>
      </w:tr>
      <w:tr>
        <w:trPr>
          <w:trHeight w:val="216"/>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repayments of notes payable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(9,862,385)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(8,395,833)</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Debt issuance costs paid</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(5,537,536)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(1,068,481)</w:t>
            </w:r>
          </w:p>
        </w:tc>
      </w:tr>
      <w:tr>
        <w:trPr>
          <w:trHeight w:val="216"/>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lease liabilities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(5,006,429)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(2,397,578)</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Proceeds received from RTO financing</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75,420,117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50"/>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received in private placement warrant</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75,100,072</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0"/>
        </w:trPr>
        <w:tc>
          <w:tcPr>
            <w:tcW w:w="8700" w:type="dxa"/>
            <w:vAlign w:val="bottom"/>
            <w:tcBorders>
              <w:top w:val="single" w:sz="8" w:color="CCEEFF"/>
              <w:bottom w:val="single" w:sz="8" w:color="CCEEFF"/>
            </w:tcBorders>
          </w:tcPr>
          <w:p>
            <w:pPr>
              <w:ind w:left="300"/>
              <w:spacing w:after="0" w:line="203"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230,538,813</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20,566,318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NET INCREASE (DECREASE) IN CASH</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40,442,831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28,694,884</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700" w:type="dxa"/>
            <w:vAlign w:val="bottom"/>
          </w:tcPr>
          <w:p>
            <w:pPr>
              <w:spacing w:after="0"/>
              <w:rPr>
                <w:sz w:val="20"/>
                <w:szCs w:val="20"/>
                <w:color w:val="auto"/>
              </w:rPr>
            </w:pPr>
            <w:r>
              <w:rPr>
                <w:rFonts w:ascii="Arial" w:cs="Arial" w:eastAsia="Arial" w:hAnsi="Arial"/>
                <w:sz w:val="18"/>
                <w:szCs w:val="18"/>
                <w:b w:val="1"/>
                <w:bCs w:val="1"/>
                <w:color w:val="auto"/>
              </w:rPr>
              <w:t>CASH, BEGINNING OF PERIOD</w:t>
            </w: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16,494,365</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6,417,703</w:t>
            </w:r>
          </w:p>
        </w:tc>
      </w:tr>
      <w:tr>
        <w:trPr>
          <w:trHeight w:val="216"/>
        </w:trPr>
        <w:tc>
          <w:tcPr>
            <w:tcW w:w="8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8700" w:type="dxa"/>
            <w:vAlign w:val="bottom"/>
          </w:tcPr>
          <w:p>
            <w:pPr>
              <w:spacing w:after="0"/>
              <w:rPr>
                <w:sz w:val="20"/>
                <w:szCs w:val="20"/>
                <w:color w:val="auto"/>
              </w:rPr>
            </w:pPr>
            <w:r>
              <w:rPr>
                <w:rFonts w:ascii="Arial" w:cs="Arial" w:eastAsia="Arial" w:hAnsi="Arial"/>
                <w:sz w:val="18"/>
                <w:szCs w:val="18"/>
                <w:b w:val="1"/>
                <w:bCs w:val="1"/>
                <w:color w:val="auto"/>
              </w:rPr>
              <w:t>CASH,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56,937,196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35,112,587</w:t>
            </w:r>
          </w:p>
        </w:tc>
      </w:tr>
      <w:tr>
        <w:trPr>
          <w:trHeight w:val="216"/>
        </w:trPr>
        <w:tc>
          <w:tcPr>
            <w:tcW w:w="8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7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8,027,375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1,121,266</w:t>
            </w:r>
          </w:p>
        </w:tc>
      </w:tr>
      <w:tr>
        <w:trPr>
          <w:trHeight w:val="216"/>
        </w:trPr>
        <w:tc>
          <w:tcPr>
            <w:tcW w:w="8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OTHER NON-CASH INVESTING AND FINANCING ACTIVITIES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capital expenditures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7,382,768</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5,913,812</w:t>
            </w:r>
          </w:p>
        </w:tc>
        <w:tc>
          <w:tcPr>
            <w:tcW w:w="100" w:type="dxa"/>
            <w:vAlign w:val="bottom"/>
            <w:tcBorders>
              <w:bottom w:val="single" w:sz="8" w:color="CCEEFF"/>
            </w:tcBorders>
          </w:tcPr>
          <w:p>
            <w:pPr>
              <w:spacing w:after="0"/>
              <w:rPr>
                <w:sz w:val="24"/>
                <w:szCs w:val="24"/>
                <w:color w:val="auto"/>
              </w:rPr>
            </w:pPr>
          </w:p>
        </w:tc>
      </w:tr>
      <w:tr>
        <w:trPr>
          <w:trHeight w:val="223"/>
        </w:trPr>
        <w:tc>
          <w:tcPr>
            <w:tcW w:w="8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Issuance of shares under business combinations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1,095,307,081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in business combination: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Tangible and intangible assets acquired, net of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1,550,219,454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21,832,466</w:t>
            </w: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assumed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(314,547,498)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(1,132,431)</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Acquisition price payable</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(1,571,415,720)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(10,000,000)</w:t>
            </w: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note payable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(350,000)</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312,820,283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261,116</w:t>
            </w:r>
          </w:p>
        </w:tc>
      </w:tr>
      <w:tr>
        <w:trPr>
          <w:trHeight w:val="237"/>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Previously held equity interest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(580,000)</w:t>
            </w:r>
          </w:p>
        </w:tc>
      </w:tr>
      <w:tr>
        <w:trPr>
          <w:trHeight w:val="216"/>
        </w:trPr>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in business combination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(22,923,481</w:t>
            </w:r>
            <w:r>
              <w:rPr>
                <w:rFonts w:ascii="Arial" w:cs="Arial" w:eastAsia="Arial" w:hAnsi="Arial"/>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10,031,151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See accompanying notes to unaudited condensed interim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References herein to “the Company,” or “Verano,” are intended to mean Verano Holdings Corp. and its subsidiaries, affiliates, licensees, and managed entities (collectively, the “Company”).</w:t>
      </w:r>
    </w:p>
    <w:p>
      <w:pPr>
        <w:spacing w:after="0" w:line="170"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Verano is a vertically integrated cannabis operator that focuses on limited-licensed markets in the United States. As a vertically integrated provider, the Company owns, operates, manages, consults, and/or has licensing or other commercial agreements with cultivation, processing, and retail licensees across twelve state markets (Illinois, Florida, Arizona, Maryland, Nevada, Ohio, Michigan, Massachusetts, Arkansas, New Jersey, Pennsylvania, and West Virginia).</w:t>
      </w:r>
    </w:p>
    <w:p>
      <w:pPr>
        <w:spacing w:after="0" w:line="187" w:lineRule="exact"/>
        <w:rPr>
          <w:sz w:val="20"/>
          <w:szCs w:val="20"/>
          <w:color w:val="auto"/>
        </w:rPr>
      </w:pPr>
    </w:p>
    <w:p>
      <w:pPr>
        <w:ind w:left="340" w:right="180"/>
        <w:spacing w:after="0" w:line="342" w:lineRule="auto"/>
        <w:rPr>
          <w:sz w:val="20"/>
          <w:szCs w:val="20"/>
          <w:color w:val="auto"/>
        </w:rPr>
      </w:pPr>
      <w:r>
        <w:rPr>
          <w:rFonts w:ascii="Arial" w:cs="Arial" w:eastAsia="Arial" w:hAnsi="Arial"/>
          <w:sz w:val="16"/>
          <w:szCs w:val="16"/>
          <w:color w:val="auto"/>
        </w:rPr>
        <w:t>In addition to the states listed above, the Company also conducts pre-licensing activities in several other markets. In these markets, the Company has either applied for licenses, or plans on applying for licenses, but does not currently own any cultivation, production, or retail licenses.</w:t>
      </w:r>
    </w:p>
    <w:p>
      <w:pPr>
        <w:spacing w:after="0" w:line="124"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On February 11, 2021, the Company completed a reverse takeover transaction (“RTO”) as further described in Note 3. Thereafter, the Company’s Subordinate Voting Shares were listed on the Canadian Securities Exchange (the “CSE”) under ticker symbol “VRNO” and subsequently began trading on the OTCQX, part of the OTC Markets Group, under the ticker “VRNOF”.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corporate headquarters is located at 415 North Dearborn St., Suite 400, Chicago, Illinois 60654.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340" w:right="240"/>
        <w:spacing w:after="0" w:line="311" w:lineRule="auto"/>
        <w:rPr>
          <w:sz w:val="20"/>
          <w:szCs w:val="20"/>
          <w:color w:val="auto"/>
        </w:rPr>
      </w:pPr>
      <w:r>
        <w:rPr>
          <w:rFonts w:ascii="Arial" w:cs="Arial" w:eastAsia="Arial" w:hAnsi="Arial"/>
          <w:sz w:val="16"/>
          <w:szCs w:val="16"/>
          <w:color w:val="auto"/>
        </w:rPr>
        <w:t xml:space="preserve">The unaudited condensed interim consolidated financial statements of the Company have been prepared in accordance with International Financial Reporting Standards (“IFRS”) as issued by the International Accounting Standards Board (“IASB”), International Accounting Standards (“IAS”) 34 </w:t>
      </w:r>
      <w:r>
        <w:rPr>
          <w:rFonts w:ascii="Arial" w:cs="Arial" w:eastAsia="Arial" w:hAnsi="Arial"/>
          <w:sz w:val="16"/>
          <w:szCs w:val="16"/>
          <w:i w:val="1"/>
          <w:iCs w:val="1"/>
          <w:color w:val="auto"/>
        </w:rPr>
        <w:t xml:space="preserve">Interim Financial Reporting </w:t>
      </w:r>
      <w:r>
        <w:rPr>
          <w:rFonts w:ascii="Arial" w:cs="Arial" w:eastAsia="Arial" w:hAnsi="Arial"/>
          <w:sz w:val="16"/>
          <w:szCs w:val="16"/>
          <w:color w:val="auto"/>
        </w:rPr>
        <w:t>and Interpretations of the IFRS Interpretations Committee (“IFRIC”) in effect for all periods presented.</w:t>
      </w:r>
    </w:p>
    <w:p>
      <w:pPr>
        <w:spacing w:after="0" w:line="149" w:lineRule="exact"/>
        <w:rPr>
          <w:sz w:val="20"/>
          <w:szCs w:val="20"/>
          <w:color w:val="auto"/>
        </w:rPr>
      </w:pPr>
    </w:p>
    <w:p>
      <w:pPr>
        <w:ind w:left="340" w:right="20"/>
        <w:spacing w:after="0" w:line="271" w:lineRule="auto"/>
        <w:rPr>
          <w:sz w:val="20"/>
          <w:szCs w:val="20"/>
          <w:color w:val="auto"/>
        </w:rPr>
      </w:pPr>
      <w:r>
        <w:rPr>
          <w:rFonts w:ascii="Arial" w:cs="Arial" w:eastAsia="Arial" w:hAnsi="Arial"/>
          <w:sz w:val="17"/>
          <w:szCs w:val="17"/>
          <w:color w:val="auto"/>
        </w:rPr>
        <w:t>These unaudited condensed interim consolidated financial statements have been prepared in accordance with IFRS with the going concern assumption, which assumes that the Company will continue in operation for the foreseeable future and, accordingly, will be able to realize its assets and discharge its liabilities in the normal course of operations. The Company’s ability to realize its assets and discharge its liabilities is dependent upon the Company obtaining the necessary financing and ultimately upon its ability to achieve profitable operations. Management estimates that the Company will be able to meet its obligations and sustain operations for at least the next twelve months. Failure to arrange adequate financing on acceptable terms and/or achieve profitability may have an adverse effect on the financial position, results of operations, cash flows and prospects of the Company. These unaudited condensed interim consolidated financial statements do not include any adjustments to assets or liabilities that would be necessary should the Company be unable to continue as a going concern.</w:t>
      </w:r>
    </w:p>
    <w:p>
      <w:pPr>
        <w:spacing w:after="0" w:line="178" w:lineRule="exact"/>
        <w:rPr>
          <w:sz w:val="20"/>
          <w:szCs w:val="20"/>
          <w:color w:val="auto"/>
        </w:rPr>
      </w:pPr>
    </w:p>
    <w:p>
      <w:pPr>
        <w:ind w:left="340" w:right="700"/>
        <w:spacing w:after="0" w:line="277" w:lineRule="auto"/>
        <w:rPr>
          <w:sz w:val="20"/>
          <w:szCs w:val="20"/>
          <w:color w:val="auto"/>
        </w:rPr>
      </w:pPr>
      <w:r>
        <w:rPr>
          <w:rFonts w:ascii="Arial" w:cs="Arial" w:eastAsia="Arial" w:hAnsi="Arial"/>
          <w:sz w:val="18"/>
          <w:szCs w:val="18"/>
          <w:color w:val="auto"/>
        </w:rPr>
        <w:t>These unaudited condensed interim consolidated financial statements were approved and authorized for issue by the Board of Directors of the Company on November 10, 2021.</w:t>
      </w:r>
    </w:p>
    <w:p>
      <w:pPr>
        <w:spacing w:after="0" w:line="166"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229" w:lineRule="exact"/>
        <w:rPr>
          <w:rFonts w:ascii="Arial" w:cs="Arial" w:eastAsia="Arial" w:hAnsi="Arial"/>
          <w:sz w:val="18"/>
          <w:szCs w:val="18"/>
          <w:b w:val="1"/>
          <w:bCs w:val="1"/>
          <w:color w:val="auto"/>
        </w:rPr>
      </w:pPr>
    </w:p>
    <w:p>
      <w:pPr>
        <w:ind w:left="340"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unaudited condensed interim consolidated financial statements have been prepared on the going concern basis, under the historical cost convention except for certain financial instruments and biological assets that are measured at fair values.</w:t>
      </w:r>
    </w:p>
    <w:p>
      <w:pPr>
        <w:spacing w:after="0" w:line="278" w:lineRule="exact"/>
        <w:rPr>
          <w:rFonts w:ascii="Arial" w:cs="Arial" w:eastAsia="Arial" w:hAnsi="Arial"/>
          <w:sz w:val="18"/>
          <w:szCs w:val="18"/>
          <w:b w:val="1"/>
          <w:bCs w:val="1"/>
          <w:color w:val="auto"/>
        </w:rPr>
      </w:pPr>
    </w:p>
    <w:p>
      <w:pPr>
        <w:ind w:left="5580" w:hanging="106"/>
        <w:spacing w:after="0"/>
        <w:tabs>
          <w:tab w:leader="none" w:pos="55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BASIS OF PRESENTATION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rFonts w:ascii="Arial" w:cs="Arial" w:eastAsia="Arial" w:hAnsi="Arial"/>
          <w:sz w:val="18"/>
          <w:szCs w:val="18"/>
          <w:b w:val="1"/>
          <w:bCs w:val="1"/>
          <w:color w:val="auto"/>
        </w:rPr>
      </w:pPr>
    </w:p>
    <w:p>
      <w:pPr>
        <w:ind w:left="34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have been no changes to the Company’s significant accounting policies as described in Note 2 of the Company’s 2020 annual report and the Company’s March 31, 2021 unaudited condensed interim consolidated financial statements.</w:t>
      </w:r>
    </w:p>
    <w:p>
      <w:pPr>
        <w:spacing w:after="0" w:line="170" w:lineRule="exact"/>
        <w:rPr>
          <w:rFonts w:ascii="Arial" w:cs="Arial" w:eastAsia="Arial" w:hAnsi="Arial"/>
          <w:sz w:val="18"/>
          <w:szCs w:val="18"/>
          <w:b w:val="1"/>
          <w:bCs w:val="1"/>
          <w:color w:val="auto"/>
        </w:rPr>
      </w:pPr>
    </w:p>
    <w:p>
      <w:pPr>
        <w:ind w:left="980" w:hanging="324"/>
        <w:spacing w:after="0"/>
        <w:tabs>
          <w:tab w:leader="none" w:pos="980" w:val="left"/>
        </w:tabs>
        <w:numPr>
          <w:ilvl w:val="1"/>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Share-Based Compensation</w:t>
      </w:r>
    </w:p>
    <w:p>
      <w:pPr>
        <w:spacing w:after="0" w:line="225" w:lineRule="exact"/>
        <w:rPr>
          <w:rFonts w:ascii="Arial" w:cs="Arial" w:eastAsia="Arial" w:hAnsi="Arial"/>
          <w:sz w:val="18"/>
          <w:szCs w:val="18"/>
          <w:i w:val="1"/>
          <w:iCs w:val="1"/>
          <w:color w:val="auto"/>
        </w:rPr>
      </w:pPr>
    </w:p>
    <w:p>
      <w:pPr>
        <w:ind w:left="98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The Company measures equity settled share-based payment based on its value at the grant date and recognizes compensation expense over the vesting period based on the Company’s estimate of equity instruments that will eventually vest. Expected forfeitures are estimated at the date of grant and subsequently adjusted if further information indicates actual forfeitures may vary from the original estimate. The impact of the revision of the original estimate is recognized in profit or loss such that the cumulative expense reflects the revised estimate.</w:t>
      </w:r>
    </w:p>
    <w:p>
      <w:pPr>
        <w:spacing w:after="0" w:line="157" w:lineRule="exact"/>
        <w:rPr>
          <w:rFonts w:ascii="Arial" w:cs="Arial" w:eastAsia="Arial" w:hAnsi="Arial"/>
          <w:sz w:val="18"/>
          <w:szCs w:val="18"/>
          <w:i w:val="1"/>
          <w:iCs w:val="1"/>
          <w:color w:val="auto"/>
        </w:rPr>
      </w:pPr>
    </w:p>
    <w:p>
      <w:pPr>
        <w:ind w:left="980" w:hanging="324"/>
        <w:spacing w:after="0"/>
        <w:tabs>
          <w:tab w:leader="none" w:pos="980" w:val="left"/>
        </w:tabs>
        <w:numPr>
          <w:ilvl w:val="1"/>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Earnings Per Share</w:t>
      </w:r>
    </w:p>
    <w:p>
      <w:pPr>
        <w:spacing w:after="0" w:line="225" w:lineRule="exact"/>
        <w:rPr>
          <w:rFonts w:ascii="Arial" w:cs="Arial" w:eastAsia="Arial" w:hAnsi="Arial"/>
          <w:sz w:val="18"/>
          <w:szCs w:val="18"/>
          <w:i w:val="1"/>
          <w:iCs w:val="1"/>
          <w:color w:val="auto"/>
        </w:rPr>
      </w:pPr>
    </w:p>
    <w:p>
      <w:pPr>
        <w:ind w:left="980" w:right="6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Company presents basic and diluted earnings per share. Basic earnings per share is calculated by dividing the profit or loss attributable to shareholders by the weighted average number of shares outstanding during the period. Diluted earnings per share is determined by adjusting the profit or loss attributable to shareholders and the weighted average number of shares outstanding, for the effects of all dilutive potential shares, which are comprised of convertible shares, warrants, options and restricted stock units (“RSUs”) issued. Items with an anti-dilutive impact are excluded from the calculation.</w:t>
      </w:r>
    </w:p>
    <w:p>
      <w:pPr>
        <w:spacing w:after="0" w:line="187" w:lineRule="exact"/>
        <w:rPr>
          <w:rFonts w:ascii="Arial" w:cs="Arial" w:eastAsia="Arial" w:hAnsi="Arial"/>
          <w:sz w:val="18"/>
          <w:szCs w:val="18"/>
          <w:i w:val="1"/>
          <w:iCs w:val="1"/>
          <w:color w:val="auto"/>
        </w:rPr>
      </w:pPr>
    </w:p>
    <w:p>
      <w:pPr>
        <w:ind w:left="980" w:hanging="324"/>
        <w:spacing w:after="0"/>
        <w:tabs>
          <w:tab w:leader="none" w:pos="980" w:val="left"/>
        </w:tabs>
        <w:numPr>
          <w:ilvl w:val="1"/>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Intangible Assets</w:t>
      </w:r>
    </w:p>
    <w:p>
      <w:pPr>
        <w:spacing w:after="0" w:line="225" w:lineRule="exact"/>
        <w:rPr>
          <w:rFonts w:ascii="Arial" w:cs="Arial" w:eastAsia="Arial" w:hAnsi="Arial"/>
          <w:sz w:val="18"/>
          <w:szCs w:val="18"/>
          <w:i w:val="1"/>
          <w:iCs w:val="1"/>
          <w:color w:val="auto"/>
        </w:rPr>
      </w:pPr>
    </w:p>
    <w:p>
      <w:pPr>
        <w:ind w:left="980" w:right="5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Company accounts for intangible assets at cost, less impairment losses, if any. Intangible assets acquired in a business combination are measured at fair value at the acquisition date.</w:t>
      </w:r>
    </w:p>
    <w:p>
      <w:pPr>
        <w:spacing w:after="0" w:line="170" w:lineRule="exact"/>
        <w:rPr>
          <w:rFonts w:ascii="Arial" w:cs="Arial" w:eastAsia="Arial" w:hAnsi="Arial"/>
          <w:sz w:val="18"/>
          <w:szCs w:val="18"/>
          <w:i w:val="1"/>
          <w:iCs w:val="1"/>
          <w:color w:val="auto"/>
        </w:rPr>
      </w:pPr>
    </w:p>
    <w:p>
      <w:pPr>
        <w:ind w:left="980" w:right="26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Certain intangible assets, including cannabis licenses and tradenames, have indefinite useful lives and are not subject to amortization. Such assets are tested annually for impairment or more frequently if events or changes in circumstances indicate that they might be impaired.</w:t>
      </w:r>
    </w:p>
    <w:p>
      <w:pPr>
        <w:spacing w:after="0" w:line="123" w:lineRule="exact"/>
        <w:rPr>
          <w:rFonts w:ascii="Arial" w:cs="Arial" w:eastAsia="Arial" w:hAnsi="Arial"/>
          <w:sz w:val="18"/>
          <w:szCs w:val="18"/>
          <w:i w:val="1"/>
          <w:iCs w:val="1"/>
          <w:color w:val="auto"/>
        </w:rPr>
      </w:pPr>
    </w:p>
    <w:p>
      <w:pPr>
        <w:ind w:left="980" w:right="1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In accordance with IAS 38, Intangible Assets, an intangible asset has an indefinite useful life when there is no foreseeable limit to the period over which the asset is expected to generate net cash inflows for the entity.</w:t>
      </w:r>
    </w:p>
    <w:p>
      <w:pPr>
        <w:spacing w:after="0" w:line="170" w:lineRule="exact"/>
        <w:rPr>
          <w:rFonts w:ascii="Arial" w:cs="Arial" w:eastAsia="Arial" w:hAnsi="Arial"/>
          <w:sz w:val="18"/>
          <w:szCs w:val="18"/>
          <w:i w:val="1"/>
          <w:iCs w:val="1"/>
          <w:color w:val="auto"/>
        </w:rPr>
      </w:pPr>
    </w:p>
    <w:p>
      <w:pPr>
        <w:ind w:left="980"/>
        <w:spacing w:after="0"/>
        <w:rPr>
          <w:rFonts w:ascii="Arial" w:cs="Arial" w:eastAsia="Arial" w:hAnsi="Arial"/>
          <w:sz w:val="18"/>
          <w:szCs w:val="18"/>
          <w:i w:val="1"/>
          <w:iCs w:val="1"/>
          <w:color w:val="auto"/>
        </w:rPr>
      </w:pPr>
      <w:r>
        <w:rPr>
          <w:rFonts w:ascii="Arial" w:cs="Arial" w:eastAsia="Arial" w:hAnsi="Arial"/>
          <w:sz w:val="18"/>
          <w:szCs w:val="18"/>
          <w:color w:val="auto"/>
        </w:rPr>
        <w:t>The Company assessed intangible assets, including cannabis licenses, based on certain factors including the following:</w:t>
      </w:r>
    </w:p>
    <w:p>
      <w:pPr>
        <w:spacing w:after="0" w:line="225" w:lineRule="exact"/>
        <w:rPr>
          <w:rFonts w:ascii="Arial" w:cs="Arial" w:eastAsia="Arial" w:hAnsi="Arial"/>
          <w:sz w:val="18"/>
          <w:szCs w:val="18"/>
          <w:i w:val="1"/>
          <w:iCs w:val="1"/>
          <w:color w:val="auto"/>
        </w:rPr>
      </w:pPr>
    </w:p>
    <w:p>
      <w:pPr>
        <w:ind w:left="1620" w:hanging="316"/>
        <w:spacing w:after="0"/>
        <w:tabs>
          <w:tab w:leader="none" w:pos="16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Number of licenses granted in the respective state;</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Perpetual life of the license; and</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ongoing nature of the business requires licenses.</w:t>
      </w:r>
    </w:p>
    <w:p>
      <w:pPr>
        <w:spacing w:after="0" w:line="225" w:lineRule="exact"/>
        <w:rPr>
          <w:sz w:val="20"/>
          <w:szCs w:val="20"/>
          <w:color w:val="auto"/>
        </w:rPr>
      </w:pPr>
    </w:p>
    <w:p>
      <w:pPr>
        <w:ind w:left="980" w:right="480"/>
        <w:spacing w:after="0" w:line="277" w:lineRule="auto"/>
        <w:rPr>
          <w:sz w:val="20"/>
          <w:szCs w:val="20"/>
          <w:color w:val="auto"/>
        </w:rPr>
      </w:pPr>
      <w:r>
        <w:rPr>
          <w:rFonts w:ascii="Arial" w:cs="Arial" w:eastAsia="Arial" w:hAnsi="Arial"/>
          <w:sz w:val="18"/>
          <w:szCs w:val="18"/>
          <w:color w:val="auto"/>
        </w:rPr>
        <w:t>In accordance with IAS 38, Intangible Assets, intangible assets are amortized, unless they have an indefinite useful life. Amortization is carried out on a systematic basis over the useful life of the intangible asset.</w:t>
      </w:r>
    </w:p>
    <w:p>
      <w:pPr>
        <w:spacing w:after="0" w:line="170" w:lineRule="exact"/>
        <w:rPr>
          <w:sz w:val="20"/>
          <w:szCs w:val="20"/>
          <w:color w:val="auto"/>
        </w:rPr>
      </w:pPr>
    </w:p>
    <w:p>
      <w:pPr>
        <w:ind w:left="980" w:right="260"/>
        <w:spacing w:after="0" w:line="263" w:lineRule="auto"/>
        <w:rPr>
          <w:sz w:val="20"/>
          <w:szCs w:val="20"/>
          <w:color w:val="auto"/>
        </w:rPr>
      </w:pPr>
      <w:r>
        <w:rPr>
          <w:rFonts w:ascii="Arial" w:cs="Arial" w:eastAsia="Arial" w:hAnsi="Arial"/>
          <w:sz w:val="18"/>
          <w:szCs w:val="18"/>
          <w:color w:val="auto"/>
        </w:rPr>
        <w:t>The Company identified certain intangible assets that do not meet the definition of an indefinite lived intangible asset. These assets include technology and website licenses. Intangible assets with finite useful lives are amortized on a systematic basis and are analyzed for impairment when there is an indication that the asset has been impaired.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 and Interpretations</w:t>
      </w:r>
    </w:p>
    <w:p>
      <w:pPr>
        <w:spacing w:after="0" w:line="229" w:lineRule="exact"/>
        <w:rPr>
          <w:rFonts w:ascii="Arial" w:cs="Arial" w:eastAsia="Arial" w:hAnsi="Arial"/>
          <w:sz w:val="18"/>
          <w:szCs w:val="18"/>
          <w:b w:val="1"/>
          <w:bCs w:val="1"/>
          <w:color w:val="auto"/>
        </w:rPr>
      </w:pPr>
    </w:p>
    <w:p>
      <w:pPr>
        <w:ind w:left="660" w:right="4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IFRS standards have been recently issued by the IASB. The Company has assessed or is assessing the impact of these new standards on future consolidated financial statements. Pronouncements that are not applicable or where it has been determined do not have a significant impact to the Company have been excluded herein.</w:t>
      </w:r>
    </w:p>
    <w:p>
      <w:pPr>
        <w:spacing w:after="0" w:line="183" w:lineRule="exact"/>
        <w:rPr>
          <w:rFonts w:ascii="Arial" w:cs="Arial" w:eastAsia="Arial" w:hAnsi="Arial"/>
          <w:sz w:val="18"/>
          <w:szCs w:val="18"/>
          <w:b w:val="1"/>
          <w:bCs w:val="1"/>
          <w:color w:val="auto"/>
        </w:rPr>
      </w:pPr>
    </w:p>
    <w:p>
      <w:pPr>
        <w:ind w:left="980" w:right="60" w:hanging="324"/>
        <w:spacing w:after="0" w:line="277" w:lineRule="auto"/>
        <w:tabs>
          <w:tab w:leader="none" w:pos="980" w:val="left"/>
        </w:tabs>
        <w:numPr>
          <w:ilvl w:val="2"/>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IAS 1 – Presentation of Financial Statements (“IAS 1”) and IAS 8 – Accounting Policies, Changes in Accounting Estimates and Errors (“IAS 8”)</w:t>
      </w:r>
    </w:p>
    <w:p>
      <w:pPr>
        <w:spacing w:after="0" w:line="170" w:lineRule="exact"/>
        <w:rPr>
          <w:rFonts w:ascii="Arial" w:cs="Arial" w:eastAsia="Arial" w:hAnsi="Arial"/>
          <w:sz w:val="18"/>
          <w:szCs w:val="18"/>
          <w:i w:val="1"/>
          <w:iCs w:val="1"/>
          <w:color w:val="auto"/>
        </w:rPr>
      </w:pPr>
    </w:p>
    <w:p>
      <w:pPr>
        <w:ind w:left="980" w:right="4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IAS 1 and IAS 8 were amended in October 2018 to refine the definition of materiality and clarify its characteristics. The revised definition focuses on the idea that information is material if omitting, misstating or obscuring it could reasonably be expected to influence decisions that the primary users of general-purpose financial statements make on the basis of those financial statements. The amendments were effective for annual reporting periods beginning on or after January 1, 2020. The Company early adopted IAS 1 and IAS 8 prior to January 1, 2020. The adoption of IAS 1 and IAS 8 did not have a material impact on the consolidated financial statements.</w:t>
      </w:r>
    </w:p>
    <w:p>
      <w:pPr>
        <w:spacing w:after="0" w:line="161" w:lineRule="exact"/>
        <w:rPr>
          <w:rFonts w:ascii="Arial" w:cs="Arial" w:eastAsia="Arial" w:hAnsi="Arial"/>
          <w:sz w:val="18"/>
          <w:szCs w:val="18"/>
          <w:i w:val="1"/>
          <w:iCs w:val="1"/>
          <w:color w:val="auto"/>
        </w:rPr>
      </w:pPr>
    </w:p>
    <w:p>
      <w:pPr>
        <w:ind w:left="980" w:hanging="324"/>
        <w:spacing w:after="0"/>
        <w:tabs>
          <w:tab w:leader="none" w:pos="980" w:val="left"/>
        </w:tabs>
        <w:numPr>
          <w:ilvl w:val="2"/>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Amendment to IFRS 3: Definition of a Business</w:t>
      </w:r>
    </w:p>
    <w:p>
      <w:pPr>
        <w:spacing w:after="0" w:line="225" w:lineRule="exact"/>
        <w:rPr>
          <w:rFonts w:ascii="Arial" w:cs="Arial" w:eastAsia="Arial" w:hAnsi="Arial"/>
          <w:sz w:val="18"/>
          <w:szCs w:val="18"/>
          <w:i w:val="1"/>
          <w:iCs w:val="1"/>
          <w:color w:val="auto"/>
        </w:rPr>
      </w:pPr>
    </w:p>
    <w:p>
      <w:pPr>
        <w:ind w:left="980" w:right="10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In October 2018, the IASB issued “Definition of a Business (Amendments to IFRS 3)” (the “IFRS 3 Amendment”). The IFRS 3 Amendment clarifies the definition of a business, with the objective of assisting entities to determine whether a transaction should be accounted for as a business combination or as an asset acquisition. The IFRS 3 Amendment provides an assessment framework to determine when a series of integrated activities is not a business. The IFRS 3 Amendment is effective for business combinations occurring on or after the beginning of the first annual reporting period beginning on or after January 1, 2020. The Company early adopted IFRS 3 as of January 1, 2019. The adoption did not have a material impact on the consolidated financial statements.</w:t>
      </w:r>
    </w:p>
    <w:p>
      <w:pPr>
        <w:spacing w:after="0" w:line="173" w:lineRule="exact"/>
        <w:rPr>
          <w:rFonts w:ascii="Arial" w:cs="Arial" w:eastAsia="Arial" w:hAnsi="Arial"/>
          <w:sz w:val="18"/>
          <w:szCs w:val="18"/>
          <w:i w:val="1"/>
          <w:iCs w:val="1"/>
          <w:color w:val="auto"/>
        </w:rPr>
      </w:pPr>
    </w:p>
    <w:p>
      <w:pPr>
        <w:ind w:left="660" w:hanging="328"/>
        <w:spacing w:after="0"/>
        <w:tabs>
          <w:tab w:leader="none" w:pos="66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 and Interpretations to be Adopted</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brief summary of the new standards issued but not yet effective:</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2"/>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Amendments to IAS 1: Classification of Liabilities as Current or Non-Current</w:t>
      </w:r>
    </w:p>
    <w:p>
      <w:pPr>
        <w:spacing w:after="0" w:line="225" w:lineRule="exact"/>
        <w:rPr>
          <w:rFonts w:ascii="Arial" w:cs="Arial" w:eastAsia="Arial" w:hAnsi="Arial"/>
          <w:sz w:val="18"/>
          <w:szCs w:val="18"/>
          <w:i w:val="1"/>
          <w:iCs w:val="1"/>
          <w:color w:val="auto"/>
        </w:rPr>
      </w:pPr>
    </w:p>
    <w:p>
      <w:pPr>
        <w:ind w:left="980" w:right="2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In January 2020, the IASB issued Classification of Liabilities as Current or Non-current (“Amendments to IAS 1”). The Amendments to IAS 1 aim to promote consistency in applying the requirements by helping companies determine whether, in the statement of financial position, debt and other liabilities with an uncertain settlement date should be classified as current (due or potentially due to be settled within one year) or non-current. The Amendments to IAS 1 include clarifying the classification requirements for debt a company might settle by converting it into equity. The Amendments to IAS 1 are effective for annual reporting periods beginning or after January 1, 2023 (extended from January 1, 2022), with earlier application permitted. The Company is currently evaluating the effect of adopting the amendments to IAS 1 on the Company’s financial statements.</w:t>
      </w:r>
    </w:p>
    <w:p>
      <w:pPr>
        <w:spacing w:after="0" w:line="194" w:lineRule="exact"/>
        <w:rPr>
          <w:rFonts w:ascii="Arial" w:cs="Arial" w:eastAsia="Arial" w:hAnsi="Arial"/>
          <w:sz w:val="18"/>
          <w:szCs w:val="18"/>
          <w:i w:val="1"/>
          <w:iCs w:val="1"/>
          <w:color w:val="auto"/>
        </w:rPr>
      </w:pPr>
    </w:p>
    <w:p>
      <w:pPr>
        <w:ind w:left="980" w:hanging="324"/>
        <w:spacing w:after="0"/>
        <w:tabs>
          <w:tab w:leader="none" w:pos="980" w:val="left"/>
        </w:tabs>
        <w:numPr>
          <w:ilvl w:val="2"/>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Amendments to IAS 37: Onerous Contracts – Cost of Fulfilling a Contract</w:t>
      </w:r>
    </w:p>
    <w:p>
      <w:pPr>
        <w:spacing w:after="0" w:line="225" w:lineRule="exact"/>
        <w:rPr>
          <w:rFonts w:ascii="Arial" w:cs="Arial" w:eastAsia="Arial" w:hAnsi="Arial"/>
          <w:sz w:val="18"/>
          <w:szCs w:val="18"/>
          <w:i w:val="1"/>
          <w:iCs w:val="1"/>
          <w:color w:val="auto"/>
        </w:rPr>
      </w:pPr>
    </w:p>
    <w:p>
      <w:pPr>
        <w:ind w:left="9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 May 2020, the IASB issued Onerous Contracts – Cost of Fulfilling a Contract (“Amendments to IAS 37”) amending the standard regarding costs a company should include as the cost of fulfilling a contract when assessing whether a contract is onerous. The amendment is effective for annual reporting periods beginning on or after January 1, 2022. The Company is currently evaluating the effect of adopting amendments to IAS 37 on the Company’s financial statements.</w:t>
      </w:r>
    </w:p>
    <w:p>
      <w:pPr>
        <w:spacing w:after="0" w:line="294" w:lineRule="exact"/>
        <w:rPr>
          <w:rFonts w:ascii="Arial" w:cs="Arial" w:eastAsia="Arial" w:hAnsi="Arial"/>
          <w:sz w:val="18"/>
          <w:szCs w:val="18"/>
          <w:i w:val="1"/>
          <w:iCs w:val="1"/>
          <w:color w:val="auto"/>
        </w:rPr>
      </w:pPr>
    </w:p>
    <w:p>
      <w:pPr>
        <w:ind w:left="5580" w:hanging="106"/>
        <w:spacing w:after="0"/>
        <w:tabs>
          <w:tab w:leader="none" w:pos="5580" w:val="left"/>
        </w:tabs>
        <w:numPr>
          <w:ilvl w:val="3"/>
          <w:numId w:val="64"/>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-6525260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TAKEOVER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jc w:val="both"/>
        <w:ind w:left="660" w:right="180"/>
        <w:spacing w:after="0" w:line="279" w:lineRule="auto"/>
        <w:rPr>
          <w:sz w:val="20"/>
          <w:szCs w:val="20"/>
          <w:color w:val="auto"/>
        </w:rPr>
      </w:pPr>
      <w:r>
        <w:rPr>
          <w:rFonts w:ascii="Arial" w:cs="Arial" w:eastAsia="Arial" w:hAnsi="Arial"/>
          <w:sz w:val="17"/>
          <w:szCs w:val="17"/>
          <w:color w:val="auto"/>
        </w:rPr>
        <w:t>On December 14, 2020, Verano Holdings, LLC, Majesta Minerals, Inc., an Alberta corporation (the “Public Corporation”), 1276268 B.C. Ltd., a British Columbia corporation (“Verano FinCo”), 1277233 B.C. Ltd, a British Columbia corporation, and 1278655 B.C. Ltd., a British Columbia corporation (“Majesta”), entered into an arrangement agreement (as amended January 26, 2021, the “Definitive Agreement”), pursuant to which the Company would result from the reverse takeover transaction contemplated thereby (the “RTO”).</w:t>
      </w:r>
    </w:p>
    <w:p>
      <w:pPr>
        <w:spacing w:after="0" w:line="171"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In accordance with the plan of arrangement forming part of the Definitive Agreement (the “Plan of Arrangement”), the Public Corporation changed its name to “Verano Holdings Corp.” and completed a consolidation of its common shares on the basis of 100,000 issued and outstanding common shares on a post-consolidation basis.</w:t>
      </w:r>
    </w:p>
    <w:p>
      <w:pPr>
        <w:spacing w:after="0" w:line="184" w:lineRule="exact"/>
        <w:rPr>
          <w:sz w:val="20"/>
          <w:szCs w:val="20"/>
          <w:color w:val="auto"/>
        </w:rPr>
      </w:pPr>
    </w:p>
    <w:p>
      <w:pPr>
        <w:jc w:val="both"/>
        <w:ind w:left="660" w:right="260"/>
        <w:spacing w:after="0" w:line="311" w:lineRule="auto"/>
        <w:rPr>
          <w:sz w:val="20"/>
          <w:szCs w:val="20"/>
          <w:color w:val="auto"/>
        </w:rPr>
      </w:pPr>
      <w:r>
        <w:rPr>
          <w:rFonts w:ascii="Arial" w:cs="Arial" w:eastAsia="Arial" w:hAnsi="Arial"/>
          <w:sz w:val="16"/>
          <w:szCs w:val="16"/>
          <w:color w:val="auto"/>
        </w:rPr>
        <w:t>In accordance with the terms of the RTO Financing, 10,000,000 subscription receipts (the “Subscription Receipts”) were issued on January 21, 2021, at a price per Subscription Receipt of US$10, for aggregate gross proceeds of US$100,000,000. In connection with the Financing and the RTO, the Company issued 578,354 Subordinate Voting Shares and $4,579,883 in transactions costs to the offering agents as a broker fee.</w:t>
      </w:r>
    </w:p>
    <w:p>
      <w:pPr>
        <w:spacing w:after="0" w:line="149"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The Public Corporation reorganized capital by altering its notice of articles and articles to (i) attach special rights and restrictions to its common shares, (ii) change the identifying name of its common shares to “Subordinate Voting Shares” (the “Subordinate Voting Shares”) and (iii) create a new class of Proportionate Voting Shares (the “Proportionate Voting Shares”). Pursuant to the Plan of Arrangement, thereafter Verano Finco amalgamated with Majesta Subco. Majesta Subco was then liquidated, and the net proceeds of the Financing transferred to the Company, as the resulting corporation in the RTO.</w:t>
      </w:r>
    </w:p>
    <w:p>
      <w:pPr>
        <w:spacing w:after="0" w:line="188"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The RTO holders of Verano Finco Shares received one Subordinate Voting Share for a total of 10,000,000 Subordinate Voting Shares in the aggregate. The members of Verano Holdings LLC, and owners of certain of its subsidiaries, through a series of transactions, exchanged their ownership interests in Verano Holdings LLC and such subsidiaries for 96,892,040 Subordinate Voting Shares and 1,172,382 Proportionate Voting Shares.</w:t>
      </w:r>
    </w:p>
    <w:p>
      <w:pPr>
        <w:spacing w:after="0" w:line="187"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In connection with the Company’s acquisitions (Note 8) of Alternative Medical Enterprises, LLC, Plants of Ruskin GPS, LLC, and RVC 360, LLC (collectively, the “AME Parties”), that occurred concurrently with the RTO, the members of the AME Parties, through a series of transactions, exchanged their membership interests in the AME Parties for 18,092,987 Subordinate Voting Shares and 470,984. Proportionate Voting Shares, plus cash consideration, as further described in Note 8(a). The AME Parties received $20 million in proceeds from Subscription Receipts.</w:t>
      </w:r>
    </w:p>
    <w:p>
      <w:pPr>
        <w:spacing w:after="0" w:line="157" w:lineRule="exact"/>
        <w:rPr>
          <w:sz w:val="20"/>
          <w:szCs w:val="20"/>
          <w:color w:val="auto"/>
        </w:rPr>
      </w:pPr>
    </w:p>
    <w:p>
      <w:pPr>
        <w:ind w:left="660" w:right="80"/>
        <w:spacing w:after="0" w:line="296" w:lineRule="auto"/>
        <w:rPr>
          <w:sz w:val="20"/>
          <w:szCs w:val="20"/>
          <w:color w:val="auto"/>
        </w:rPr>
      </w:pPr>
      <w:r>
        <w:rPr>
          <w:rFonts w:ascii="Arial" w:cs="Arial" w:eastAsia="Arial" w:hAnsi="Arial"/>
          <w:sz w:val="16"/>
          <w:szCs w:val="16"/>
          <w:color w:val="auto"/>
        </w:rPr>
        <w:t>In accordance with IFRS 3, Business Combinations, the substance of the transaction is a reverse takeover of a nonoperating company. The transaction does not constitute a business combination as Majesta does not meet the definition of a business under the standard. As a result, the transaction is accounted for as a capital transaction with Verano Holdings, LLC being identified as the acquirer and the equity consideration being measured at fair value. The resulting consolidated statement of financial position is presented as a continuance of Verano Holdings, LLC and comparative figures presented in the consolidated financial statements prior to the reverse takeover are those of Verano Holdings, LLC.</w:t>
      </w:r>
    </w:p>
    <w:p>
      <w:pPr>
        <w:spacing w:after="0" w:line="161" w:lineRule="exact"/>
        <w:rPr>
          <w:sz w:val="20"/>
          <w:szCs w:val="20"/>
          <w:color w:val="auto"/>
        </w:rPr>
      </w:pPr>
    </w:p>
    <w:p>
      <w:pPr>
        <w:ind w:left="660" w:right="20"/>
        <w:spacing w:after="0" w:line="301" w:lineRule="auto"/>
        <w:rPr>
          <w:sz w:val="20"/>
          <w:szCs w:val="20"/>
          <w:color w:val="auto"/>
        </w:rPr>
      </w:pPr>
      <w:r>
        <w:rPr>
          <w:rFonts w:ascii="Arial" w:cs="Arial" w:eastAsia="Arial" w:hAnsi="Arial"/>
          <w:sz w:val="16"/>
          <w:szCs w:val="16"/>
          <w:color w:val="auto"/>
        </w:rPr>
        <w:t>IFRS 2, Share-based Payment, applies to transactions where an entity grants equity instruments and cannot identify specifically some or all of the goods or services received in return. Because Verano Holdings, LLC issued shares with a value in excess of the assets received, the difference is recognized in profit or loss as a transaction cost in Other Expense, Net. The amount assigned to the transaction cost of $1,198,027 is the difference between the fair value of the consideration and the net identifiable assets of Majesta acquired by Verano Holdings, LLC.</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ind w:left="660"/>
              <w:spacing w:after="0"/>
              <w:rPr>
                <w:sz w:val="20"/>
                <w:szCs w:val="20"/>
                <w:color w:val="auto"/>
              </w:rPr>
            </w:pPr>
            <w:r>
              <w:rPr>
                <w:rFonts w:ascii="Arial" w:cs="Arial" w:eastAsia="Arial" w:hAnsi="Arial"/>
                <w:sz w:val="18"/>
                <w:szCs w:val="18"/>
                <w:color w:val="auto"/>
              </w:rPr>
              <w:t>The Company’s inventories consist of the following:</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7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w:t>
            </w:r>
          </w:p>
        </w:tc>
        <w:tc>
          <w:tcPr>
            <w:tcW w:w="1260" w:type="dxa"/>
            <w:vAlign w:val="bottom"/>
            <w:gridSpan w:val="4"/>
          </w:tcPr>
          <w:p>
            <w:pPr>
              <w:ind w:left="1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41"/>
        </w:trPr>
        <w:tc>
          <w:tcPr>
            <w:tcW w:w="87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323,583,262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46,586,170</w:t>
            </w:r>
          </w:p>
        </w:tc>
        <w:tc>
          <w:tcPr>
            <w:tcW w:w="0" w:type="dxa"/>
            <w:vAlign w:val="bottom"/>
          </w:tcPr>
          <w:p>
            <w:pPr>
              <w:spacing w:after="0"/>
              <w:rPr>
                <w:sz w:val="1"/>
                <w:szCs w:val="1"/>
                <w:color w:val="auto"/>
              </w:rPr>
            </w:pPr>
          </w:p>
        </w:tc>
      </w:tr>
      <w:tr>
        <w:trPr>
          <w:trHeight w:val="23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63,923,669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12,770,634</w:t>
            </w:r>
          </w:p>
        </w:tc>
        <w:tc>
          <w:tcPr>
            <w:tcW w:w="0" w:type="dxa"/>
            <w:vAlign w:val="bottom"/>
          </w:tcPr>
          <w:p>
            <w:pPr>
              <w:spacing w:after="0"/>
              <w:rPr>
                <w:sz w:val="1"/>
                <w:szCs w:val="1"/>
                <w:color w:val="auto"/>
              </w:rPr>
            </w:pPr>
          </w:p>
        </w:tc>
      </w:tr>
      <w:tr>
        <w:trPr>
          <w:trHeight w:val="216"/>
        </w:trPr>
        <w:tc>
          <w:tcPr>
            <w:tcW w:w="87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395,723,285</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59,356,804</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BIOLOGICAL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7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Biological assets consist of cannabis plants. At September 30, 2021 and December 31, 2020, the changes in the carrying value of biological assets are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16,613,392</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Cost incurred prior to harvest to facilitate biological transformation</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55,535,842</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fair value of biological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254,154,780</w:t>
            </w:r>
          </w:p>
        </w:tc>
        <w:tc>
          <w:tcPr>
            <w:tcW w:w="100" w:type="dxa"/>
            <w:vAlign w:val="bottom"/>
            <w:shd w:val="clear" w:color="auto" w:fill="CCEEFF"/>
          </w:tcPr>
          <w:p>
            <w:pPr>
              <w:spacing w:after="0"/>
              <w:rPr>
                <w:sz w:val="18"/>
                <w:szCs w:val="18"/>
                <w:color w:val="auto"/>
              </w:rPr>
            </w:pPr>
          </w:p>
        </w:tc>
      </w:tr>
      <w:tr>
        <w:trPr>
          <w:trHeight w:val="236"/>
        </w:trPr>
        <w:tc>
          <w:tcPr>
            <w:tcW w:w="10060" w:type="dxa"/>
            <w:vAlign w:val="bottom"/>
          </w:tcPr>
          <w:p>
            <w:pPr>
              <w:spacing w:after="0"/>
              <w:rPr>
                <w:sz w:val="20"/>
                <w:szCs w:val="20"/>
                <w:color w:val="auto"/>
              </w:rPr>
            </w:pPr>
            <w:r>
              <w:rPr>
                <w:rFonts w:ascii="Arial" w:cs="Arial" w:eastAsia="Arial" w:hAnsi="Arial"/>
                <w:sz w:val="18"/>
                <w:szCs w:val="18"/>
                <w:color w:val="auto"/>
              </w:rPr>
              <w:t>Transferred inventory upon harvest</w:t>
            </w: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(216,927,447)</w:t>
            </w:r>
          </w:p>
        </w:tc>
      </w:tr>
      <w:tr>
        <w:trPr>
          <w:trHeight w:val="216"/>
        </w:trPr>
        <w:tc>
          <w:tcPr>
            <w:tcW w:w="10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10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109,376,567</w:t>
            </w:r>
          </w:p>
        </w:tc>
        <w:tc>
          <w:tcPr>
            <w:tcW w:w="100" w:type="dxa"/>
            <w:vAlign w:val="bottom"/>
            <w:tcBorders>
              <w:bottom w:val="single" w:sz="8" w:color="CCEEFF"/>
            </w:tcBorders>
          </w:tcPr>
          <w:p>
            <w:pPr>
              <w:spacing w:after="0"/>
              <w:rPr>
                <w:sz w:val="24"/>
                <w:szCs w:val="24"/>
                <w:color w:val="auto"/>
              </w:rPr>
            </w:pPr>
          </w:p>
        </w:tc>
      </w:tr>
      <w:tr>
        <w:trPr>
          <w:trHeight w:val="216"/>
        </w:trPr>
        <w:tc>
          <w:tcPr>
            <w:tcW w:w="10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b w:val="1"/>
                <w:bCs w:val="1"/>
                <w:color w:val="auto"/>
              </w:rPr>
              <w:t>Balance as of January 1, 2021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109,376,567</w:t>
            </w:r>
          </w:p>
        </w:tc>
        <w:tc>
          <w:tcPr>
            <w:tcW w:w="10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Cost incurred prior to harvest to facilitate biological transformation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107,205,955</w:t>
            </w:r>
          </w:p>
        </w:tc>
        <w:tc>
          <w:tcPr>
            <w:tcW w:w="10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Unrealized gain on fair value of biological assets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450,293,230</w:t>
            </w:r>
          </w:p>
        </w:tc>
        <w:tc>
          <w:tcPr>
            <w:tcW w:w="10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Transferred inventory upon harvest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(623,732,114)</w:t>
            </w:r>
          </w:p>
        </w:tc>
      </w:tr>
      <w:tr>
        <w:trPr>
          <w:trHeight w:val="236"/>
        </w:trPr>
        <w:tc>
          <w:tcPr>
            <w:tcW w:w="10060" w:type="dxa"/>
            <w:vAlign w:val="bottom"/>
          </w:tcPr>
          <w:p>
            <w:pPr>
              <w:spacing w:after="0"/>
              <w:rPr>
                <w:sz w:val="20"/>
                <w:szCs w:val="20"/>
                <w:color w:val="auto"/>
              </w:rPr>
            </w:pPr>
            <w:r>
              <w:rPr>
                <w:rFonts w:ascii="Arial" w:cs="Arial" w:eastAsia="Arial" w:hAnsi="Arial"/>
                <w:sz w:val="18"/>
                <w:szCs w:val="18"/>
                <w:color w:val="auto"/>
              </w:rPr>
              <w:t>Additions from business acquisition</w:t>
            </w: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94,039,957</w:t>
            </w:r>
          </w:p>
        </w:tc>
      </w:tr>
      <w:tr>
        <w:trPr>
          <w:trHeight w:val="216"/>
        </w:trPr>
        <w:tc>
          <w:tcPr>
            <w:tcW w:w="10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10060" w:type="dxa"/>
            <w:vAlign w:val="bottom"/>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137,183,595</w:t>
            </w:r>
          </w:p>
        </w:tc>
        <w:tc>
          <w:tcPr>
            <w:tcW w:w="100" w:type="dxa"/>
            <w:vAlign w:val="bottom"/>
          </w:tcPr>
          <w:p>
            <w:pPr>
              <w:spacing w:after="0"/>
              <w:rPr>
                <w:sz w:val="22"/>
                <w:szCs w:val="22"/>
                <w:color w:val="auto"/>
              </w:rPr>
            </w:pPr>
          </w:p>
        </w:tc>
      </w:tr>
      <w:tr>
        <w:trPr>
          <w:trHeight w:val="20"/>
        </w:trPr>
        <w:tc>
          <w:tcPr>
            <w:tcW w:w="10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260"/>
        <w:spacing w:after="0" w:line="263" w:lineRule="auto"/>
        <w:rPr>
          <w:sz w:val="20"/>
          <w:szCs w:val="20"/>
          <w:color w:val="auto"/>
        </w:rPr>
      </w:pPr>
      <w:r>
        <w:rPr>
          <w:rFonts w:ascii="Arial" w:cs="Arial" w:eastAsia="Arial" w:hAnsi="Arial"/>
          <w:sz w:val="18"/>
          <w:szCs w:val="18"/>
          <w:color w:val="auto"/>
        </w:rPr>
        <w:t>The Company values its biological assets at the end of each reporting period at fair value less costs to sell. This is determined using a valuation model to estimate the expected harvest yield per plant applied to the estimated price per gram less processing and selling costs. This model also considers the progress in the plant life cycle.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has made the following estimates in this valuation model:</w:t>
      </w:r>
    </w:p>
    <w:p>
      <w:pPr>
        <w:spacing w:after="0" w:line="225" w:lineRule="exact"/>
        <w:rPr>
          <w:sz w:val="20"/>
          <w:szCs w:val="20"/>
          <w:color w:val="auto"/>
        </w:rPr>
      </w:pPr>
    </w:p>
    <w:p>
      <w:pPr>
        <w:ind w:left="1300" w:right="320" w:hanging="320"/>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average number of weeks in the growing cycle is 14.4 weeks from propagation to harvest (as compared to 19 weeks for the fiscal year ended December 31, 2020);</w:t>
      </w:r>
    </w:p>
    <w:p>
      <w:pPr>
        <w:spacing w:after="0" w:line="170" w:lineRule="exact"/>
        <w:rPr>
          <w:rFonts w:ascii="Arial" w:cs="Arial" w:eastAsia="Arial" w:hAnsi="Arial"/>
          <w:sz w:val="18"/>
          <w:szCs w:val="18"/>
          <w:color w:val="auto"/>
        </w:rPr>
      </w:pPr>
    </w:p>
    <w:p>
      <w:pPr>
        <w:ind w:left="1300" w:right="80" w:hanging="320"/>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average harvest yield of whole flower is 188.34 grams per plant (as compared to 320.20 grams per plant during the fiscal year ended December 31, 2020);</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average selling price of whole flower is $7.37 per gram (as compared to $6.98 per gram during the fiscal year ended December 31, 2020);</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average selling price of dried flower used in extract products is $15.50;</w:t>
      </w:r>
    </w:p>
    <w:p>
      <w:pPr>
        <w:spacing w:after="0" w:line="225" w:lineRule="exact"/>
        <w:rPr>
          <w:rFonts w:ascii="Arial" w:cs="Arial" w:eastAsia="Arial" w:hAnsi="Arial"/>
          <w:sz w:val="18"/>
          <w:szCs w:val="18"/>
          <w:color w:val="auto"/>
        </w:rPr>
      </w:pPr>
    </w:p>
    <w:p>
      <w:pPr>
        <w:ind w:left="1300" w:right="100" w:hanging="320"/>
        <w:spacing w:after="0" w:line="308"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Processing costs include drying and curing, testing and packaging, post-harvest overhead allocation, and oil extraction costs estimated to be $0.74 per gram (as compared to $0.57 per gram during the fiscal year ended December 31, 2020); and</w:t>
      </w:r>
    </w:p>
    <w:p>
      <w:pPr>
        <w:spacing w:after="0" w:line="254" w:lineRule="exact"/>
        <w:rPr>
          <w:rFonts w:ascii="Arial" w:cs="Arial" w:eastAsia="Arial" w:hAnsi="Arial"/>
          <w:sz w:val="17"/>
          <w:szCs w:val="17"/>
          <w:color w:val="auto"/>
        </w:rPr>
      </w:pPr>
    </w:p>
    <w:p>
      <w:pPr>
        <w:ind w:left="5540" w:hanging="111"/>
        <w:spacing w:after="0"/>
        <w:tabs>
          <w:tab w:leader="none" w:pos="5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BIOLOGICAL ASSETS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1300" w:hanging="320"/>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Selling costs include shipping, order fulfillment, and labelling, estimated to be $0.43 per gram (as compared to $0.12 per gram during the fiscal year ended December 31, 2020) for flower and $1.38 for dried flower used in extract products.</w:t>
      </w:r>
    </w:p>
    <w:p>
      <w:pPr>
        <w:spacing w:after="0" w:line="170" w:lineRule="exact"/>
        <w:rPr>
          <w:sz w:val="20"/>
          <w:szCs w:val="20"/>
          <w:color w:val="auto"/>
        </w:rPr>
      </w:pPr>
    </w:p>
    <w:p>
      <w:pPr>
        <w:ind w:left="660" w:right="120"/>
        <w:spacing w:after="0" w:line="308" w:lineRule="auto"/>
        <w:rPr>
          <w:sz w:val="20"/>
          <w:szCs w:val="20"/>
          <w:color w:val="auto"/>
        </w:rPr>
      </w:pPr>
      <w:r>
        <w:rPr>
          <w:rFonts w:ascii="Arial" w:cs="Arial" w:eastAsia="Arial" w:hAnsi="Arial"/>
          <w:sz w:val="17"/>
          <w:szCs w:val="17"/>
          <w:color w:val="auto"/>
        </w:rPr>
        <w:t>The estimates of growing cycle, harvest yield, and costs per gram are based on the Company’s historical results. The estimate of the selling price per gram is based on the Company’s historical sales in addition to the Company’s expected sales price going forward.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has quantified the sensitivity of the inputs and determined the following:</w:t>
      </w:r>
    </w:p>
    <w:p>
      <w:pPr>
        <w:spacing w:after="0" w:line="225" w:lineRule="exact"/>
        <w:rPr>
          <w:sz w:val="20"/>
          <w:szCs w:val="20"/>
          <w:color w:val="auto"/>
        </w:rPr>
      </w:pPr>
    </w:p>
    <w:p>
      <w:pPr>
        <w:ind w:left="1300" w:right="300" w:hanging="320"/>
        <w:spacing w:after="0" w:line="308"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Selling price per gram – an increase or decrease in the selling price per gram by 5% would result in an increase or decrease to the fair value of biological assets by $7,742,980 (as compared to $6,321,578 for the fiscal year ended December 31, 2020).</w:t>
      </w:r>
    </w:p>
    <w:p>
      <w:pPr>
        <w:spacing w:after="0" w:line="146" w:lineRule="exact"/>
        <w:rPr>
          <w:rFonts w:ascii="Arial" w:cs="Arial" w:eastAsia="Arial" w:hAnsi="Arial"/>
          <w:sz w:val="17"/>
          <w:szCs w:val="17"/>
          <w:color w:val="auto"/>
        </w:rPr>
      </w:pPr>
    </w:p>
    <w:p>
      <w:pPr>
        <w:ind w:left="1300" w:right="260" w:hanging="320"/>
        <w:spacing w:after="0" w:line="308"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Harvest yield per plant – an increase or decrease in the harvest yield per plant of 5% would result in an increase or decrease to the fair value of biological assets by $6,859,180 (as compared to $5,468,828 for the fiscal year ended December 31, 2020).</w:t>
      </w:r>
    </w:p>
    <w:p>
      <w:pPr>
        <w:spacing w:after="0" w:line="146" w:lineRule="exact"/>
        <w:rPr>
          <w:rFonts w:ascii="Arial" w:cs="Arial" w:eastAsia="Arial" w:hAnsi="Arial"/>
          <w:sz w:val="17"/>
          <w:szCs w:val="17"/>
          <w:color w:val="auto"/>
        </w:rPr>
      </w:pPr>
    </w:p>
    <w:p>
      <w:pPr>
        <w:ind w:left="1300" w:hanging="320"/>
        <w:spacing w:after="0" w:line="342" w:lineRule="auto"/>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Cost of production per gram – an increase or decrease in the cost of production per gram by 5% would result in an increase or decrease to the fair value of biological assets by $540,339 (as compared to $824,412 for the fiscal year ended December 31, 2020).</w:t>
      </w:r>
    </w:p>
    <w:p>
      <w:pPr>
        <w:spacing w:after="0" w:line="124"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These inputs are level 3 on the fair value hierarchy, and are subject to volatility and several uncontrollable factors, which could significantly affect the fair value of biological assets in future periods.</w:t>
      </w:r>
    </w:p>
    <w:p>
      <w:pPr>
        <w:spacing w:after="0" w:line="170" w:lineRule="exact"/>
        <w:rPr>
          <w:sz w:val="20"/>
          <w:szCs w:val="20"/>
          <w:color w:val="auto"/>
        </w:rPr>
      </w:pPr>
    </w:p>
    <w:p>
      <w:pPr>
        <w:ind w:left="660" w:right="400"/>
        <w:spacing w:after="0" w:line="342" w:lineRule="auto"/>
        <w:rPr>
          <w:sz w:val="20"/>
          <w:szCs w:val="20"/>
          <w:color w:val="auto"/>
        </w:rPr>
      </w:pPr>
      <w:r>
        <w:rPr>
          <w:rFonts w:ascii="Arial" w:cs="Arial" w:eastAsia="Arial" w:hAnsi="Arial"/>
          <w:sz w:val="16"/>
          <w:szCs w:val="16"/>
          <w:color w:val="auto"/>
        </w:rPr>
        <w:t>As of September 30, 2021, and December 31, 2020, the biological assets were on average, 43.8% and 34.1%, respectively, complete and the estimated fair value less costs to sell of dry cannabis was $4.73 ($11.55 for extract products) and $4.69 per gram, respectively.</w:t>
      </w:r>
    </w:p>
    <w:p>
      <w:pPr>
        <w:spacing w:after="0" w:line="124"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As of September 30, 2021, and December 31, 2020, it is expected that the Company’s biological assets will ultimately yield approximately 31,565 and 43,488 kilograms of cannabis,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notes receivable consists of two secured promissory notes.</w:t>
      </w:r>
    </w:p>
    <w:p>
      <w:pPr>
        <w:spacing w:after="0" w:line="225"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The first note is a secured promissory note dated August 13, 2020 with a third party for $180,000. The note was originally due and payable on or before the earlier of February 13, 2021 or such other date the principal amount becomes due and payable by acceleration after an event of default. The promissory note can be extended at the discretion of the Company. Negotiation between parties is on-going to extend the maturity date of the secured promissory note. As of September 30, 2021, the Company has received principal payments of $55,678. The outstanding principal is $124,322 plus accrued interest of $5,364.</w:t>
      </w:r>
    </w:p>
    <w:p>
      <w:pPr>
        <w:spacing w:after="0" w:line="188"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second note is a secured promissory note issued March 24, 2021 with a third party for $146,511. Interest of 8% per annum and principal were originally due on September 24, 2021. The promissory note can be extended at the discretion of the Company. Negotiation between parties is on-going to extend the maturity date of the secured promissory note. As of September 30, 2021, the secured promissory note is outstanding, plus accrued interest of $4,729.</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Property, plant and equipment and related accumulated depreciation consists of the following at September 30, 2021 and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23,488,385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99,363,373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15,223,120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10,702,155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5,278,616</w:t>
            </w: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11,947,926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3,330,685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163,715,563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88,828,050</w:t>
            </w: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Tools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60,650,575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27,188,655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2,664,782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850,080</w:t>
            </w:r>
          </w:p>
        </w:tc>
        <w:tc>
          <w:tcPr>
            <w:tcW w:w="0" w:type="dxa"/>
            <w:vAlign w:val="bottom"/>
          </w:tcPr>
          <w:p>
            <w:pPr>
              <w:spacing w:after="0"/>
              <w:rPr>
                <w:sz w:val="1"/>
                <w:szCs w:val="1"/>
                <w:color w:val="auto"/>
              </w:rPr>
            </w:pPr>
          </w:p>
        </w:tc>
      </w:tr>
      <w:tr>
        <w:trPr>
          <w:trHeight w:val="236"/>
        </w:trPr>
        <w:tc>
          <w:tcPr>
            <w:tcW w:w="8680" w:type="dxa"/>
            <w:vAlign w:val="bottom"/>
          </w:tcPr>
          <w:p>
            <w:pPr>
              <w:ind w:left="20"/>
              <w:spacing w:after="0"/>
              <w:rPr>
                <w:sz w:val="20"/>
                <w:szCs w:val="20"/>
                <w:color w:val="auto"/>
              </w:rPr>
            </w:pPr>
            <w:r>
              <w:rPr>
                <w:rFonts w:ascii="Arial" w:cs="Arial" w:eastAsia="Arial" w:hAnsi="Arial"/>
                <w:sz w:val="18"/>
                <w:szCs w:val="18"/>
                <w:color w:val="auto"/>
              </w:rPr>
              <w:t>Assets Under Construction</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43,819,599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8,514,196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Gross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416,352,358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161,350,961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(37,278,196)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(17,743,697)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379,074,162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143,607,264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under construction represent construction in progress related to facilities not yet completed or otherwise not placed in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balances of property, plant and equipment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Property,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Property,</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Plant and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Plant and</w:t>
            </w:r>
          </w:p>
        </w:tc>
      </w:tr>
      <w:tr>
        <w:trPr>
          <w:trHeight w:val="230"/>
        </w:trPr>
        <w:tc>
          <w:tcPr>
            <w:tcW w:w="73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Equipment,</w:t>
            </w:r>
          </w:p>
        </w:tc>
        <w:tc>
          <w:tcPr>
            <w:tcW w:w="132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Equipment,</w:t>
            </w:r>
          </w:p>
        </w:tc>
      </w:tr>
      <w:tr>
        <w:trPr>
          <w:trHeight w:val="241"/>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Depreciation</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Borders>
              <w:bottom w:val="single" w:sz="8" w:color="CCEEFF"/>
            </w:tcBorders>
          </w:tcPr>
          <w:p>
            <w:pPr>
              <w:spacing w:after="0"/>
              <w:rPr>
                <w:sz w:val="20"/>
                <w:szCs w:val="20"/>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  103,199,320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(8,819,576</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   94,379,744</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right="2440"/>
        <w:spacing w:after="0" w:line="250" w:lineRule="auto"/>
        <w:rPr>
          <w:sz w:val="20"/>
          <w:szCs w:val="20"/>
          <w:color w:val="auto"/>
        </w:rPr>
      </w:pPr>
      <w:r>
        <w:rPr>
          <w:rFonts w:ascii="Arial" w:cs="Arial" w:eastAsia="Arial" w:hAnsi="Arial"/>
          <w:sz w:val="18"/>
          <w:szCs w:val="18"/>
          <w:color w:val="auto"/>
        </w:rPr>
        <w:t>Property, plant and equipment from business combination 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Discontinued operations and deconsolidation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as of December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58,273,050</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58,273,050</w:t>
            </w: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1,708,838</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1,708,838</w:t>
            </w:r>
          </w:p>
        </w:tc>
        <w:tc>
          <w:tcPr>
            <w:tcW w:w="60" w:type="dxa"/>
            <w:vAlign w:val="bottom"/>
          </w:tcPr>
          <w:p>
            <w:pPr>
              <w:spacing w:after="0"/>
              <w:rPr>
                <w:sz w:val="18"/>
                <w:szCs w:val="18"/>
                <w:color w:val="auto"/>
              </w:rPr>
            </w:pPr>
          </w:p>
        </w:tc>
      </w:tr>
      <w:tr>
        <w:trPr>
          <w:trHeight w:val="216"/>
        </w:trPr>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(11,246)</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(11,246)</w:t>
            </w:r>
          </w:p>
        </w:tc>
      </w:tr>
      <w:tr>
        <w:trPr>
          <w:trHeight w:val="216"/>
        </w:trPr>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(1,819,001)</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(1,819,001)</w:t>
            </w:r>
          </w:p>
        </w:tc>
      </w:tr>
      <w:tr>
        <w:trPr>
          <w:trHeight w:val="251"/>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(8,924,121)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(8,924,121)</w:t>
            </w:r>
          </w:p>
        </w:tc>
      </w:tr>
      <w:tr>
        <w:trPr>
          <w:trHeight w:val="25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161,350,961</w:t>
            </w:r>
          </w:p>
        </w:tc>
        <w:tc>
          <w:tcPr>
            <w:tcW w:w="24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(17,743,697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143,607,264</w:t>
            </w:r>
          </w:p>
        </w:tc>
        <w:tc>
          <w:tcPr>
            <w:tcW w:w="60" w:type="dxa"/>
            <w:vAlign w:val="bottom"/>
          </w:tcPr>
          <w:p>
            <w:pPr>
              <w:spacing w:after="0"/>
              <w:rPr>
                <w:sz w:val="21"/>
                <w:szCs w:val="2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6600" w:space="720"/>
            <w:col w:w="392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106,925,677</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106,925,677</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from business combination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150,141,634</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150,141,634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Disposals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(2,065,914)</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4,106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(2,061,808)</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(19,538,605)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(19,538,605)</w:t>
            </w:r>
          </w:p>
        </w:tc>
      </w:tr>
      <w:tr>
        <w:trPr>
          <w:trHeight w:val="237"/>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416,352,358</w:t>
            </w:r>
          </w:p>
        </w:tc>
        <w:tc>
          <w:tcPr>
            <w:tcW w:w="240" w:type="dxa"/>
            <w:vAlign w:val="bottom"/>
            <w:tcBorders>
              <w:top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(37,278,196</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379,074,162</w:t>
            </w:r>
          </w:p>
        </w:tc>
        <w:tc>
          <w:tcPr>
            <w:tcW w:w="100" w:type="dxa"/>
            <w:vAlign w:val="bottom"/>
            <w:tcBorders>
              <w:top w:val="single" w:sz="8" w:color="CCEEFF"/>
            </w:tcBorders>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For the nine months ended September 30, 2021, and year ended December 31, 2020, depreciation expense included in costs of goods sold totaled $12,759,166 and $8,147,233 respectively.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Merger Agreement</w:t>
      </w:r>
    </w:p>
    <w:p>
      <w:pPr>
        <w:spacing w:after="0" w:line="229" w:lineRule="exact"/>
        <w:rPr>
          <w:rFonts w:ascii="Arial" w:cs="Arial" w:eastAsia="Arial" w:hAnsi="Arial"/>
          <w:sz w:val="18"/>
          <w:szCs w:val="18"/>
          <w:b w:val="1"/>
          <w:bCs w:val="1"/>
          <w:color w:val="auto"/>
        </w:rPr>
      </w:pPr>
    </w:p>
    <w:p>
      <w:pPr>
        <w:ind w:left="660" w:right="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November 6, 2020, Verano Holdings LLC entered into an agreement and plan of merger with the AME Parties, pursuant to which the Company, as the assignee of all of Verano Holdings LLC’s rights and obligations thereunder, would acquire the AME Parties via a series of merger transactions. The merger transactions were contingent upon, and were to close contemporaneously with, the RTO, resulting in the creation of the Company as a Canadian publicly-traded parent company of Verano Holdings LLC, the AME Parties and their respective subsidiaries.</w:t>
      </w:r>
    </w:p>
    <w:p>
      <w:pPr>
        <w:spacing w:after="0" w:line="187" w:lineRule="exact"/>
        <w:rPr>
          <w:rFonts w:ascii="Arial" w:cs="Arial" w:eastAsia="Arial" w:hAnsi="Arial"/>
          <w:sz w:val="18"/>
          <w:szCs w:val="18"/>
          <w:b w:val="1"/>
          <w:bCs w:val="1"/>
          <w:color w:val="auto"/>
        </w:rPr>
      </w:pPr>
    </w:p>
    <w:p>
      <w:pPr>
        <w:ind w:left="660" w:right="1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RTO and the merger transactions were closed on February 11, 2021, and resulted in the AME Parties becoming wholly-owned subsidiaries of the Company. The members of the AME Parties, through a series of transactions, exchanged their membership interests in the AME Parties for 18,092,987 Subordinate Voting Shares and 470,984 Proportionate Voting Shares, plus cash consideration of $35 million and contingent consideration. The membership interest and cash consideration of $20 million was paid at the closing of the mergers, $10 million was paid on August 11, 2021, and the $5 million balance is payable on February 11, 2022. The remaining cash consideration is represented by a convertible promissory note and upon a payment default, the holder thereof may elect to convert the payment obligation into Subordinate Voting Shares. The remaining contingent consideration expected to be paid in three installments ending October 2022. As of September 30, 2021, the present value of unpaid deferred consideration is $19,149,927 and is included in the acquisition price payable balance in the consolidated statement of financial position.</w:t>
      </w:r>
    </w:p>
    <w:p>
      <w:pPr>
        <w:spacing w:after="0" w:line="180" w:lineRule="exact"/>
        <w:rPr>
          <w:rFonts w:ascii="Arial" w:cs="Arial" w:eastAsia="Arial" w:hAnsi="Arial"/>
          <w:sz w:val="18"/>
          <w:szCs w:val="18"/>
          <w:b w:val="1"/>
          <w:bCs w:val="1"/>
          <w:color w:val="auto"/>
        </w:rPr>
      </w:pPr>
    </w:p>
    <w:p>
      <w:pPr>
        <w:ind w:left="660"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determined that control was transferred at the closing and accounted for the transaction as a business acquisition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provisional accounting estimates of the mergers that occurred during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AME</w:t>
            </w: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Florida</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Arizona</w:t>
            </w:r>
          </w:p>
        </w:tc>
        <w:tc>
          <w:tcPr>
            <w:tcW w:w="12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5,446,152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506,926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5,953,078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59,763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498,006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557,769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65,775,905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1,512,146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67,288,051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Biological Assets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90,678,322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728,120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91,406,442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Prepaids and other current 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833,099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1,988,970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2,822,069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72,200,032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9,750,660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81,950,692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9,650,967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9,650,967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1,000,936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1,000,936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(8,934,312)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(2,936,209)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(11,870,521)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(3,578,509)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(3,343,472)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(6,921,981)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(94,747,877)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(38,853,596)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(133,601,473)</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(9,650,967)</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(9,650,967)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 (liabilities)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128,733,511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(30,148,449)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98,585,062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456,987,216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208,044,174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665,031,390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585,720,727</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177,895,725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763,616,452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600"/>
        <w:spacing w:after="0" w:line="263" w:lineRule="auto"/>
        <w:rPr>
          <w:sz w:val="20"/>
          <w:szCs w:val="20"/>
          <w:color w:val="auto"/>
        </w:rPr>
      </w:pPr>
      <w:r>
        <w:rPr>
          <w:rFonts w:ascii="Arial" w:cs="Arial" w:eastAsia="Arial" w:hAnsi="Arial"/>
          <w:sz w:val="18"/>
          <w:szCs w:val="18"/>
          <w:color w:val="auto"/>
        </w:rPr>
        <w:t>Selected line items from the Company’s unaudited condensed interim consolidated statements of operations for the nine months ended September 30, 2021, adjusted as if the acquisition of AltMed, deemed to be the only acquisition with material operations in the period, had occurred on January 1, 2021, are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Consolidated</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AltMed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Pro-forma</w:t>
            </w:r>
          </w:p>
        </w:tc>
      </w:tr>
      <w:tr>
        <w:trPr>
          <w:trHeight w:val="241"/>
        </w:trPr>
        <w:tc>
          <w:tcPr>
            <w:tcW w:w="36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Results</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Pre-acquisition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Results</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3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526,430,021</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6"/>
              </w:rPr>
              <w:t>22,402,209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548,832,230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4960" w:type="dxa"/>
            <w:vAlign w:val="bottom"/>
            <w:gridSpan w:val="3"/>
          </w:tcPr>
          <w:p>
            <w:pPr>
              <w:jc w:val="right"/>
              <w:ind w:right="200"/>
              <w:spacing w:after="0"/>
              <w:rPr>
                <w:sz w:val="20"/>
                <w:szCs w:val="20"/>
                <w:color w:val="auto"/>
              </w:rPr>
            </w:pPr>
            <w:r>
              <w:rPr>
                <w:rFonts w:ascii="Arial" w:cs="Arial" w:eastAsia="Arial" w:hAnsi="Arial"/>
                <w:sz w:val="18"/>
                <w:szCs w:val="18"/>
                <w:color w:val="auto"/>
              </w:rPr>
              <w:t>178,630,125</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57,488,396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236,118,521</w:t>
            </w:r>
          </w:p>
        </w:tc>
      </w:tr>
      <w:tr>
        <w:trPr>
          <w:trHeight w:val="533"/>
        </w:trPr>
        <w:tc>
          <w:tcPr>
            <w:tcW w:w="3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- 13 -</w:t>
            </w: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right="8380" w:hanging="328"/>
        <w:spacing w:after="0" w:line="566" w:lineRule="auto"/>
        <w:tabs>
          <w:tab w:leader="none" w:pos="660" w:val="left"/>
        </w:tabs>
        <w:numPr>
          <w:ilvl w:val="1"/>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i w:val="1"/>
          <w:iCs w:val="1"/>
          <w:color w:val="auto"/>
        </w:rPr>
        <w:t>Glass City Alternatives, LLC</w:t>
      </w:r>
    </w:p>
    <w:p>
      <w:pPr>
        <w:ind w:left="660" w:right="80"/>
        <w:spacing w:after="0" w:line="301" w:lineRule="auto"/>
        <w:rPr>
          <w:rFonts w:ascii="Arial" w:cs="Arial" w:eastAsia="Arial" w:hAnsi="Arial"/>
          <w:sz w:val="16"/>
          <w:szCs w:val="16"/>
          <w:b w:val="1"/>
          <w:bCs w:val="1"/>
          <w:color w:val="auto"/>
        </w:rPr>
      </w:pPr>
      <w:r>
        <w:rPr>
          <w:rFonts w:ascii="Arial" w:cs="Arial" w:eastAsia="Arial" w:hAnsi="Arial"/>
          <w:sz w:val="16"/>
          <w:szCs w:val="16"/>
          <w:color w:val="auto"/>
        </w:rPr>
        <w:t>In January 2021, the Company entered into an agreement to acquire, upon the satisfaction of certain conditions precedent, all of the ownership interest of an owner of one dispensary located in Ohio. The total purchase price was $2,700,000 plus a $329,345 purchase price adjustment. The Company paid $500,000 in shares upon execution of the RTO. As of September 30, 2021, the present value of unpaid deferred consideration of $1,090,958 is included in the acquisition price payable balance in the consolidated statement of financial position and is due in January 2022.</w:t>
      </w:r>
    </w:p>
    <w:p>
      <w:pPr>
        <w:spacing w:after="0" w:line="157"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Perpetual Healthcare Inc.</w:t>
      </w:r>
    </w:p>
    <w:p>
      <w:pPr>
        <w:spacing w:after="0" w:line="225" w:lineRule="exact"/>
        <w:rPr>
          <w:rFonts w:ascii="Arial" w:cs="Arial" w:eastAsia="Arial" w:hAnsi="Arial"/>
          <w:sz w:val="16"/>
          <w:szCs w:val="16"/>
          <w:b w:val="1"/>
          <w:bCs w:val="1"/>
          <w:color w:val="auto"/>
        </w:rPr>
      </w:pPr>
    </w:p>
    <w:p>
      <w:pPr>
        <w:ind w:left="660" w:right="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On February 24, 2021, the Company entered into an agreement pursuant to which Perpetual Healthcare Inc. (“PHI”) transferred the management and governance of PHI, which operates the Emerald Dispensary in Phoenix, Arizona. The transaction closed on March 10, 2021. Total consideration includes cash consideration of $11,250,000 plus a $326,426 purchase price adjustment, 541,994 Subordinate Voting Shares. The remaining $6,175,342 obligation was settled through the issuance of 350,644 Subordinate Voting Shares. As of September 30, 2021, the total consideration had been paid in full.</w:t>
      </w:r>
    </w:p>
    <w:p>
      <w:pPr>
        <w:spacing w:after="0" w:line="187"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The Herbal Care Center Inc.</w:t>
      </w:r>
    </w:p>
    <w:p>
      <w:pPr>
        <w:spacing w:after="0" w:line="225" w:lineRule="exact"/>
        <w:rPr>
          <w:rFonts w:ascii="Arial" w:cs="Arial" w:eastAsia="Arial" w:hAnsi="Arial"/>
          <w:sz w:val="16"/>
          <w:szCs w:val="16"/>
          <w:b w:val="1"/>
          <w:bCs w:val="1"/>
          <w:color w:val="auto"/>
        </w:rPr>
      </w:pPr>
    </w:p>
    <w:p>
      <w:pPr>
        <w:ind w:left="660" w:right="3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On February 24, 2021, the Company entered into an agreement to acquire The Herbal Care Center, Inc. (“The Herbal Care Center”). The transaction closed on March 17, 2021. Total consideration includes cash consideration of $18,750,000, payable over 12 months, plus a $2,107,449 purchase price adjustment, and 90,464 Subordinate Voting Shares and 9,625 Proportionate Voting Shares, equivalent to 962,461 Subordinate Voting Shares on an-as converted basis. As of September 30, 2021, the present value of unpaid deferred consideration of $10,808,768 is included in the acquisition price payable balance in the consolidated statement of financial position with 50% due in October 2021 and January 2022.</w:t>
      </w:r>
    </w:p>
    <w:p>
      <w:pPr>
        <w:spacing w:after="0" w:line="192"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Local Joint</w:t>
      </w:r>
    </w:p>
    <w:p>
      <w:pPr>
        <w:spacing w:after="0" w:line="225" w:lineRule="exact"/>
        <w:rPr>
          <w:rFonts w:ascii="Arial" w:cs="Arial" w:eastAsia="Arial" w:hAnsi="Arial"/>
          <w:sz w:val="16"/>
          <w:szCs w:val="16"/>
          <w:b w:val="1"/>
          <w:bCs w:val="1"/>
          <w:color w:val="auto"/>
        </w:rPr>
      </w:pPr>
    </w:p>
    <w:p>
      <w:pPr>
        <w:ind w:left="6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On March 22, 2021, an affiliate of the Company entered into an asset purchase agreement with Flower Launch LLC, the manager of Patient Alternative Relief Center, Inc., d/b/a Local Joint, an Arizona nonprofit corporation (“PARC”), which holds a dispensary license, an authorization to operate a second dispensary, and an authorization to operate an offsite cultivation facility, all in the State of Arizona. The transaction closed on March 30, 2021. Total consideration includes cash consideration of $13,500,000, with $10,000,000 paid on the closing date and $3,500,000 payable within 120 days after the closing date, plus 179,767 Subordinate Voting Shares. As of September 30, 2021, the total consideration had been paid in full.</w:t>
      </w:r>
    </w:p>
    <w:p>
      <w:pPr>
        <w:spacing w:after="0" w:line="192"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Territory</w:t>
      </w:r>
    </w:p>
    <w:p>
      <w:pPr>
        <w:spacing w:after="0" w:line="225" w:lineRule="exact"/>
        <w:rPr>
          <w:rFonts w:ascii="Arial" w:cs="Arial" w:eastAsia="Arial" w:hAnsi="Arial"/>
          <w:sz w:val="16"/>
          <w:szCs w:val="16"/>
          <w:b w:val="1"/>
          <w:bCs w:val="1"/>
          <w:color w:val="auto"/>
        </w:rPr>
      </w:pPr>
    </w:p>
    <w:p>
      <w:pPr>
        <w:ind w:left="66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On February 24, 2021, the Company entered into an agreement to acquire three active dispensaries and one cultivation and production facility from NZCO LLC, Murff &amp; Company LLC, JWC1 LLC, Hu Commercial Properties LLC and BISHCO LLC (collectively, “Territory”). The transaction closed April 8, 2021. Total consideration includes $19,735,684 paid upon closing, subject to a purchase price adjustment, 997,453 Subordinate Voting Shares and 29,924 Proportionate Voting Shares, equivalent to 2,992,413 Subordinate Voting Shares on an-as converted basis. The remaining consideration is related to contingent consideration with 50% payable in cash on March 31, 2022, and the remaining payable in shares or in cash at the election of the recipient on March 31, 2023. As of September 30, 2021, the present value of unpaid deferred consideration of $20,634,648 is included in the acquisition price payable balance in the consolidated statement of financial position.</w:t>
      </w:r>
    </w:p>
    <w:p>
      <w:pPr>
        <w:spacing w:after="0" w:line="274" w:lineRule="exact"/>
        <w:rPr>
          <w:rFonts w:ascii="Arial" w:cs="Arial" w:eastAsia="Arial" w:hAnsi="Arial"/>
          <w:sz w:val="16"/>
          <w:szCs w:val="16"/>
          <w:b w:val="1"/>
          <w:bCs w:val="1"/>
          <w:color w:val="auto"/>
        </w:rPr>
      </w:pPr>
    </w:p>
    <w:p>
      <w:pPr>
        <w:ind w:left="5540" w:hanging="111"/>
        <w:spacing w:after="0"/>
        <w:tabs>
          <w:tab w:leader="none" w:pos="5540" w:val="left"/>
        </w:tabs>
        <w:numPr>
          <w:ilvl w:val="2"/>
          <w:numId w:val="69"/>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-6525260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96"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right="7740" w:hanging="328"/>
        <w:spacing w:after="0" w:line="603" w:lineRule="auto"/>
        <w:tabs>
          <w:tab w:leader="none" w:pos="660" w:val="left"/>
        </w:tabs>
        <w:numPr>
          <w:ilvl w:val="1"/>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Combinations </w:t>
      </w:r>
      <w:r>
        <w:rPr>
          <w:rFonts w:ascii="Arial" w:cs="Arial" w:eastAsia="Arial" w:hAnsi="Arial"/>
          <w:sz w:val="15"/>
          <w:szCs w:val="15"/>
          <w:i w:val="1"/>
          <w:iCs w:val="1"/>
          <w:color w:val="auto"/>
        </w:rPr>
        <w:t>(Continued)</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TerraVida Holistic Center, LLC</w:t>
      </w:r>
    </w:p>
    <w:p>
      <w:pPr>
        <w:spacing w:after="0" w:line="1" w:lineRule="exact"/>
        <w:rPr>
          <w:rFonts w:ascii="Arial" w:cs="Arial" w:eastAsia="Arial" w:hAnsi="Arial"/>
          <w:sz w:val="15"/>
          <w:szCs w:val="15"/>
          <w:b w:val="1"/>
          <w:bCs w:val="1"/>
          <w:color w:val="auto"/>
        </w:rPr>
      </w:pPr>
    </w:p>
    <w:p>
      <w:pPr>
        <w:ind w:left="660" w:right="40"/>
        <w:spacing w:after="0" w:line="293" w:lineRule="auto"/>
        <w:rPr>
          <w:rFonts w:ascii="Arial" w:cs="Arial" w:eastAsia="Arial" w:hAnsi="Arial"/>
          <w:sz w:val="15"/>
          <w:szCs w:val="15"/>
          <w:b w:val="1"/>
          <w:bCs w:val="1"/>
          <w:color w:val="auto"/>
        </w:rPr>
      </w:pPr>
      <w:r>
        <w:rPr>
          <w:rFonts w:ascii="Arial" w:cs="Arial" w:eastAsia="Arial" w:hAnsi="Arial"/>
          <w:sz w:val="16"/>
          <w:szCs w:val="16"/>
          <w:color w:val="auto"/>
        </w:rPr>
        <w:t>On February 24, 2021, subsidiaries of the Company entered into an agreement to acquire three active Pennsylvania dispensaries. The transaction closed May 11, 2021. Total consideration includes cash consideration of $62,500,000, of which $15,000,000 plus a purchase price adjustment of $3,795,515 was paid on the closing date, an additional $10,000,000 was paid in August, and the remaining $37,500,0000 is payable within 180 days after the closing date. In addition, the consideration includes 1,506,750 Subordinate Voting Shares and 15,067 Proportionate Voting Shares, equivalent to 1,506,750 Subordinate Voting Shares on an as converted basis. As of September 30, 2021, the present value of unpaid deferred consideration of $38,130,653 is included in the acquisition price payable balance in the consolidated statement of financial position.</w:t>
      </w:r>
    </w:p>
    <w:p>
      <w:pPr>
        <w:spacing w:after="0" w:line="164"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The Healing Center, LLC</w:t>
      </w:r>
    </w:p>
    <w:p>
      <w:pPr>
        <w:spacing w:after="0" w:line="225" w:lineRule="exact"/>
        <w:rPr>
          <w:rFonts w:ascii="Arial" w:cs="Arial" w:eastAsia="Arial" w:hAnsi="Arial"/>
          <w:sz w:val="15"/>
          <w:szCs w:val="15"/>
          <w:b w:val="1"/>
          <w:bCs w:val="1"/>
          <w:color w:val="auto"/>
        </w:rPr>
      </w:pPr>
    </w:p>
    <w:p>
      <w:pPr>
        <w:ind w:left="660" w:right="180"/>
        <w:spacing w:after="0" w:line="271" w:lineRule="auto"/>
        <w:rPr>
          <w:rFonts w:ascii="Arial" w:cs="Arial" w:eastAsia="Arial" w:hAnsi="Arial"/>
          <w:sz w:val="15"/>
          <w:szCs w:val="15"/>
          <w:b w:val="1"/>
          <w:bCs w:val="1"/>
          <w:color w:val="auto"/>
        </w:rPr>
      </w:pPr>
      <w:r>
        <w:rPr>
          <w:rFonts w:ascii="Arial" w:cs="Arial" w:eastAsia="Arial" w:hAnsi="Arial"/>
          <w:sz w:val="17"/>
          <w:szCs w:val="17"/>
          <w:color w:val="auto"/>
        </w:rPr>
        <w:t>On March 29, 2021, the Company entered into an agreement to acquire three active dispensaries in Pittsburgh by purchasing all the issued and outstanding equity interests of The Healing Center, LLC (“The Healing Center”). The transaction closed on May 14, 2021. Total consideration includes cash consideration of $56,892,320, plus a $2,354,886 purchase price adjustment, of which $31,463,479 was paid upon closing and an additional $27,783,707 was paid 60 days after the closing date. In addition, the merger consideration included 454,302 Subordinate Voting Shares and 25,744 Proportionate Voting Shares equivalent to 2,574,375 Subordinate Voting Shares on an as converted basis. Contingent consideration of $11,412,413, evenly allocated between shares and cash, is payable in February 2022. As of September 30, 2021, the present value of unpaid deferred consideration of $11,752,333 is included in the acquisition price payable balance in the consolidated statement of financial position.</w:t>
      </w:r>
    </w:p>
    <w:p>
      <w:pPr>
        <w:spacing w:after="0" w:line="178"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Mad River Remedies, LLC</w:t>
      </w:r>
    </w:p>
    <w:p>
      <w:pPr>
        <w:spacing w:after="0" w:line="225" w:lineRule="exact"/>
        <w:rPr>
          <w:rFonts w:ascii="Arial" w:cs="Arial" w:eastAsia="Arial" w:hAnsi="Arial"/>
          <w:sz w:val="15"/>
          <w:szCs w:val="15"/>
          <w:b w:val="1"/>
          <w:bCs w:val="1"/>
          <w:color w:val="auto"/>
        </w:rPr>
      </w:pPr>
    </w:p>
    <w:p>
      <w:pPr>
        <w:ind w:left="660" w:right="20"/>
        <w:spacing w:after="0" w:line="301" w:lineRule="auto"/>
        <w:rPr>
          <w:rFonts w:ascii="Arial" w:cs="Arial" w:eastAsia="Arial" w:hAnsi="Arial"/>
          <w:sz w:val="15"/>
          <w:szCs w:val="15"/>
          <w:b w:val="1"/>
          <w:bCs w:val="1"/>
          <w:color w:val="auto"/>
        </w:rPr>
      </w:pPr>
      <w:r>
        <w:rPr>
          <w:rFonts w:ascii="Arial" w:cs="Arial" w:eastAsia="Arial" w:hAnsi="Arial"/>
          <w:sz w:val="16"/>
          <w:szCs w:val="16"/>
          <w:color w:val="auto"/>
        </w:rPr>
        <w:t>On April 1, 2021, the Company announced it had entered into an agreement to acquire Mad River Remedies, LLC, a dispensary of medical marijuana in Dayton, Ohio. The transaction closed on July 8, 2021. The consideration includes cash consideration of $12,984,149, subject to a purchase price adjustment of $29,394, and 488,861 Subordinate Voting Shares delivered at closing. As of September 30, 2021, only the purchase price adjustment of $29,394 was unpaid and included in the acquisition price payable balance in the consolidated statement of financial position.</w:t>
      </w:r>
    </w:p>
    <w:p>
      <w:pPr>
        <w:spacing w:after="0" w:line="157"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Agri-Kind, LLC</w:t>
      </w:r>
    </w:p>
    <w:p>
      <w:pPr>
        <w:spacing w:after="0" w:line="225" w:lineRule="exact"/>
        <w:rPr>
          <w:rFonts w:ascii="Arial" w:cs="Arial" w:eastAsia="Arial" w:hAnsi="Arial"/>
          <w:sz w:val="15"/>
          <w:szCs w:val="15"/>
          <w:b w:val="1"/>
          <w:bCs w:val="1"/>
          <w:color w:val="auto"/>
        </w:rPr>
      </w:pPr>
    </w:p>
    <w:p>
      <w:pPr>
        <w:ind w:left="660"/>
        <w:spacing w:after="0" w:line="254" w:lineRule="auto"/>
        <w:rPr>
          <w:rFonts w:ascii="Arial" w:cs="Arial" w:eastAsia="Arial" w:hAnsi="Arial"/>
          <w:sz w:val="15"/>
          <w:szCs w:val="15"/>
          <w:b w:val="1"/>
          <w:bCs w:val="1"/>
          <w:color w:val="auto"/>
        </w:rPr>
      </w:pPr>
      <w:r>
        <w:rPr>
          <w:rFonts w:ascii="Arial" w:cs="Arial" w:eastAsia="Arial" w:hAnsi="Arial"/>
          <w:sz w:val="18"/>
          <w:szCs w:val="18"/>
          <w:color w:val="auto"/>
        </w:rPr>
        <w:t>On April 21, 2021, the Company entered into an agreement to acquire all of the issued and outstanding equity interests in Agri-Kind, LLC (“Agri-Kind”), an operator of a 62,000 sq. ft. cultivation and production facility of medical marijuana located in Chester, Pennsylvania. The transaction closed on July 12, 2021. The total consideration for Agri-Kind includes cash consideration of $62,385,509 of which $31,840,045 was paid at closing and the remaining $30,545,455 was paid in October. In addition, the merger consideration included the issuance of 3,208,035 Subordinate Voting Shares and contingent consideration of $31,500,000, which may be increased based upon financial performance metrics of Agri-Kind for 2021 and is payable in Subordinate Voting Shares, unless cash payment is elected by the recipient. As of September 30, 2021, the present value of unpaid deferred consideration of $62,038,032 is included in the acquisition price payable balance in the consolidated statement of financial position.</w:t>
      </w:r>
    </w:p>
    <w:p>
      <w:pPr>
        <w:spacing w:after="0" w:line="299" w:lineRule="exact"/>
        <w:rPr>
          <w:rFonts w:ascii="Arial" w:cs="Arial" w:eastAsia="Arial" w:hAnsi="Arial"/>
          <w:sz w:val="15"/>
          <w:szCs w:val="15"/>
          <w:b w:val="1"/>
          <w:bCs w:val="1"/>
          <w:color w:val="auto"/>
        </w:rPr>
      </w:pPr>
    </w:p>
    <w:p>
      <w:pPr>
        <w:ind w:left="5540" w:hanging="111"/>
        <w:spacing w:after="0"/>
        <w:tabs>
          <w:tab w:leader="none" w:pos="5540" w:val="left"/>
        </w:tabs>
        <w:numPr>
          <w:ilvl w:val="2"/>
          <w:numId w:val="70"/>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-5839460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96" w:right="4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right="7880" w:hanging="328"/>
        <w:spacing w:after="0" w:line="603" w:lineRule="auto"/>
        <w:tabs>
          <w:tab w:leader="none" w:pos="660" w:val="left"/>
        </w:tabs>
        <w:numPr>
          <w:ilvl w:val="1"/>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Combinations </w:t>
      </w:r>
      <w:r>
        <w:rPr>
          <w:rFonts w:ascii="Arial" w:cs="Arial" w:eastAsia="Arial" w:hAnsi="Arial"/>
          <w:sz w:val="15"/>
          <w:szCs w:val="15"/>
          <w:i w:val="1"/>
          <w:iCs w:val="1"/>
          <w:color w:val="auto"/>
        </w:rPr>
        <w:t>(Continued)</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Agronomed Biologics, LLC</w:t>
      </w:r>
    </w:p>
    <w:p>
      <w:pPr>
        <w:spacing w:after="0" w:line="1" w:lineRule="exact"/>
        <w:rPr>
          <w:rFonts w:ascii="Arial" w:cs="Arial" w:eastAsia="Arial" w:hAnsi="Arial"/>
          <w:sz w:val="15"/>
          <w:szCs w:val="15"/>
          <w:b w:val="1"/>
          <w:bCs w:val="1"/>
          <w:color w:val="auto"/>
        </w:rPr>
      </w:pPr>
    </w:p>
    <w:p>
      <w:pPr>
        <w:ind w:left="660" w:right="100"/>
        <w:spacing w:after="0" w:line="254" w:lineRule="auto"/>
        <w:rPr>
          <w:rFonts w:ascii="Arial" w:cs="Arial" w:eastAsia="Arial" w:hAnsi="Arial"/>
          <w:sz w:val="15"/>
          <w:szCs w:val="15"/>
          <w:b w:val="1"/>
          <w:bCs w:val="1"/>
          <w:color w:val="auto"/>
        </w:rPr>
      </w:pPr>
      <w:r>
        <w:rPr>
          <w:rFonts w:ascii="Arial" w:cs="Arial" w:eastAsia="Arial" w:hAnsi="Arial"/>
          <w:sz w:val="18"/>
          <w:szCs w:val="18"/>
          <w:color w:val="auto"/>
        </w:rPr>
        <w:t>On April 21, 2021, the Company entered into an agreement to acquire all the issued and outstanding equity interests in Agronomed Biologics, LLC (“Agronomed”), which holds a clinical registrant license that allows for cultivation, production, and operation of six dispensaries in the Commonwealth of Pennsylvania. As a clinical registrant, Agronomed has partnered with the Drexel University College of Medicine to conduct medical marijuana research. The transaction closed on July 12, 2021. Total consideration includes cash consideration of $10,472,810, subject to a purchase price adjustment, paid upon closing and an additional $40,000,000 of contingent consideration to be paid in cash or shares at the election of the seller. In addition, the merger consideration included 3,240,436 Subordinate Voting Shares issued upon closing. As of September 30, 2021, the present value of unpaid deferred consideration of $39,990,442 is included in the acquisition price payable balance in the consolidated statement of financial position.</w:t>
      </w:r>
    </w:p>
    <w:p>
      <w:pPr>
        <w:spacing w:after="0" w:line="191" w:lineRule="exact"/>
        <w:rPr>
          <w:rFonts w:ascii="Arial" w:cs="Arial" w:eastAsia="Arial" w:hAnsi="Arial"/>
          <w:sz w:val="15"/>
          <w:szCs w:val="15"/>
          <w:b w:val="1"/>
          <w:bCs w:val="1"/>
          <w:color w:val="auto"/>
        </w:rPr>
      </w:pPr>
    </w:p>
    <w:p>
      <w:pPr>
        <w:ind w:left="660" w:right="20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 xml:space="preserve">The Company has determined that these acquisitions are business combinations under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They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have been included in these unaudited interim condensed consolidated financial statements from the date of the acquisition. Any goodwill recognized is attributed based on cash generating units. The following table summarizes the provisional accounting estimates of the acquisitions that occurred during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-2774315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0"/>
              </w:rPr>
              <w:t>Q1 Acquisitions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Glass City</w:t>
            </w: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Perpetual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The Herbal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Alternatives</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Healthcare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Care Center</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Local Joint</w:t>
            </w:r>
          </w:p>
        </w:tc>
        <w:tc>
          <w:tcPr>
            <w:tcW w:w="16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178,041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2,167,840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3,364,081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398,394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398,394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58,260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421,928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1,434,925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218,797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2,133,910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201,747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502,164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1,642,368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450,879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2,730,636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63,462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936,183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2,480,233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3,694,866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(16,812)</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(200,190)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(3,306,785)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(216,262)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(3,740,049)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(6,548,479)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(11,914,038)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(18,462,517)</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Total Lease Liability</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(63,463)</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(214,989)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(936,183)</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(2,480,233)</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(3,694,868)</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 (liabilities)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771,652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(5,670,532)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(7,866,715)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1,391,795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(11,373,800)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2,721,523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33,386,985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51,304,443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16,095,450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103,508,401</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3,493,175</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27,716,453</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43,437,728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17,487,245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92,134,601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- 16 -</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Q2 Acquisitions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6"/>
              </w:rPr>
              <w:t>TerraVida</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Holistic</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The Healing</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Territory</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Center</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Center</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1,808,519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3,222,398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3,496,250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8,527,167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230,599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230,599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6,258,199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4,091,461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3,088,059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13,437,719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Biological Assets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617,746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617,746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691,664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809,880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1,505,011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7,872,373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2,612,109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352,233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10,836,715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567,297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2,119,879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2,687,176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Deposits and Other Non-Current Assets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23,222</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74,662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97,884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(2,783,789)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(1,635,471)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(2,568,820)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(6,988,080)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 Liabilities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(618,381)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(618,381)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(22,861,052)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(22,861,052)</w:t>
            </w: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r>
              <w:rPr>
                <w:rFonts w:ascii="Arial" w:cs="Arial" w:eastAsia="Arial" w:hAnsi="Arial"/>
                <w:sz w:val="18"/>
                <w:szCs w:val="18"/>
                <w:color w:val="auto"/>
              </w:rPr>
              <w:t>Total Lease Liability</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(567,297)</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(2,119,879)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(2,687,176)</w:t>
            </w:r>
          </w:p>
        </w:tc>
        <w:tc>
          <w:tcPr>
            <w:tcW w:w="0" w:type="dxa"/>
            <w:vAlign w:val="bottom"/>
          </w:tcPr>
          <w:p>
            <w:pPr>
              <w:spacing w:after="0"/>
              <w:rPr>
                <w:sz w:val="1"/>
                <w:szCs w:val="1"/>
                <w:color w:val="auto"/>
              </w:rPr>
            </w:pP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 (liabilities)</w:t>
            </w: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(9,449,097)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9,056,823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5,177,602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4,785,328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Intangible assets</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126,223,109</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116,052,992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128,788,961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371,065,062</w:t>
            </w:r>
          </w:p>
        </w:tc>
        <w:tc>
          <w:tcPr>
            <w:tcW w:w="0" w:type="dxa"/>
            <w:vAlign w:val="bottom"/>
          </w:tcPr>
          <w:p>
            <w:pPr>
              <w:spacing w:after="0"/>
              <w:rPr>
                <w:sz w:val="1"/>
                <w:szCs w:val="1"/>
                <w:color w:val="auto"/>
              </w:rPr>
            </w:pPr>
          </w:p>
        </w:tc>
      </w:tr>
      <w:tr>
        <w:trPr>
          <w:trHeight w:val="27"/>
        </w:trPr>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7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vMerge w:val="continue"/>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116,774,012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125,109,815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133,966,563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375,850,390</w:t>
            </w:r>
          </w:p>
        </w:tc>
        <w:tc>
          <w:tcPr>
            <w:tcW w:w="0" w:type="dxa"/>
            <w:vAlign w:val="bottom"/>
          </w:tcPr>
          <w:p>
            <w:pPr>
              <w:spacing w:after="0"/>
              <w:rPr>
                <w:sz w:val="1"/>
                <w:szCs w:val="1"/>
                <w:color w:val="auto"/>
              </w:rPr>
            </w:pPr>
          </w:p>
        </w:tc>
      </w:tr>
      <w:tr>
        <w:trPr>
          <w:trHeight w:val="21"/>
        </w:trPr>
        <w:tc>
          <w:tcPr>
            <w:tcW w:w="42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Q3 Acquisitions</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Mad River</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Agronomed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Agri Kind,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Remedies</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Biologics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LLC.</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755,337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2,300,014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1,900,582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4,955,933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261,719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560,302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822,021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Inventory</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396,140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623,246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2,172,667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3,192,053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Biological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2,015,769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2,015,769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84,679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322,541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269,234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676,454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589,157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5,843,995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5,280,110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11,713,262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Right-of-Use Asset, Net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124,715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2,715,191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2,839,906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Non-Current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39,843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(477,882)</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(1,126,474)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(799,080)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(2,403,436)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(2,787,500)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(1,730,787)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(4,518,287)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(29,875,247)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(41,579,927)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(71,455,174)</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(124,715)</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(2,715,191)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(2,839,906)</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identifiable net assets (liabilities)</w:t>
            </w:r>
          </w:p>
        </w:tc>
        <w:tc>
          <w:tcPr>
            <w:tcW w:w="17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1,609,150</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(24,659,582)</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(31,911,130)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(54,961,562)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19,218,573</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126,626,478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176,775,226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322,620,277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Consideration</w:t>
            </w: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20,827,723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101,966,896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144,864,096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267,658,715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vMerge w:val="restart"/>
          </w:tcPr>
          <w:p>
            <w:pPr>
              <w:jc w:val="right"/>
              <w:ind w:right="70"/>
              <w:spacing w:after="0"/>
              <w:rPr>
                <w:sz w:val="20"/>
                <w:szCs w:val="20"/>
                <w:color w:val="auto"/>
              </w:rPr>
            </w:pPr>
            <w:r>
              <w:rPr>
                <w:rFonts w:ascii="Arial" w:cs="Arial" w:eastAsia="Arial" w:hAnsi="Arial"/>
                <w:sz w:val="18"/>
                <w:szCs w:val="18"/>
                <w:color w:val="auto"/>
              </w:rPr>
              <w:t>- 17 -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right="7760" w:hanging="328"/>
        <w:spacing w:after="0" w:line="503" w:lineRule="auto"/>
        <w:tabs>
          <w:tab w:leader="none" w:pos="660"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i w:val="1"/>
          <w:iCs w:val="1"/>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ChiVegas</w:t>
      </w:r>
    </w:p>
    <w:p>
      <w:pPr>
        <w:ind w:left="660" w:right="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 xml:space="preserve">In July 2020, Verano Holdings LLC acquired the remaining 50% ownership interest in a Las Vegas real estate entity, which provided Verano Holdings LLC with a controlling interest. The initial 50% interest was purchased in 2017. The transaction was accounted for as a business acquisition in accordance with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purchase price was allocated to building and land in the amount of $1,160,000. Upon the July closing, consideration included cash of $230,000 and a note payable of $350,000 (Note 10). A gain on the previously held equity interest was recognized for $458,039. The note was repaid in full in May 2021.</w:t>
      </w:r>
    </w:p>
    <w:p>
      <w:pPr>
        <w:spacing w:after="0" w:line="17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MME Evanston Retail, LLC</w:t>
      </w:r>
    </w:p>
    <w:p>
      <w:pPr>
        <w:spacing w:after="0" w:line="225" w:lineRule="exact"/>
        <w:rPr>
          <w:rFonts w:ascii="Arial" w:cs="Arial" w:eastAsia="Arial" w:hAnsi="Arial"/>
          <w:sz w:val="18"/>
          <w:szCs w:val="18"/>
          <w:b w:val="1"/>
          <w:bCs w:val="1"/>
          <w:color w:val="auto"/>
        </w:rPr>
      </w:pPr>
    </w:p>
    <w:p>
      <w:pPr>
        <w:ind w:left="660" w:right="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In July 2020, Verano Holdings LLC entered into a membership interest purchase agreement to acquire 100% of the ownership interests of a dispensary located in Illinois. The total purchase price was $20,000,000 plus a $66,686 purchase price adjustment. Verano Holdings LLC paid $10,000,000 in July 2020, $8,000,000 in November 2020 and $1,066,686 in March 2021. The remaining $1,000,000 of purchase price will be paid pursuant to the membership interest purchase agreement. Verano Holdings LLC, through a subsidiary, also entered into a management and administrative services agreement. Based on the funding and providing of services, the Company determined that control was transferred at the closing and accounted for the transaction as a business acquisition in accordance with IFRS 3,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and consolidated the seller as of July 2020. As of September 30, 2021, the present value of unpaid deferred consideration of $1,000,000 is included in the acquisition price payable balance in the consolidated statement of financial position.</w:t>
      </w:r>
    </w:p>
    <w:p>
      <w:pPr>
        <w:spacing w:after="0" w:line="17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Elevele, LLC</w:t>
      </w:r>
    </w:p>
    <w:p>
      <w:pPr>
        <w:spacing w:after="0" w:line="225" w:lineRule="exact"/>
        <w:rPr>
          <w:rFonts w:ascii="Arial" w:cs="Arial" w:eastAsia="Arial" w:hAnsi="Arial"/>
          <w:sz w:val="18"/>
          <w:szCs w:val="18"/>
          <w:b w:val="1"/>
          <w:bCs w:val="1"/>
          <w:color w:val="auto"/>
        </w:rPr>
      </w:pPr>
    </w:p>
    <w:p>
      <w:pPr>
        <w:ind w:left="6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In December 2020, Verano Holdings LLC entered into a membership interest purchase agreement to acquire 100% of the ownership interests of a dispensary located in Illinois. The total purchase price was $22,347,011 plus a $415,065 purchase price adjustment. Verano Holdings LLC paid $5,347,011 in December 2020 and $5,415,065 in March 2021. The remaining purchase price will be paid pursuant to the membership interest purchase agreement. Verano Holdings LLC, through a subsidiary, also entered into a management and administrative services agreement. Based on the funding and providing of services, the Company determined that control was transferred at the closing and accounted for the transaction as a business acquisition in accordance with IFRS 3,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and consolidated the seller as of December 2020. As of September 30, 2021, the present value of unpaid deferred consideration of $9,920,370 is included in the acquisition price payable balance in the consolidated statement of financial position.</w:t>
      </w:r>
    </w:p>
    <w:p>
      <w:pPr>
        <w:spacing w:after="0" w:line="17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FGM Processing, LLC</w:t>
      </w:r>
    </w:p>
    <w:p>
      <w:pPr>
        <w:spacing w:after="0" w:line="225" w:lineRule="exact"/>
        <w:rPr>
          <w:rFonts w:ascii="Arial" w:cs="Arial" w:eastAsia="Arial" w:hAnsi="Arial"/>
          <w:sz w:val="18"/>
          <w:szCs w:val="18"/>
          <w:b w:val="1"/>
          <w:bCs w:val="1"/>
          <w:color w:val="auto"/>
        </w:rPr>
      </w:pPr>
    </w:p>
    <w:p>
      <w:pPr>
        <w:ind w:left="6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 xml:space="preserve">In December 2020, a Company affiliate entered into a membership purchase agreement with a licensee in Maryland which would allow Verano LLC to process medical marijuana in Maryland. The Company analyzed the transactions and recorded the transaction as a business acquisition in accordance with IFRS 3,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and consolidated the seller as of December 2020. The total purchase price was $6,900,000, plus a $186,356 purchase price adjustment. $1,050,000 was paid in December 2020 and an aggregate of $3,950,000 was paid in January and February 2021 with an additional $2,086,356 paid in the third quarter. As of September 30, 2021, the total consideration had been paid in full.</w:t>
      </w:r>
    </w:p>
    <w:p>
      <w:pPr>
        <w:spacing w:after="0" w:line="269" w:lineRule="exact"/>
        <w:rPr>
          <w:rFonts w:ascii="Arial" w:cs="Arial" w:eastAsia="Arial" w:hAnsi="Arial"/>
          <w:sz w:val="18"/>
          <w:szCs w:val="18"/>
          <w:b w:val="1"/>
          <w:bCs w:val="1"/>
          <w:color w:val="auto"/>
        </w:rPr>
      </w:pPr>
    </w:p>
    <w:p>
      <w:pPr>
        <w:ind w:left="5540" w:hanging="111"/>
        <w:spacing w:after="0"/>
        <w:tabs>
          <w:tab w:leader="none" w:pos="5540" w:val="left"/>
        </w:tabs>
        <w:numPr>
          <w:ilvl w:val="2"/>
          <w:numId w:val="73"/>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-5839460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96"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the provisional accounting estimates of the acquisitions that occurred during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Evanston</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Elevele</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FGM</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451,223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993,012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1,486,452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121,398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121,398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552,633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431,041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1,050,413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3,354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447,011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28,367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478,732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941,392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729,367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1,708,838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Deposits and other non-current assets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10,848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41,848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112,012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43,791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155,803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(940,702)</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(1,108,987)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(92,358)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(2,142,047)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(5,766,702)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(6,548,193)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(12,314,895)</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(122,779)</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(68,451)</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(191,230)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 (liabilities)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(4,769,569)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(5,761,849)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926,730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(9,604,688)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24,836,255</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28,161,760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6,159,626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59,157,641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20,066,686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22,399,911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7,086,356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49,552,953</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20"/>
        <w:spacing w:after="0" w:line="296" w:lineRule="auto"/>
        <w:rPr>
          <w:sz w:val="20"/>
          <w:szCs w:val="20"/>
          <w:color w:val="auto"/>
        </w:rPr>
      </w:pPr>
      <w:r>
        <w:rPr>
          <w:rFonts w:ascii="Arial" w:cs="Arial" w:eastAsia="Arial" w:hAnsi="Arial"/>
          <w:sz w:val="16"/>
          <w:szCs w:val="16"/>
          <w:color w:val="auto"/>
        </w:rPr>
        <w:t>Measurement period adjustments that the Company determined to be material will be applied retrospectively to the period of acquisition in the Company’s unaudited condensed interim consolidated financial statements, and depending on the nature of the adjustments, other periods subsequent to the period of acquisition could be affected. The primary areas of the purchase price allocation that are subject to change relate to the fair value of certain tangible assets, the value of intangible assets acquired, and residual goodwill. The Company expects to continue to obtain information to assist in determining the fair value of the net assets acquired at the acquisition date during the measurement period.</w:t>
      </w:r>
    </w:p>
    <w:p>
      <w:pPr>
        <w:spacing w:after="0" w:line="157" w:lineRule="exact"/>
        <w:rPr>
          <w:sz w:val="20"/>
          <w:szCs w:val="20"/>
          <w:color w:val="auto"/>
        </w:rPr>
      </w:pPr>
    </w:p>
    <w:p>
      <w:pPr>
        <w:ind w:left="660" w:right="9140" w:hanging="328"/>
        <w:spacing w:after="0" w:line="566" w:lineRule="auto"/>
        <w:tabs>
          <w:tab w:leader="none" w:pos="66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Asset Acquisition </w:t>
      </w:r>
      <w:r>
        <w:rPr>
          <w:rFonts w:ascii="Arial" w:cs="Arial" w:eastAsia="Arial" w:hAnsi="Arial"/>
          <w:sz w:val="16"/>
          <w:szCs w:val="16"/>
          <w:i w:val="1"/>
          <w:iCs w:val="1"/>
          <w:color w:val="auto"/>
        </w:rPr>
        <w:t>NSE Holdings, LLC</w:t>
      </w:r>
    </w:p>
    <w:p>
      <w:pPr>
        <w:ind w:left="660" w:right="22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On February 24, 2021, a subsidiary of the Company entered into an agreement pursuant to which it acquired all the equity interests of a licensee that holds one dispensary permit in Pennsylvania, which gives the subsidiary of the Company the ability to open three dispensaries. The transaction closed on March 9, 2021. Pursuant to the agreement, the Company paid cash consideration of $7,350,000 upon closing and issued 666,587 Subordinate Voting Shares and 6,665 Proportionate Voting Shares equivalent to 666,586 Subordinate Voting Shares on an as-converted basis. The Company analyzed the transaction and accounted for the transaction as an asset acquisition. The Company capitalized licenses in the amount of $55,015,651. As of September 30, 2021, the present value of unpaid deferred consideration is $22,583,474 and is included in the acquisition price payable balance in the consolidated statement of financial position. The unpaid consideration relates to earnouts that are due in July 2022, 2023, and 2024 and is expected to be settled in share issuances.</w:t>
      </w:r>
    </w:p>
    <w:p>
      <w:pPr>
        <w:spacing w:after="0" w:line="273" w:lineRule="exact"/>
        <w:rPr>
          <w:rFonts w:ascii="Arial" w:cs="Arial" w:eastAsia="Arial" w:hAnsi="Arial"/>
          <w:sz w:val="16"/>
          <w:szCs w:val="16"/>
          <w:b w:val="1"/>
          <w:bCs w:val="1"/>
          <w:color w:val="auto"/>
        </w:rPr>
      </w:pPr>
    </w:p>
    <w:p>
      <w:pPr>
        <w:ind w:left="5540" w:hanging="111"/>
        <w:spacing w:after="0"/>
        <w:tabs>
          <w:tab w:leader="none" w:pos="5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right="8300" w:hanging="328"/>
        <w:spacing w:after="0" w:line="566" w:lineRule="auto"/>
        <w:tabs>
          <w:tab w:leader="none" w:pos="660" w:val="left"/>
        </w:tabs>
        <w:numPr>
          <w:ilvl w:val="1"/>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Asset Acquisition </w:t>
      </w:r>
      <w:r>
        <w:rPr>
          <w:rFonts w:ascii="Arial" w:cs="Arial" w:eastAsia="Arial" w:hAnsi="Arial"/>
          <w:sz w:val="16"/>
          <w:szCs w:val="16"/>
          <w:i w:val="1"/>
          <w:iCs w:val="1"/>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Ohio Grow Therapies, LLC</w:t>
      </w:r>
    </w:p>
    <w:p>
      <w:pPr>
        <w:ind w:left="660" w:right="180"/>
        <w:spacing w:after="0" w:line="275" w:lineRule="auto"/>
        <w:rPr>
          <w:rFonts w:ascii="Arial" w:cs="Arial" w:eastAsia="Arial" w:hAnsi="Arial"/>
          <w:sz w:val="16"/>
          <w:szCs w:val="16"/>
          <w:b w:val="1"/>
          <w:bCs w:val="1"/>
          <w:color w:val="auto"/>
        </w:rPr>
      </w:pPr>
      <w:r>
        <w:rPr>
          <w:rFonts w:ascii="Arial" w:cs="Arial" w:eastAsia="Arial" w:hAnsi="Arial"/>
          <w:sz w:val="17"/>
          <w:szCs w:val="17"/>
          <w:color w:val="auto"/>
        </w:rPr>
        <w:t>On June 30, 2021, a subsidiary of the Company entered into a letter agreement to acknowledge final closing pursuant to an option purchase agreement entered into on January 14, 2019, which would allow the Company to operate one dispensary located in Newark, Ohio. The final closing had no impact on operations as the Company already exerted control over the dispensary through a consulting agreement entered into in 2019. The Company capitalized the license in the amount of $760,000 to the intangible license value included on the consolidated statement of financial position. As of September 30, 2021, the total consideration had been paid in full.</w:t>
      </w:r>
    </w:p>
    <w:p>
      <w:pPr>
        <w:spacing w:after="0" w:line="17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GreenRx, LLC</w:t>
      </w:r>
    </w:p>
    <w:p>
      <w:pPr>
        <w:spacing w:after="0" w:line="225" w:lineRule="exact"/>
        <w:rPr>
          <w:rFonts w:ascii="Arial" w:cs="Arial" w:eastAsia="Arial" w:hAnsi="Arial"/>
          <w:sz w:val="16"/>
          <w:szCs w:val="16"/>
          <w:b w:val="1"/>
          <w:bCs w:val="1"/>
          <w:color w:val="auto"/>
        </w:rPr>
      </w:pPr>
    </w:p>
    <w:p>
      <w:pPr>
        <w:ind w:left="660" w:right="10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On July 2, 2021, VHGRX Holdings, LLC, a Delaware limited liability company (“VHGRX”), and an indirect subsidiary of the Company, acquired 49% of the membership interests of Green RX, LLC, an Ohio limited liability company (“GreenRx”), which holds a certificate of operation to dispense medical marijuana in Ohio. The aggregate purchase price for such acquisition totaled approximately $11,125,225 and was payable in 310 Proportionate Voting Shares equivalent to 31,000 Subordinate Voting Shares on an as converted basis and $10,619,697 of cash payable in three installments. VHGRX previously acquired the original 51% of GreenRx’s membership interests, such that GreenRx became a wholly-owned subsidiary of VHGRX. As of September 30, 2021, the present value of unpaid deferred consideration of $2,779,698 is included in the acquisition price payable balance in the consolidated statement of financial position and is payable in January and July 2022.</w:t>
      </w:r>
    </w:p>
    <w:p>
      <w:pPr>
        <w:spacing w:after="0" w:line="16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Agronomed Holdings Inc.</w:t>
      </w:r>
    </w:p>
    <w:p>
      <w:pPr>
        <w:spacing w:after="0" w:line="225" w:lineRule="exact"/>
        <w:rPr>
          <w:rFonts w:ascii="Arial" w:cs="Arial" w:eastAsia="Arial" w:hAnsi="Arial"/>
          <w:sz w:val="16"/>
          <w:szCs w:val="16"/>
          <w:b w:val="1"/>
          <w:bCs w:val="1"/>
          <w:color w:val="auto"/>
        </w:rPr>
      </w:pPr>
    </w:p>
    <w:p>
      <w:pPr>
        <w:ind w:left="660" w:right="2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On April 21, 2021, the Company entered into an agreement to acquire all of the issued and outstanding equity interests in Agronomed Holdings Inc. (“AHI”), the owner of a 62,000 sq. ft. cultivation and production facility of medical marijuana located in Chester, Pesnnsylvania operated by Agri-Kind, LLC (“Agri-Kind”). This transaction closed in conjunction with Agri-Kind on July 12, 2021. The Company recognized the transaction as an asset acquisition. The total consideration for AHI includes cash consideration of $10,000,000, subject to a purchase price adjustment. As of September 30, 2021, the present value of unpaid deferred consideration of $5,454,545 is included in the acquisition price payable balance in the consolidated statement of financial position and is payable in October 2021.</w:t>
      </w:r>
    </w:p>
    <w:p>
      <w:pPr>
        <w:spacing w:after="0" w:line="177"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THC Real Estate</w:t>
      </w:r>
    </w:p>
    <w:p>
      <w:pPr>
        <w:spacing w:after="0" w:line="225" w:lineRule="exact"/>
        <w:rPr>
          <w:rFonts w:ascii="Arial" w:cs="Arial" w:eastAsia="Arial" w:hAnsi="Arial"/>
          <w:sz w:val="16"/>
          <w:szCs w:val="16"/>
          <w:b w:val="1"/>
          <w:bCs w:val="1"/>
          <w:color w:val="auto"/>
        </w:rPr>
      </w:pPr>
    </w:p>
    <w:p>
      <w:pPr>
        <w:ind w:left="66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On May 14, 2021, Verano acquired The Healing Center (“THC”) that is comprised of three dispensaries in the greater Pittsburgh area. THC leases the dispensaries from three separate real estate entities. On September 3, 2021, the Company acquired the three real estate properties THC leases, collectively referred to as “THC Real Estate”. Verano funded the acquisition through a credit agreement with Chicago Atlantic Credit Company (“Chicago Atlantic”) of $12,650,000. Total consideration was paid directly to the sellers in the amount of $12,224,996. The Company received $19,637 in cash proceeds and incurred $405,367 in issuance costs and debt discounts on the new credit agreement, which was paid net of proceeds upon closing. The Company amortizes debt issuance costs through interest expense over the life of the credit agreement. Refer to Note 10 for more information. As of September 30, 2021, the total consideration had been paid in full.</w:t>
      </w:r>
    </w:p>
    <w:p>
      <w:pPr>
        <w:spacing w:after="0" w:line="274" w:lineRule="exact"/>
        <w:rPr>
          <w:rFonts w:ascii="Arial" w:cs="Arial" w:eastAsia="Arial" w:hAnsi="Arial"/>
          <w:sz w:val="16"/>
          <w:szCs w:val="16"/>
          <w:b w:val="1"/>
          <w:bCs w:val="1"/>
          <w:color w:val="auto"/>
        </w:rPr>
      </w:pPr>
    </w:p>
    <w:p>
      <w:pPr>
        <w:ind w:left="5540" w:hanging="111"/>
        <w:spacing w:after="0"/>
        <w:tabs>
          <w:tab w:leader="none" w:pos="5540" w:val="left"/>
        </w:tabs>
        <w:numPr>
          <w:ilvl w:val="2"/>
          <w:numId w:val="76"/>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right="8340" w:hanging="328"/>
        <w:spacing w:after="0" w:line="566" w:lineRule="auto"/>
        <w:tabs>
          <w:tab w:leader="none" w:pos="660" w:val="left"/>
        </w:tabs>
        <w:numPr>
          <w:ilvl w:val="1"/>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Asset Acquisition </w:t>
      </w:r>
      <w:r>
        <w:rPr>
          <w:rFonts w:ascii="Arial" w:cs="Arial" w:eastAsia="Arial" w:hAnsi="Arial"/>
          <w:sz w:val="16"/>
          <w:szCs w:val="16"/>
          <w:i w:val="1"/>
          <w:iCs w:val="1"/>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Local Dispensaries, LLC</w:t>
      </w:r>
    </w:p>
    <w:p>
      <w:pPr>
        <w:ind w:left="660" w:right="24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On July 6, 2020, a Company affiliate entered into consulting, licensing, or other contractual arrangements with licensees in Pennsylvania which would allow the Company to operate medical and/or recreational marijuana dispensaries in Pennsylvania. The Company analyzed the transactions and recorded the transactions as asset acquisitions. The Company capitalized the licenses in the amount of $7,000,000 to the intangible license value, which are included in the intangible assets on the consolidated statement of financial position. The Company entered into a secured promissory note of $3,163,000 in July 2020 and all obligations under the note were fully repaid ahead of the scheduled pay-off date. No financial obligations remain outstanding under the transaction documents.</w:t>
      </w:r>
    </w:p>
    <w:p>
      <w:pPr>
        <w:spacing w:after="0" w:line="173" w:lineRule="exact"/>
        <w:rPr>
          <w:rFonts w:ascii="Arial" w:cs="Arial" w:eastAsia="Arial" w:hAnsi="Arial"/>
          <w:sz w:val="16"/>
          <w:szCs w:val="16"/>
          <w:b w:val="1"/>
          <w:bCs w:val="1"/>
          <w:color w:val="auto"/>
        </w:rPr>
      </w:pPr>
    </w:p>
    <w:p>
      <w:pPr>
        <w:ind w:left="180" w:hanging="172"/>
        <w:spacing w:after="0"/>
        <w:tabs>
          <w:tab w:leader="none" w:pos="1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indefinite lived intangible assets and goodwill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Licenses</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Tradenames</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Goodwill</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Technology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19,802,449</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5,064,248</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24,944,697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Purchases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Additions from business combination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46,216,281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14,234,795</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60,451,076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Disposals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(2,987,861)</w:t>
            </w:r>
          </w:p>
        </w:tc>
        <w:tc>
          <w:tcPr>
            <w:tcW w:w="10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(2,987,861)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as of December 31, 2020</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73,018,730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78,000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16,311,182</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89,407,912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Licenses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Tradenames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Goodwill</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Technology</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73,018,730</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16,311,182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89,407,912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Purchases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66,900,876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67,015,876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Additions from business combination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1,079,720,165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57,823,508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312,820,283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11,861,175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1,462,225,131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Disposals</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(842,757)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(842,757)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1,219,639,771</w:t>
            </w:r>
          </w:p>
        </w:tc>
        <w:tc>
          <w:tcPr>
            <w:tcW w:w="120" w:type="dxa"/>
            <w:vAlign w:val="bottom"/>
          </w:tcPr>
          <w:p>
            <w:pPr>
              <w:spacing w:after="0"/>
              <w:rPr>
                <w:sz w:val="20"/>
                <w:szCs w:val="20"/>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57,901,508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329,131,465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11,133,418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1,617,806,162</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- 21 -</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As of September 30, 2021, and December 31, 2020, notes payable consisted of the following:</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Credit Agreement dated July 2, 2020, for an initial commitment of $20,000,000 funded by various investors with</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6"/>
              </w:rPr>
              <w:t>Chicago Atlantic GIC Advisers, LLC as administrative and collateral agent, and an incremental loan not to exceed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5"/>
              </w:rPr>
              <w:t>$10,000,000; interest at 15.25% per annum; and a maturity date of May 30, 2023. On May 10, 2021, the Company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amended and restated the Credit Agreement by entering into an Amended and Restated Credit Agreement for a senior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secured term loan of $130,000,000; interest at 9.75% per annum for the incremental $100,000,000; and a maturity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1"/>
              </w:rPr>
              <w:t>date of May 30, 2023. The note is substantially collateralized by all the assets of the Company and is subject to certain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restrictive covenants as defined in the agreement. Refer to </w:t>
            </w:r>
            <w:r>
              <w:rPr>
                <w:rFonts w:ascii="Arial" w:cs="Arial" w:eastAsia="Arial" w:hAnsi="Arial"/>
                <w:sz w:val="18"/>
                <w:szCs w:val="18"/>
                <w:i w:val="1"/>
                <w:iCs w:val="1"/>
                <w:color w:val="auto"/>
              </w:rPr>
              <w:t>(a)</w:t>
            </w:r>
            <w:r>
              <w:rPr>
                <w:rFonts w:ascii="Arial" w:cs="Arial" w:eastAsia="Arial" w:hAnsi="Arial"/>
                <w:sz w:val="18"/>
                <w:szCs w:val="18"/>
                <w:color w:val="auto"/>
              </w:rPr>
              <w:t xml:space="preserve"> below.</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130,000,000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30,000,000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Promissory note with Procida for a principal amount of $13,000,000 with interest only payments of 13% per annum</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2"/>
              </w:rPr>
              <w:t>due monthly and matures July 11, 2022. The note is secured by first-priority blanket liens on the property, assets, and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9"/>
              </w:rPr>
              <w:t>ownership interests of Agri-Kind and Agronomed Holdings Inc. and a second-priority lien securing the seller’s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13,000,000</w:t>
            </w: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Credit agreement dated September 3, 2021, with Chicago Atlantic Admin, LLC for an initial commitment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$12,650,000 and interest of 9.75% that matures September 2023. Refer to </w:t>
            </w:r>
            <w:r>
              <w:rPr>
                <w:rFonts w:ascii="Arial" w:cs="Arial" w:eastAsia="Arial" w:hAnsi="Arial"/>
                <w:sz w:val="18"/>
                <w:szCs w:val="18"/>
                <w:i w:val="1"/>
                <w:iCs w:val="1"/>
                <w:color w:val="auto"/>
              </w:rPr>
              <w:t>(b)</w:t>
            </w:r>
            <w:r>
              <w:rPr>
                <w:rFonts w:ascii="Arial" w:cs="Arial" w:eastAsia="Arial" w:hAnsi="Arial"/>
                <w:sz w:val="18"/>
                <w:szCs w:val="18"/>
                <w:color w:val="auto"/>
              </w:rPr>
              <w:t xml:space="preserve"> below.</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12,650,000</w:t>
            </w: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Promissory note dated July 31, 2017, in the principal amount of $2,900,000 issued to an accredited investor; monthly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7"/>
              </w:rPr>
              <w:t>payments of $19,294 with a balloon payment of $2,493,308 due on August 1, 2027, including interest at 7% per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annum.</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2,765,619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2,790,274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Notes payable to investors, in the original principal amount of $3,670,000, simple annual interest of 10% per annum;</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3"/>
              </w:rPr>
              <w:t>matures in March 2022. The notes are an accumulation of seven notes to finance construction of cultivation facilities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7"/>
              </w:rPr>
              <w:t>in Florida and Arizona. One note holder is a related party that is an AME Party and accounts for $150,000 of the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amount.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2,220,000</w:t>
            </w: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Fidelity National Title with interest of 10% per annum and matures in July 2022.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1,937,500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Promissory note to Jonestown Bank and Trust Company for the original principal of $1,687,500. Interest of 4% per</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1"/>
              </w:rPr>
              <w:t>annum is due for the first 72 months. The then-current applicable prime rate plus 1% per annum will be accrued on the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9"/>
              </w:rPr>
              <w:t>remaining outstanding principal until the note matures in March 2042. This note is subject to certain restrictive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covenants as defined in the agreement.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1,687,500</w:t>
            </w: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tcPr>
          <w:p>
            <w:pPr>
              <w:ind w:left="5420"/>
              <w:spacing w:after="0"/>
              <w:rPr>
                <w:sz w:val="20"/>
                <w:szCs w:val="20"/>
                <w:color w:val="auto"/>
              </w:rPr>
            </w:pPr>
            <w:r>
              <w:rPr>
                <w:rFonts w:ascii="Arial" w:cs="Arial" w:eastAsia="Arial" w:hAnsi="Arial"/>
                <w:sz w:val="18"/>
                <w:szCs w:val="18"/>
                <w:color w:val="auto"/>
              </w:rPr>
              <w:t>- 22 -</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 payable to Citadel Federal Credit Union for the original principal amount of 1,100,000 and interest of 4.15% per</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annum and matures in June 2024.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1,097,885</w:t>
            </w: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Equipment Loan with Constellation NewEnergy, Inc. that is paid in monthly installments with an implicit interest rate.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The loan matures in May 2025.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1,072,958</w:t>
            </w: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Notes payable to Ford Motor Credit and Toyota Commercial Financing for auto loans with interest ranging from 6.5%</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 10% per annum; maturing in November 2025 and secured by the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812,908</w:t>
            </w: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Mortgage to Pioneer Title Agency with interest of 6% per annum and matures in March 2023.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514,772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Equipment Loan with Sweet Leaf Capital that is paid in monthly installments with an implicit interest rate. The loan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matures in January 2022.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140,381</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Convertible note dated November 25, 2019, in the principal amount of $5,000,000 issued to accredited investors;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2"/>
              </w:rPr>
              <w:t>interest at 1.5% per month and a maturity date in August 2020 subject to an extension of six months or the completion</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of a transaction, if earlier. Principal and accrued interest were repaid in February 2021.</w:t>
            </w:r>
          </w:p>
        </w:tc>
        <w:tc>
          <w:tcPr>
            <w:tcW w:w="1340" w:type="dxa"/>
            <w:vAlign w:val="bottom"/>
            <w:gridSpan w:val="2"/>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3,709,425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Secured promissory notes dated February 13, 2019, in the principal amount of $3,412,500 issued to accredited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4"/>
              </w:rPr>
              <w:t>investors; interest at 2.57% compounded annually; and a maturity date in February 2020. The note was amended in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3"/>
              </w:rPr>
              <w:t>June 2020, extended for six months to August 2020 and is subject to four extension dates. The interest rate was also</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amended to 6% per annum from February to June 2020, 11% compounded annually until August 2020, 14%</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7"/>
              </w:rPr>
              <w:t>compounded annually until the second extension date of February 2021. The note was repaid in February 2021.</w:t>
            </w:r>
          </w:p>
        </w:tc>
        <w:tc>
          <w:tcPr>
            <w:tcW w:w="1340" w:type="dxa"/>
            <w:vAlign w:val="bottom"/>
            <w:gridSpan w:val="2"/>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3,412,500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Promissory note secured by deed of trust dated May 15, 2020, in the principal amount of $1,473,922 issued to Eastern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7"/>
              </w:rPr>
              <w:t>and Pebble, LLC; bears interest at 4% per annum and matures on September 15, 2021. The note was repaid in</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September 2021.</w:t>
            </w:r>
          </w:p>
        </w:tc>
        <w:tc>
          <w:tcPr>
            <w:tcW w:w="1340" w:type="dxa"/>
            <w:vAlign w:val="bottom"/>
            <w:gridSpan w:val="2"/>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856,594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Promissory note dated July 2, 2020, in the original amount of $350,000 issued to BB Marketing, LLC; matures in</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June 2021; interest is due at 5% in the event of a default. The note was repaid in May 2021.</w:t>
            </w:r>
          </w:p>
        </w:tc>
        <w:tc>
          <w:tcPr>
            <w:tcW w:w="1340" w:type="dxa"/>
            <w:vAlign w:val="bottom"/>
            <w:gridSpan w:val="2"/>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unamortized debt issuance costs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5,114,189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824,883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Notes Payable</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162,785,334</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40,293,910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Portion of Notes Payable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14,372,049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7,814,261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 and Unamortized Debt Issuance Cost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148,413,285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32,479,649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420"/>
              <w:spacing w:after="0"/>
              <w:rPr>
                <w:sz w:val="20"/>
                <w:szCs w:val="20"/>
                <w:color w:val="auto"/>
              </w:rPr>
            </w:pPr>
            <w:r>
              <w:rPr>
                <w:rFonts w:ascii="Arial" w:cs="Arial" w:eastAsia="Arial" w:hAnsi="Arial"/>
                <w:sz w:val="18"/>
                <w:szCs w:val="18"/>
                <w:color w:val="auto"/>
              </w:rPr>
              <w:t>- 23 -</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660"/>
              <w:spacing w:after="0"/>
              <w:rPr>
                <w:sz w:val="20"/>
                <w:szCs w:val="20"/>
                <w:color w:val="auto"/>
              </w:rPr>
            </w:pPr>
            <w:r>
              <w:rPr>
                <w:rFonts w:ascii="Arial" w:cs="Arial" w:eastAsia="Arial" w:hAnsi="Arial"/>
                <w:sz w:val="18"/>
                <w:szCs w:val="18"/>
                <w:color w:val="auto"/>
              </w:rPr>
              <w:t>Stated maturities of debt obligations are as follows: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Unamortized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Principal</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Debt Issuance</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Total Notes</w:t>
            </w: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Payments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Costs</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Payable</w:t>
            </w:r>
          </w:p>
        </w:tc>
      </w:tr>
      <w:tr>
        <w:trPr>
          <w:trHeight w:val="216"/>
        </w:trPr>
        <w:tc>
          <w:tcPr>
            <w:tcW w:w="7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618,879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(146,351)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18,032,285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3,035,970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14,996,315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143,403,499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1,312,989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142,090,510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1,547,331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1,547,331</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254,512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254,512</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2026 and Thereafter</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4,043,017</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4,043,017</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167,899,523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5,114,189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162,785,334</w:t>
            </w:r>
          </w:p>
        </w:tc>
        <w:tc>
          <w:tcPr>
            <w:tcW w:w="10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180" w:hanging="324"/>
        <w:spacing w:after="0" w:line="275" w:lineRule="auto"/>
        <w:tabs>
          <w:tab w:leader="none" w:pos="980" w:val="left"/>
        </w:tabs>
        <w:numPr>
          <w:ilvl w:val="0"/>
          <w:numId w:val="78"/>
        </w:numPr>
        <w:rPr>
          <w:rFonts w:ascii="Arial" w:cs="Arial" w:eastAsia="Arial" w:hAnsi="Arial"/>
          <w:sz w:val="17"/>
          <w:szCs w:val="17"/>
          <w:i w:val="1"/>
          <w:iCs w:val="1"/>
          <w:color w:val="auto"/>
        </w:rPr>
      </w:pPr>
      <w:r>
        <w:rPr>
          <w:rFonts w:ascii="Arial" w:cs="Arial" w:eastAsia="Arial" w:hAnsi="Arial"/>
          <w:sz w:val="17"/>
          <w:szCs w:val="17"/>
          <w:color w:val="auto"/>
        </w:rPr>
        <w:t>On May 10, 2021, the Company and certain subsidiaries and affiliates (the “Credit Parties”) entered into an amended and restated credit agreement with the agents and the lenders named therein, which was amended by the parties on May 20, 2021, (as amended, the “Credit Agreement”), pursuant to which an additional $100,000,000 was funded to the Company resulting in a total of $130,000,000 in term loan commitments being funded and outstanding under the Credit Agreement. The senior secured term loan is subject to the following restrictive financial covenants, which are calculated on a consolidated basis:</w:t>
      </w:r>
    </w:p>
    <w:p>
      <w:pPr>
        <w:spacing w:after="0" w:line="176" w:lineRule="exact"/>
        <w:rPr>
          <w:rFonts w:ascii="Arial" w:cs="Arial" w:eastAsia="Arial" w:hAnsi="Arial"/>
          <w:sz w:val="17"/>
          <w:szCs w:val="17"/>
          <w:i w:val="1"/>
          <w:iCs w:val="1"/>
          <w:color w:val="auto"/>
        </w:rPr>
      </w:pPr>
    </w:p>
    <w:p>
      <w:pPr>
        <w:ind w:left="1620" w:hanging="316"/>
        <w:spacing w:after="0"/>
        <w:tabs>
          <w:tab w:leader="none" w:pos="16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Minimum liquidity, at any time, of 20% of the aggregate outstanding principal loan amount of $130 million (or $26 million);</w:t>
      </w:r>
    </w:p>
    <w:p>
      <w:pPr>
        <w:spacing w:after="0" w:line="34" w:lineRule="exact"/>
        <w:rPr>
          <w:rFonts w:ascii="Arial" w:cs="Arial" w:eastAsia="Arial" w:hAnsi="Arial"/>
          <w:sz w:val="17"/>
          <w:szCs w:val="17"/>
          <w:color w:val="auto"/>
        </w:rPr>
      </w:pPr>
    </w:p>
    <w:p>
      <w:pPr>
        <w:ind w:left="1620" w:hanging="316"/>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Minimum consolidated EBITDA for any fiscal quarter of $20 million; and</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Fixed charge coverage ratio of 1.5 to 1.0 measured at the end of each fiscal quarter</w:t>
      </w:r>
    </w:p>
    <w:p>
      <w:pPr>
        <w:spacing w:after="0" w:line="211" w:lineRule="exact"/>
        <w:rPr>
          <w:sz w:val="20"/>
          <w:szCs w:val="20"/>
          <w:color w:val="auto"/>
        </w:rPr>
      </w:pPr>
    </w:p>
    <w:p>
      <w:pPr>
        <w:ind w:left="980" w:right="280"/>
        <w:spacing w:after="0" w:line="286" w:lineRule="auto"/>
        <w:rPr>
          <w:sz w:val="20"/>
          <w:szCs w:val="20"/>
          <w:color w:val="auto"/>
        </w:rPr>
      </w:pPr>
      <w:r>
        <w:rPr>
          <w:rFonts w:ascii="Arial" w:cs="Arial" w:eastAsia="Arial" w:hAnsi="Arial"/>
          <w:sz w:val="17"/>
          <w:szCs w:val="17"/>
          <w:color w:val="auto"/>
        </w:rPr>
        <w:t>During September 2021, the Company was in negotiation with the agents and lenders to amend the Credit Agreement to receive additional funding. On September 28, 2021, the Company entered a waiver and extension letter to waive the minimum liquidity covenant beginning September 15, 2021, until the date on which the credit agreement is amended to increase the commitments.</w:t>
      </w:r>
    </w:p>
    <w:p>
      <w:pPr>
        <w:spacing w:after="0" w:line="165" w:lineRule="exact"/>
        <w:rPr>
          <w:sz w:val="20"/>
          <w:szCs w:val="20"/>
          <w:color w:val="auto"/>
        </w:rPr>
      </w:pPr>
    </w:p>
    <w:p>
      <w:pPr>
        <w:ind w:left="980" w:right="20"/>
        <w:spacing w:after="0" w:line="257" w:lineRule="auto"/>
        <w:rPr>
          <w:sz w:val="20"/>
          <w:szCs w:val="20"/>
          <w:color w:val="auto"/>
        </w:rPr>
      </w:pPr>
      <w:r>
        <w:rPr>
          <w:rFonts w:ascii="Arial" w:cs="Arial" w:eastAsia="Arial" w:hAnsi="Arial"/>
          <w:sz w:val="18"/>
          <w:szCs w:val="18"/>
          <w:color w:val="auto"/>
        </w:rPr>
        <w:t>On October 20, 2021, the Company and certain subsidiaries and affiliates entered into an amendment to the Credit Agreement with the agents and the lenders named therein (as further amended, the “Amended Credit Agreement”), pursuant to which an additional $120,000,000 was funded to the Company resulting in a total of $250,000,000 in term loan commitments being fully funded and outstanding under the Amended Credit Agreement. In addition, the Amended Credit Agreement provides for an option for an additional $100,000,000 in term loans to be funded in the future.</w:t>
      </w:r>
    </w:p>
    <w:p>
      <w:pPr>
        <w:spacing w:after="0" w:line="188" w:lineRule="exact"/>
        <w:rPr>
          <w:sz w:val="20"/>
          <w:szCs w:val="20"/>
          <w:color w:val="auto"/>
        </w:rPr>
      </w:pPr>
    </w:p>
    <w:p>
      <w:pPr>
        <w:ind w:left="980" w:right="20"/>
        <w:spacing w:after="0" w:line="286" w:lineRule="auto"/>
        <w:rPr>
          <w:sz w:val="20"/>
          <w:szCs w:val="20"/>
          <w:color w:val="auto"/>
        </w:rPr>
      </w:pPr>
      <w:r>
        <w:rPr>
          <w:rFonts w:ascii="Arial" w:cs="Arial" w:eastAsia="Arial" w:hAnsi="Arial"/>
          <w:sz w:val="16"/>
          <w:szCs w:val="16"/>
          <w:color w:val="auto"/>
        </w:rPr>
        <w:t>The Amended Credit Agreement provides for, among other things, (i) the term loans thereunder being secured by liens on assets of the Credit Parties, including specified real estate, (ii) the original $30,000,000 loan bearing interest at a rate of 15.25% per annum, the incremental $100,000,000 loan bearing interest at a rate of 9.75% per annum and the incremental $120,000,000 loan and the optional $100,000,000 additional loan bearing interest at a rate of 8.50% per annum; (iii) no principal amortization with the tranches having 18 month maturity dates;</w:t>
      </w:r>
    </w:p>
    <w:p>
      <w:pPr>
        <w:spacing w:after="0" w:line="1" w:lineRule="exact"/>
        <w:rPr>
          <w:sz w:val="20"/>
          <w:szCs w:val="20"/>
          <w:color w:val="auto"/>
        </w:rPr>
      </w:pPr>
    </w:p>
    <w:p>
      <w:pPr>
        <w:ind w:left="980" w:right="60"/>
        <w:spacing w:after="0" w:line="253" w:lineRule="auto"/>
        <w:tabs>
          <w:tab w:leader="none" w:pos="12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prepayment fees generally of 1% of any principal amount being prepaid; (v) restrictive covenants which apply to the operations of the Company and its subsidiaries, including limitations on the ability to incur additional debt, limitations on the granting of liens and the terms of permitted acquisitions; and (vi) financial covenants requiring the Company to maintain on a consolidated basis specified levels of liquidity, a minimum quarterly amount of earnings before interest, taxes, depreciation and amortization and a minimum fixed charge coverage ratio as defined below:</w:t>
      </w:r>
    </w:p>
    <w:p>
      <w:pPr>
        <w:spacing w:after="0" w:line="190" w:lineRule="exact"/>
        <w:rPr>
          <w:rFonts w:ascii="Arial" w:cs="Arial" w:eastAsia="Arial" w:hAnsi="Arial"/>
          <w:sz w:val="18"/>
          <w:szCs w:val="18"/>
          <w:color w:val="auto"/>
        </w:rPr>
      </w:pPr>
    </w:p>
    <w:p>
      <w:pPr>
        <w:ind w:left="1620" w:hanging="316"/>
        <w:spacing w:after="0"/>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Minimum liquidity to average $20 million during any fiscal quarter or to be $25 million at the end of each fiscal quarter;</w:t>
      </w:r>
    </w:p>
    <w:p>
      <w:pPr>
        <w:spacing w:after="0" w:line="333" w:lineRule="exact"/>
        <w:rPr>
          <w:rFonts w:ascii="Arial" w:cs="Arial" w:eastAsia="Arial" w:hAnsi="Arial"/>
          <w:sz w:val="18"/>
          <w:szCs w:val="18"/>
          <w:color w:val="auto"/>
        </w:rPr>
      </w:pPr>
    </w:p>
    <w:p>
      <w:pPr>
        <w:ind w:left="5540" w:hanging="111"/>
        <w:spacing w:after="0"/>
        <w:tabs>
          <w:tab w:leader="none" w:pos="5540" w:val="left"/>
        </w:tabs>
        <w:numPr>
          <w:ilvl w:val="2"/>
          <w:numId w:val="79"/>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69" w:lineRule="exact"/>
        <w:rPr>
          <w:rFonts w:ascii="Arial" w:cs="Arial" w:eastAsia="Arial" w:hAnsi="Arial"/>
          <w:sz w:val="18"/>
          <w:szCs w:val="18"/>
          <w:b w:val="1"/>
          <w:bCs w:val="1"/>
          <w:color w:val="auto"/>
        </w:rPr>
      </w:pPr>
    </w:p>
    <w:p>
      <w:pPr>
        <w:ind w:left="1620" w:hanging="316"/>
        <w:spacing w:after="0"/>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Minimum consolidated EBITDA for any fiscal quarter of $20 million; and</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Fixed charge coverage ratio of 1.5 to 1.0 measured at the end of each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0"/>
          <w:szCs w:val="20"/>
          <w:color w:val="auto"/>
        </w:rPr>
      </w:pPr>
    </w:p>
    <w:p>
      <w:pPr>
        <w:ind w:left="980" w:right="40"/>
        <w:spacing w:after="0" w:line="275" w:lineRule="auto"/>
        <w:rPr>
          <w:sz w:val="20"/>
          <w:szCs w:val="20"/>
          <w:color w:val="auto"/>
        </w:rPr>
      </w:pPr>
      <w:r>
        <w:rPr>
          <w:rFonts w:ascii="Arial" w:cs="Arial" w:eastAsia="Arial" w:hAnsi="Arial"/>
          <w:sz w:val="17"/>
          <w:szCs w:val="17"/>
          <w:color w:val="auto"/>
        </w:rPr>
        <w:t xml:space="preserve">In accordance with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the $100 million credit facility is accounted for as a new credit facility. The existing $30 million credit facility was extended from June 30, 2022, to May 30, 2023, and qualifies as a debt modification. The existing credit facility had $643,590 of unamortized debt issuance costs at the time of the debt modification and is now amortized through May 30, 2023. The company incurred $5,132,199 in issuance costs and debt discounts on the new credit agreement, which was paid net of proceeds in May 2021. The Company amortizes debt issuance costs through interest expense over the life of the debt instrument.</w:t>
      </w:r>
    </w:p>
    <w:p>
      <w:pPr>
        <w:spacing w:after="0" w:line="176" w:lineRule="exact"/>
        <w:rPr>
          <w:sz w:val="20"/>
          <w:szCs w:val="20"/>
          <w:color w:val="auto"/>
        </w:rPr>
      </w:pPr>
    </w:p>
    <w:p>
      <w:pPr>
        <w:ind w:left="980" w:right="100" w:hanging="324"/>
        <w:spacing w:after="0" w:line="271" w:lineRule="auto"/>
        <w:tabs>
          <w:tab w:leader="none" w:pos="980" w:val="left"/>
        </w:tabs>
        <w:numPr>
          <w:ilvl w:val="1"/>
          <w:numId w:val="81"/>
        </w:numPr>
        <w:rPr>
          <w:rFonts w:ascii="Arial" w:cs="Arial" w:eastAsia="Arial" w:hAnsi="Arial"/>
          <w:sz w:val="17"/>
          <w:szCs w:val="17"/>
          <w:i w:val="1"/>
          <w:iCs w:val="1"/>
          <w:color w:val="auto"/>
        </w:rPr>
      </w:pPr>
      <w:r>
        <w:rPr>
          <w:rFonts w:ascii="Arial" w:cs="Arial" w:eastAsia="Arial" w:hAnsi="Arial"/>
          <w:sz w:val="17"/>
          <w:szCs w:val="17"/>
          <w:color w:val="auto"/>
        </w:rPr>
        <w:t>On May 14, 2021, Verano acquired The Healing Center (“THC”) that is comprised of three dispensaries in the greater Pittsburgh area. THC leases the dispensaries from three separate real estate entities. On September 3, 2021, Verano closed on the acquisition of these three real estate properties, collectively referred to as “THC Real Estate”. Verano funded the acquisition through a credit agreement with Chicago Atlantic Credit Company (“Chicago Atlantic”) for $12,650,000. Total consideration was paid directly to the sellers in the amount of $12,224,996. The Company received $19,637 in cash proceeds and incurred $405,367 in issuance costs and debt discounts on the new credit agreement, which was paid net of proceeds upon closing. Debt issuance costs were reflected as a reduction of the carrying value of the long-term debt on the Company’s consolidated statements of financial position and is amortized to interest expense over the term of the note using the effective interest method.</w:t>
      </w:r>
    </w:p>
    <w:p>
      <w:pPr>
        <w:spacing w:after="0" w:line="178" w:lineRule="exact"/>
        <w:rPr>
          <w:rFonts w:ascii="Arial" w:cs="Arial" w:eastAsia="Arial" w:hAnsi="Arial"/>
          <w:sz w:val="17"/>
          <w:szCs w:val="17"/>
          <w:i w:val="1"/>
          <w:iCs w:val="1"/>
          <w:color w:val="auto"/>
        </w:rPr>
      </w:pPr>
    </w:p>
    <w:p>
      <w:pPr>
        <w:ind w:left="980" w:right="260"/>
        <w:spacing w:after="0" w:line="263" w:lineRule="auto"/>
        <w:rPr>
          <w:rFonts w:ascii="Arial" w:cs="Arial" w:eastAsia="Arial" w:hAnsi="Arial"/>
          <w:sz w:val="17"/>
          <w:szCs w:val="17"/>
          <w:i w:val="1"/>
          <w:iCs w:val="1"/>
          <w:color w:val="auto"/>
        </w:rPr>
      </w:pPr>
      <w:r>
        <w:rPr>
          <w:rFonts w:ascii="Arial" w:cs="Arial" w:eastAsia="Arial" w:hAnsi="Arial"/>
          <w:sz w:val="18"/>
          <w:szCs w:val="18"/>
          <w:color w:val="auto"/>
        </w:rPr>
        <w:t>This note is subject to certain restrictive financial covenants requiring the Company to maintain on a consolidated basis a specified level of liquidity, a minimum quarterly amount of earnings before interest, taxes, depreciation and amortization, and a minimum fixed charge coverage ratio that is less restrictive than the Credit Agreement.</w:t>
      </w:r>
    </w:p>
    <w:p>
      <w:pPr>
        <w:spacing w:after="0" w:line="179" w:lineRule="exact"/>
        <w:rPr>
          <w:rFonts w:ascii="Arial" w:cs="Arial" w:eastAsia="Arial" w:hAnsi="Arial"/>
          <w:sz w:val="17"/>
          <w:szCs w:val="17"/>
          <w:i w:val="1"/>
          <w:iCs w:val="1"/>
          <w:color w:val="auto"/>
        </w:rPr>
      </w:pPr>
    </w:p>
    <w:p>
      <w:pPr>
        <w:ind w:left="260" w:hanging="252"/>
        <w:spacing w:after="0"/>
        <w:tabs>
          <w:tab w:leader="none" w:pos="2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Verano Holdings LLC had two convertible notes in 2020. A reconciliation of the beginning and ending balances of the derivative liabilities for the periods ended September 30, 2021, and December 31,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Derivative</w:t>
            </w:r>
          </w:p>
        </w:tc>
        <w:tc>
          <w:tcPr>
            <w:tcW w:w="0" w:type="dxa"/>
            <w:vAlign w:val="bottom"/>
          </w:tcPr>
          <w:p>
            <w:pPr>
              <w:spacing w:after="0"/>
              <w:rPr>
                <w:sz w:val="1"/>
                <w:szCs w:val="1"/>
                <w:color w:val="auto"/>
              </w:rPr>
            </w:pPr>
          </w:p>
        </w:tc>
      </w:tr>
      <w:tr>
        <w:trPr>
          <w:trHeight w:val="241"/>
        </w:trPr>
        <w:tc>
          <w:tcPr>
            <w:tcW w:w="45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5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Fair value of derivative liabilities on issuance date</w:t>
            </w: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Additional issuance</w:t>
            </w:r>
          </w:p>
        </w:tc>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520" w:type="dxa"/>
            <w:vAlign w:val="bottom"/>
          </w:tcPr>
          <w:p>
            <w:pPr>
              <w:spacing w:after="0"/>
              <w:rPr>
                <w:sz w:val="20"/>
                <w:szCs w:val="20"/>
                <w:color w:val="auto"/>
              </w:rPr>
            </w:pPr>
            <w:r>
              <w:rPr>
                <w:rFonts w:ascii="Arial" w:cs="Arial" w:eastAsia="Arial" w:hAnsi="Arial"/>
                <w:sz w:val="18"/>
                <w:szCs w:val="18"/>
                <w:color w:val="auto"/>
              </w:rPr>
              <w:t>Gain on derivative liability</w:t>
            </w:r>
          </w:p>
        </w:tc>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(6,778,510)</w:t>
            </w: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5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Additional issuance</w:t>
            </w:r>
          </w:p>
        </w:tc>
        <w:tc>
          <w:tcPr>
            <w:tcW w:w="55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2021</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5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right"/>
              <w:ind w:right="4110"/>
              <w:spacing w:after="0"/>
              <w:rPr>
                <w:sz w:val="20"/>
                <w:szCs w:val="20"/>
                <w:color w:val="auto"/>
              </w:rPr>
            </w:pPr>
            <w:r>
              <w:rPr>
                <w:rFonts w:ascii="Arial" w:cs="Arial" w:eastAsia="Arial" w:hAnsi="Arial"/>
                <w:sz w:val="18"/>
                <w:szCs w:val="18"/>
                <w:color w:val="auto"/>
              </w:rPr>
              <w:t>- 25 -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5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DERIVATIVE LIABILITIES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In accordance with IFRS, a contract to issue a variable number of equity shares fails to meet the definition of equity and must instead be classified as a derivative liability and measured at fair value with changes in fair value recognized in the consolidated statements of operations at each period-end. The derivative liability will ultimately be converted into the Company’s equity when the convertible notes payable is converted or will be extinguished on the repayment of the convertible notes payable and will not result in the outlay of any additional cash by the Company.</w:t>
      </w:r>
    </w:p>
    <w:p>
      <w:pPr>
        <w:spacing w:after="0" w:line="157"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Upon initial recognition in 2019, the Company recorded derivative liabilities of $6,778,510 in relation to the derivative liability portion of the convertible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2020, the Company had no probability of debt conversion and recognized a gain on derivative liability of $6,778,510.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 xml:space="preserve">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International Financial Reporting Standards (IAS) 12,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83"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229" w:lineRule="exact"/>
        <w:rPr>
          <w:rFonts w:ascii="Arial" w:cs="Arial" w:eastAsia="Arial" w:hAnsi="Arial"/>
          <w:sz w:val="18"/>
          <w:szCs w:val="18"/>
          <w:b w:val="1"/>
          <w:bCs w:val="1"/>
          <w:color w:val="auto"/>
        </w:rPr>
      </w:pPr>
    </w:p>
    <w:p>
      <w:pPr>
        <w:jc w:val="both"/>
        <w:ind w:left="66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September 30, 2021, the Company has 201,631,162 Subordinate Voting Shares and 1,135,682 Proportionate Voting Shares for a total of 315,199,352 Subordinate Voting Shares on a converted basis, issued and outstanding. The Company has the following classes of share capital, with each class having no par value:</w:t>
      </w:r>
    </w:p>
    <w:p>
      <w:pPr>
        <w:spacing w:after="0" w:line="179" w:lineRule="exact"/>
        <w:rPr>
          <w:rFonts w:ascii="Arial" w:cs="Arial" w:eastAsia="Arial" w:hAnsi="Arial"/>
          <w:sz w:val="18"/>
          <w:szCs w:val="18"/>
          <w:b w:val="1"/>
          <w:bCs w:val="1"/>
          <w:color w:val="auto"/>
        </w:rPr>
      </w:pPr>
    </w:p>
    <w:p>
      <w:pPr>
        <w:ind w:left="1620" w:hanging="316"/>
        <w:spacing w:after="0"/>
        <w:tabs>
          <w:tab w:leader="none" w:pos="1620"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229" w:lineRule="exact"/>
        <w:rPr>
          <w:sz w:val="20"/>
          <w:szCs w:val="20"/>
          <w:color w:val="auto"/>
        </w:rPr>
      </w:pPr>
    </w:p>
    <w:p>
      <w:pPr>
        <w:jc w:val="both"/>
        <w:ind w:left="1300" w:right="360"/>
        <w:spacing w:after="0" w:line="263" w:lineRule="auto"/>
        <w:rPr>
          <w:sz w:val="20"/>
          <w:szCs w:val="20"/>
          <w:color w:val="auto"/>
        </w:rPr>
      </w:pPr>
      <w:r>
        <w:rPr>
          <w:rFonts w:ascii="Arial" w:cs="Arial" w:eastAsia="Arial" w:hAnsi="Arial"/>
          <w:sz w:val="18"/>
          <w:szCs w:val="18"/>
          <w:color w:val="auto"/>
        </w:rPr>
        <w:t>The holders of the Subordinate Voting Shares are entitled to receive dividends and one vote per share at shareholder meetings of the Company. All Subordinate Voting Shares are ranked equally regarding the Company’s residual assets. The Company is authorized to issue an unlimited number of no-par value Subordinate Voting Shares.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(ii) Proportionate Voting Shares</w:t>
      </w:r>
    </w:p>
    <w:p>
      <w:pPr>
        <w:spacing w:after="0" w:line="229" w:lineRule="exact"/>
        <w:rPr>
          <w:sz w:val="20"/>
          <w:szCs w:val="20"/>
          <w:color w:val="auto"/>
        </w:rPr>
      </w:pPr>
    </w:p>
    <w:p>
      <w:pPr>
        <w:ind w:left="1300" w:right="100"/>
        <w:spacing w:after="0" w:line="342" w:lineRule="auto"/>
        <w:rPr>
          <w:sz w:val="20"/>
          <w:szCs w:val="20"/>
          <w:color w:val="auto"/>
        </w:rPr>
      </w:pPr>
      <w:r>
        <w:rPr>
          <w:rFonts w:ascii="Arial" w:cs="Arial" w:eastAsia="Arial" w:hAnsi="Arial"/>
          <w:sz w:val="16"/>
          <w:szCs w:val="16"/>
          <w:color w:val="auto"/>
        </w:rPr>
        <w:t>Each Proportionate Voting Share is entitled to one hundred votes per share at shareholder meetings of the Company and is exchangeable for one hundred Subordinate Voting Shares. The Company is authorized to issue an unlimited number of Proportionate Voting Shares.</w:t>
      </w:r>
    </w:p>
    <w:p>
      <w:pPr>
        <w:spacing w:after="0" w:line="124" w:lineRule="exact"/>
        <w:rPr>
          <w:sz w:val="20"/>
          <w:szCs w:val="20"/>
          <w:color w:val="auto"/>
        </w:rPr>
      </w:pPr>
    </w:p>
    <w:p>
      <w:pPr>
        <w:ind w:left="660" w:right="360"/>
        <w:spacing w:after="0" w:line="342" w:lineRule="auto"/>
        <w:rPr>
          <w:sz w:val="20"/>
          <w:szCs w:val="20"/>
          <w:color w:val="auto"/>
        </w:rPr>
      </w:pPr>
      <w:r>
        <w:rPr>
          <w:rFonts w:ascii="Arial" w:cs="Arial" w:eastAsia="Arial" w:hAnsi="Arial"/>
          <w:sz w:val="16"/>
          <w:szCs w:val="16"/>
          <w:color w:val="auto"/>
        </w:rPr>
        <w:t>During the nine months ending September 30, 2021, the shareholders of the Company converted both Proportionate Voting Shares and Subordinate Voting Shares for a net impact of conversion of 597,440 Proportionate Voting Shares into 59,744,035 Subordinate Voting Shares.</w:t>
      </w:r>
    </w:p>
    <w:p>
      <w:pPr>
        <w:spacing w:after="0" w:line="120"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6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February 2021, the Company established the Verano Stock and Incentive Plan (the “Plan”). Equity incentives granted generally vest over eighteen to thirty-six months, and typically have a life of ten years.</w:t>
      </w:r>
    </w:p>
    <w:p>
      <w:pPr>
        <w:spacing w:after="0" w:line="278" w:lineRule="exact"/>
        <w:rPr>
          <w:rFonts w:ascii="Arial" w:cs="Arial" w:eastAsia="Arial" w:hAnsi="Arial"/>
          <w:sz w:val="18"/>
          <w:szCs w:val="18"/>
          <w:b w:val="1"/>
          <w:bCs w:val="1"/>
          <w:color w:val="auto"/>
        </w:rPr>
      </w:pPr>
    </w:p>
    <w:p>
      <w:pPr>
        <w:ind w:left="5540" w:hanging="111"/>
        <w:spacing w:after="0"/>
        <w:tabs>
          <w:tab w:leader="none" w:pos="55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60" w:right="7560" w:hanging="328"/>
        <w:spacing w:after="0" w:line="503" w:lineRule="auto"/>
        <w:tabs>
          <w:tab w:leader="none" w:pos="660"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Options</w:t>
      </w:r>
    </w:p>
    <w:p>
      <w:pPr>
        <w:ind w:left="6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Option grants are determined by the Compensation Committee of the Board with the option price set at no less than 100% of the fair market value of a share on the date of grant.</w:t>
      </w:r>
    </w:p>
    <w:p>
      <w:pPr>
        <w:spacing w:after="0" w:line="170" w:lineRule="exact"/>
        <w:rPr>
          <w:rFonts w:ascii="Arial" w:cs="Arial" w:eastAsia="Arial" w:hAnsi="Arial"/>
          <w:sz w:val="18"/>
          <w:szCs w:val="18"/>
          <w:b w:val="1"/>
          <w:bCs w:val="1"/>
          <w:color w:val="auto"/>
        </w:rPr>
      </w:pPr>
    </w:p>
    <w:p>
      <w:pPr>
        <w:jc w:val="both"/>
        <w:ind w:left="660" w:right="5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February 18, 2021, the Company granted non-qualified incentive Proportionate Voting Share stock options to employees, exercisable at CAD$3,060 on the grant date. The options vest over thirty months to purchase up to an aggregate of 516 Proportionate Voting Shares of the Company.</w:t>
      </w:r>
    </w:p>
    <w:p>
      <w:pPr>
        <w:spacing w:after="0" w:line="183" w:lineRule="exact"/>
        <w:rPr>
          <w:rFonts w:ascii="Arial" w:cs="Arial" w:eastAsia="Arial" w:hAnsi="Arial"/>
          <w:sz w:val="18"/>
          <w:szCs w:val="18"/>
          <w:b w:val="1"/>
          <w:bCs w:val="1"/>
          <w:color w:val="auto"/>
        </w:rPr>
      </w:pPr>
    </w:p>
    <w:p>
      <w:pPr>
        <w:ind w:left="66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issued additional non-qualified incentive Proportionate Voting Share stock options to employees, exercisable at CAD$2,400 during the nine-month period ended September 30, 2021. The options vest over thirty months to purchase up to an aggregate of 54 Proportionate Voting Shares of the Company.</w:t>
      </w:r>
    </w:p>
    <w:p>
      <w:pPr>
        <w:spacing w:after="0" w:line="183" w:lineRule="exact"/>
        <w:rPr>
          <w:rFonts w:ascii="Arial" w:cs="Arial" w:eastAsia="Arial" w:hAnsi="Arial"/>
          <w:sz w:val="18"/>
          <w:szCs w:val="18"/>
          <w:b w:val="1"/>
          <w:bCs w:val="1"/>
          <w:color w:val="auto"/>
        </w:rPr>
      </w:pPr>
    </w:p>
    <w:p>
      <w:pPr>
        <w:jc w:val="both"/>
        <w:ind w:left="660" w:right="2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used the Black-Scholes option pricing model to estimate the fair value of the options at the grant date. This options pricing model requires the application of estimates and assumptions. As the Company became publicly traded in 2021, sufficient historical trading information was not available to determine an expected volatility rate. The volatility rate was based on comparable companies within the same industry.</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Restricted Stock Units (“RSUs”)</w:t>
      </w:r>
    </w:p>
    <w:p>
      <w:pPr>
        <w:spacing w:after="0" w:line="225" w:lineRule="exact"/>
        <w:rPr>
          <w:rFonts w:ascii="Arial" w:cs="Arial" w:eastAsia="Arial" w:hAnsi="Arial"/>
          <w:sz w:val="18"/>
          <w:szCs w:val="18"/>
          <w:b w:val="1"/>
          <w:bCs w:val="1"/>
          <w:color w:val="auto"/>
        </w:rPr>
      </w:pPr>
    </w:p>
    <w:p>
      <w:pPr>
        <w:ind w:left="66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the nine-month period ended September 30, 2021, the Company granted 35,578 Proportionate Voting Shares as restricted stock units to employees and directors, vesting over eighteen to thirty-six months. The Company recognized 10,343 restricted stock units vested and 271 shares as forfeitures during the nine months ended September 30, 2021.</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Company recorded expense of $523,436 for the nine months ended September 30, 2021, as share-based compensation related to the Plan.</w:t>
      </w:r>
    </w:p>
    <w:p>
      <w:pPr>
        <w:spacing w:after="0" w:line="244" w:lineRule="exact"/>
        <w:rPr>
          <w:rFonts w:ascii="Arial" w:cs="Arial" w:eastAsia="Arial" w:hAnsi="Arial"/>
          <w:sz w:val="18"/>
          <w:szCs w:val="18"/>
          <w:b w:val="1"/>
          <w:bCs w:val="1"/>
          <w:color w:val="auto"/>
        </w:rPr>
      </w:pPr>
    </w:p>
    <w:p>
      <w:pPr>
        <w:ind w:left="660" w:hanging="328"/>
        <w:spacing w:after="0"/>
        <w:tabs>
          <w:tab w:leader="none" w:pos="660"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29" w:lineRule="exact"/>
        <w:rPr>
          <w:rFonts w:ascii="Arial" w:cs="Arial" w:eastAsia="Arial" w:hAnsi="Arial"/>
          <w:sz w:val="18"/>
          <w:szCs w:val="18"/>
          <w:b w:val="1"/>
          <w:bCs w:val="1"/>
          <w:color w:val="auto"/>
        </w:rPr>
      </w:pPr>
    </w:p>
    <w:p>
      <w:pPr>
        <w:ind w:left="6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March 8, 2021, the Company acquired individually insignificant non-controlling interests in Maryland Natural Treatment Solutions, LLC for an approximate aggregate purchase price of $10,000.</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rFonts w:ascii="Arial" w:cs="Arial" w:eastAsia="Arial" w:hAnsi="Arial"/>
          <w:sz w:val="18"/>
          <w:szCs w:val="18"/>
          <w:b w:val="1"/>
          <w:bCs w:val="1"/>
          <w:color w:val="auto"/>
        </w:rPr>
      </w:pPr>
    </w:p>
    <w:p>
      <w:pPr>
        <w:ind w:left="66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24, 2021, the Company entered into an agreement with Beacon Securities Limited (“Beacon”) and Canaccord Genuity Corp. on behalf of a syndicate of underwriters, pursuant to which the underwriters agreed to purchase, on a bought deal private placement basis, 3,510,000 warrants of the Corporation (the “Special Warrants”) at a price per Special Warrant of C$28.50 (the “Issue Price”) for aggregate gross proceeds to the Company of C$100,035,000 (the “Offering”). The Corporation granted such underwriters an option, exercisable by Beacon on behalf of the underwriters, in whole or in part at any time up to 48 hours prior to the closing date of the Offering, to purchase up to an additional 526,500 Special Warrants at the Issue Price for additional gross proceeds of up to C$15,005,250. Closing of the Offering occurred on March 11, 2021. The net proceeds of the Offering will be used for acquisitions, working capital and general corporate purposes. Each Special Warrant entitles its holder to receive one Subordinate Voting Share. All Special Warrants were exercised on June 24, 2021.</w:t>
      </w:r>
    </w:p>
    <w:p>
      <w:pPr>
        <w:spacing w:after="0" w:line="178"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computes basic earnings per share by dividing net income available to its shareholders by the weighted-average number of shares of its stock outstanding, on an as converted basis. The Company weighs shares issued for the portion of the period that they were outstanding. The Company’s diluted earnings per share reflect the impacts of the Company’s potentially dilutive securities, which include the Company’s equity compensation awards.</w:t>
      </w:r>
    </w:p>
    <w:p>
      <w:pPr>
        <w:spacing w:after="0" w:line="294" w:lineRule="exact"/>
        <w:rPr>
          <w:rFonts w:ascii="Arial" w:cs="Arial" w:eastAsia="Arial" w:hAnsi="Arial"/>
          <w:sz w:val="18"/>
          <w:szCs w:val="18"/>
          <w:b w:val="1"/>
          <w:bCs w:val="1"/>
          <w:color w:val="auto"/>
        </w:rPr>
      </w:pPr>
    </w:p>
    <w:p>
      <w:pPr>
        <w:ind w:left="5540" w:hanging="111"/>
        <w:spacing w:after="0"/>
        <w:tabs>
          <w:tab w:leader="none" w:pos="5540" w:val="left"/>
        </w:tabs>
        <w:numPr>
          <w:ilvl w:val="2"/>
          <w:numId w:val="85"/>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-6936740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820" w:type="dxa"/>
            <w:vAlign w:val="bottom"/>
            <w:gridSpan w:val="4"/>
          </w:tcPr>
          <w:p>
            <w:pPr>
              <w:ind w:left="2160"/>
              <w:spacing w:after="0"/>
              <w:rPr>
                <w:sz w:val="20"/>
                <w:szCs w:val="20"/>
                <w:color w:val="auto"/>
              </w:rPr>
            </w:pPr>
            <w:r>
              <w:rPr>
                <w:rFonts w:ascii="Arial" w:cs="Arial" w:eastAsia="Arial" w:hAnsi="Arial"/>
                <w:sz w:val="18"/>
                <w:szCs w:val="18"/>
                <w:b w:val="1"/>
                <w:bCs w:val="1"/>
                <w:color w:val="auto"/>
                <w:w w:val="97"/>
              </w:rPr>
              <w:t>Nine Months Ended</w:t>
            </w:r>
          </w:p>
        </w:tc>
        <w:tc>
          <w:tcPr>
            <w:tcW w:w="184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September 30, 2021</w:t>
            </w:r>
          </w:p>
        </w:tc>
        <w:tc>
          <w:tcPr>
            <w:tcW w:w="100" w:type="dxa"/>
            <w:vAlign w:val="bottom"/>
          </w:tcPr>
          <w:p>
            <w:pPr>
              <w:spacing w:after="0"/>
              <w:rPr>
                <w:sz w:val="20"/>
                <w:szCs w:val="20"/>
                <w:color w:val="auto"/>
              </w:rPr>
            </w:pP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September 30, 2021</w:t>
            </w:r>
          </w:p>
        </w:tc>
        <w:tc>
          <w:tcPr>
            <w:tcW w:w="0" w:type="dxa"/>
            <w:vAlign w:val="bottom"/>
          </w:tcPr>
          <w:p>
            <w:pPr>
              <w:spacing w:after="0"/>
              <w:rPr>
                <w:sz w:val="1"/>
                <w:szCs w:val="1"/>
                <w:color w:val="auto"/>
              </w:rPr>
            </w:pPr>
          </w:p>
        </w:tc>
      </w:tr>
      <w:tr>
        <w:trPr>
          <w:trHeight w:val="432"/>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Numerator</w:t>
            </w:r>
          </w:p>
        </w:tc>
        <w:tc>
          <w:tcPr>
            <w:tcW w:w="2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5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178,630,125</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103,715,379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580" w:type="dxa"/>
            <w:vAlign w:val="bottom"/>
            <w:gridSpan w:val="3"/>
          </w:tcPr>
          <w:p>
            <w:pPr>
              <w:spacing w:after="0" w:line="176" w:lineRule="exact"/>
              <w:rPr>
                <w:sz w:val="20"/>
                <w:szCs w:val="20"/>
                <w:color w:val="auto"/>
              </w:rPr>
            </w:pPr>
            <w:r>
              <w:rPr>
                <w:rFonts w:ascii="Arial" w:cs="Arial" w:eastAsia="Arial" w:hAnsi="Arial"/>
                <w:sz w:val="18"/>
                <w:szCs w:val="18"/>
                <w:color w:val="auto"/>
              </w:rPr>
              <w:t>Basic</w:t>
            </w:r>
          </w:p>
        </w:tc>
        <w:tc>
          <w:tcPr>
            <w:tcW w:w="2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Pre-RTO weighted-average shares outstanding</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158,203,932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gridSpan w:val="3"/>
          </w:tcPr>
          <w:p>
            <w:pPr>
              <w:spacing w:after="0"/>
              <w:rPr>
                <w:sz w:val="20"/>
                <w:szCs w:val="20"/>
                <w:color w:val="auto"/>
              </w:rPr>
            </w:pPr>
            <w:r>
              <w:rPr>
                <w:rFonts w:ascii="Arial" w:cs="Arial" w:eastAsia="Arial" w:hAnsi="Arial"/>
                <w:sz w:val="18"/>
                <w:szCs w:val="18"/>
                <w:color w:val="auto"/>
              </w:rPr>
              <w:t>Post-RTO weighted-average shares outstanding</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303,832,637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313,674,044</w:t>
            </w:r>
          </w:p>
        </w:tc>
        <w:tc>
          <w:tcPr>
            <w:tcW w:w="0" w:type="dxa"/>
            <w:vAlign w:val="bottom"/>
          </w:tcPr>
          <w:p>
            <w:pPr>
              <w:spacing w:after="0"/>
              <w:rPr>
                <w:sz w:val="1"/>
                <w:szCs w:val="1"/>
                <w:color w:val="auto"/>
              </w:rPr>
            </w:pPr>
          </w:p>
        </w:tc>
      </w:tr>
      <w:tr>
        <w:trPr>
          <w:trHeight w:val="27"/>
        </w:trPr>
        <w:tc>
          <w:tcPr>
            <w:tcW w:w="55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Weighted-average shares outstanding – basic</w:t>
            </w:r>
          </w:p>
        </w:tc>
        <w:tc>
          <w:tcPr>
            <w:tcW w:w="21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gridSpan w:val="3"/>
            <w:vMerge w:val="continue"/>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281,961,659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313,674,044</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5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Diluted</w:t>
            </w:r>
          </w:p>
        </w:tc>
        <w:tc>
          <w:tcPr>
            <w:tcW w:w="2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Pre-RTO weighted-average shares outstanding</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202,272,124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Post-RTO weighted-average shares outstanding</w:t>
            </w:r>
          </w:p>
        </w:tc>
        <w:tc>
          <w:tcPr>
            <w:tcW w:w="2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308,709,288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316,926,366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Weighted-average shares outstanding – diluted</w:t>
            </w:r>
          </w:p>
        </w:tc>
        <w:tc>
          <w:tcPr>
            <w:tcW w:w="2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80" w:type="dxa"/>
            <w:vAlign w:val="bottom"/>
            <w:gridSpan w:val="3"/>
            <w:vMerge w:val="continue"/>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292,724,219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316,926,366</w:t>
            </w:r>
          </w:p>
        </w:tc>
        <w:tc>
          <w:tcPr>
            <w:tcW w:w="0" w:type="dxa"/>
            <w:vAlign w:val="bottom"/>
          </w:tcPr>
          <w:p>
            <w:pPr>
              <w:spacing w:after="0"/>
              <w:rPr>
                <w:sz w:val="1"/>
                <w:szCs w:val="1"/>
                <w:color w:val="auto"/>
              </w:rPr>
            </w:pPr>
          </w:p>
        </w:tc>
      </w:tr>
      <w:tr>
        <w:trPr>
          <w:trHeight w:val="216"/>
        </w:trPr>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58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21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0.63</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bottom w:val="single" w:sz="8" w:color="CCEEFF"/>
            </w:tcBorders>
            <w:gridSpan w:val="3"/>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share</w:t>
            </w: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does not disclose prior period earnings per share as the information is not relevant to the users of the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560"/>
        <w:spacing w:after="0" w:line="286" w:lineRule="auto"/>
        <w:rPr>
          <w:sz w:val="20"/>
          <w:szCs w:val="20"/>
          <w:color w:val="auto"/>
        </w:rPr>
      </w:pPr>
      <w:r>
        <w:rPr>
          <w:rFonts w:ascii="Arial" w:cs="Arial" w:eastAsia="Arial" w:hAnsi="Arial"/>
          <w:sz w:val="17"/>
          <w:szCs w:val="17"/>
          <w:color w:val="auto"/>
        </w:rPr>
        <w:t xml:space="preserve">Revenue is recognized by the Company in accordance with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Through application of the standard, the Company recognizes revenue at a distinct point in time upon the transfer of promised goods to the customer in an amount that reflects the consideration to which the Company expects to be entitled in exchange for such goods.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recognize revenue under IFRS 15, the Company applies the following five (5) steps:</w:t>
      </w:r>
    </w:p>
    <w:p>
      <w:pPr>
        <w:spacing w:after="0" w:line="225" w:lineRule="exact"/>
        <w:rPr>
          <w:sz w:val="20"/>
          <w:szCs w:val="20"/>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9" w:lineRule="exact"/>
        <w:rPr>
          <w:rFonts w:ascii="Arial" w:cs="Arial" w:eastAsia="Arial" w:hAnsi="Arial"/>
          <w:sz w:val="18"/>
          <w:szCs w:val="18"/>
          <w:color w:val="auto"/>
        </w:rPr>
      </w:pPr>
    </w:p>
    <w:p>
      <w:pPr>
        <w:ind w:left="1300" w:right="540" w:hanging="320"/>
        <w:spacing w:after="0" w:line="250"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11"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Under IFRS 15, revenues from the sale of cannabis are generally recognized at a point in time when control over the goods have been transferred to the customer. Payment is due upon transferring the goods to the customer. The Company’s wholesale customers are dispensaries, both third party dispensaries and those owned or controlled by the Company. The Company’s retail customers are individuals purchasing goods for medical or recreational purposes.</w:t>
      </w:r>
    </w:p>
    <w:p>
      <w:pPr>
        <w:spacing w:after="0" w:line="187" w:lineRule="exact"/>
        <w:rPr>
          <w:sz w:val="20"/>
          <w:szCs w:val="20"/>
          <w:color w:val="auto"/>
        </w:rPr>
      </w:pPr>
    </w:p>
    <w:p>
      <w:pPr>
        <w:ind w:left="660" w:right="260"/>
        <w:spacing w:after="0" w:line="263" w:lineRule="auto"/>
        <w:rPr>
          <w:sz w:val="20"/>
          <w:szCs w:val="20"/>
          <w:color w:val="auto"/>
        </w:rPr>
      </w:pPr>
      <w:r>
        <w:rPr>
          <w:rFonts w:ascii="Arial" w:cs="Arial" w:eastAsia="Arial" w:hAnsi="Arial"/>
          <w:sz w:val="18"/>
          <w:szCs w:val="18"/>
          <w:color w:val="auto"/>
        </w:rPr>
        <w:t>Certain wholesale customers may have payment terms within a specified time-period permitted under the Company’s credit policy, typically within 30 days of transfer. The Company generally requires previous payment from a customer prior to entering into another contract with such customer.</w:t>
      </w:r>
    </w:p>
    <w:p>
      <w:pPr>
        <w:spacing w:after="0" w:line="184"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Revenue is recognized upon the satisfaction of the performance obligation. The Company satisfies its performance obligation and transfers control upon delivery and acceptance by the customer. Revenue is presented net of discounts and sales tax and other related taxes.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REVENUE RECOGNITION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The Company has customer loyalty programs in which retail customers accumulate points for each dollar spent. These points are recorded as a contract liability until customers redeem their points for discounts on cannabis and vape products as part of an in-store sales transaction. In addition, the Company records a performance obligation as a reduction of revenue based on the estimated redemption probability of point obligation incurred, which is calculated based on a standalone selling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LOYALTY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Company has customer loyalty programs where retail customers accumulate points for each dollar of spending. These points are recorded as a contract liability until customers redeem their points for discounts on cannabis and vape products as part of an in-store sales transaction. In addition, the Company records a performance obligation as a reduction of revenue based on the estimated probability of point obligation incurred, which is calculated based on a standalone selling price that ranges between $0.05 and $0.08 per loyalty point.</w:t>
      </w:r>
    </w:p>
    <w:p>
      <w:pPr>
        <w:spacing w:after="0" w:line="171"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Upon redemption, the loyalty program obligation is relieved and the offset is recorded as revenue. As of September 30, 2021, there were 110,262,627 points outstanding, with an approximate value of $5,375,303 which is included in accrued liabilities. As of December 31, 2020, there were 42,273,800 points outstanding, with an approximate value of $2,060,848. The Company estimates that 25% of points will not be redeemed (breakage) and expects the remaining outstanding loyalty points will be redeemed within one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September 30, 2021, provision for income taxes has been calculated using an effective average annual tax rate. The effective annual tax rate as of September 30, 2021, is 40.8 percent compared to a September 30, 2020, year-to-date actual effective tax rate of 26.3 percent and a full year 2020 effective tax rate of 38.2 percent. The increase the 2021 effective annual tax rate over the 2020 actual full year tax rate is primarily driven by expected increases to the negative impacts of IRC Section 280E nondeductible expenses.</w:t>
      </w:r>
    </w:p>
    <w:p>
      <w:pPr>
        <w:spacing w:after="0" w:line="167" w:lineRule="exact"/>
        <w:rPr>
          <w:sz w:val="20"/>
          <w:szCs w:val="20"/>
          <w:color w:val="auto"/>
        </w:rPr>
      </w:pPr>
    </w:p>
    <w:p>
      <w:pPr>
        <w:ind w:left="280" w:hanging="272"/>
        <w:spacing w:after="0"/>
        <w:tabs>
          <w:tab w:leader="none" w:pos="2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5" w:lineRule="exact"/>
        <w:rPr>
          <w:rFonts w:ascii="Arial" w:cs="Arial" w:eastAsia="Arial" w:hAnsi="Arial"/>
          <w:sz w:val="18"/>
          <w:szCs w:val="18"/>
          <w:b w:val="1"/>
          <w:bCs w:val="1"/>
          <w:color w:val="auto"/>
        </w:rPr>
      </w:pPr>
    </w:p>
    <w:p>
      <w:pPr>
        <w:ind w:left="660" w:hanging="328"/>
        <w:spacing w:after="0"/>
        <w:tabs>
          <w:tab w:leader="none" w:pos="660"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ind w:left="6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leases certain business facilities from third parties under operating lease agreements that contain minimum rental provision that expire through 2040. Some of these leases also contain renewal provision and provide for rent abatement and escalating payments. In accordance with IFRS 16, commitments will be recognized as a right-of-use asset representing the right to use the underlying asset and a lease liability representing the obligation to make lease payments.</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Future minimum lease payments under non-cancelable operating leases having an initial or remaining term of more than one year are as follows:</w:t>
      </w:r>
    </w:p>
    <w:p>
      <w:pPr>
        <w:spacing w:after="0" w:line="356" w:lineRule="exact"/>
        <w:rPr>
          <w:rFonts w:ascii="Arial" w:cs="Arial" w:eastAsia="Arial" w:hAnsi="Arial"/>
          <w:sz w:val="18"/>
          <w:szCs w:val="18"/>
          <w:b w:val="1"/>
          <w:bCs w:val="1"/>
          <w:color w:val="auto"/>
        </w:rPr>
      </w:pPr>
    </w:p>
    <w:p>
      <w:pPr>
        <w:ind w:left="5540" w:hanging="111"/>
        <w:spacing w:after="0"/>
        <w:tabs>
          <w:tab w:leader="none" w:pos="5540" w:val="left"/>
        </w:tabs>
        <w:numPr>
          <w:ilvl w:val="2"/>
          <w:numId w:val="87"/>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COMMITMENTS AND CONTINGENCIES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Arial" w:cs="Arial" w:eastAsia="Arial" w:hAnsi="Arial"/>
                <w:sz w:val="18"/>
                <w:szCs w:val="18"/>
                <w:b w:val="1"/>
                <w:bCs w:val="1"/>
                <w:color w:val="auto"/>
              </w:rPr>
              <w:t xml:space="preserve">(a) Leases </w:t>
            </w:r>
            <w:r>
              <w:rPr>
                <w:rFonts w:ascii="Arial" w:cs="Arial" w:eastAsia="Arial" w:hAnsi="Arial"/>
                <w:sz w:val="18"/>
                <w:szCs w:val="18"/>
                <w:i w:val="1"/>
                <w:iCs w:val="1"/>
                <w:color w:val="auto"/>
              </w:rPr>
              <w:t>(Continued)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3"/>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Scheduled</w:t>
            </w:r>
          </w:p>
        </w:tc>
      </w:t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payments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2,598,053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10,451,653</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9,516,199</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8,818,077</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8,086,065</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2026 and thereafter</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34,238,460</w:t>
            </w:r>
          </w:p>
        </w:tc>
        <w:tc>
          <w:tcPr>
            <w:tcW w:w="80" w:type="dxa"/>
            <w:vAlign w:val="bottom"/>
          </w:tcPr>
          <w:p>
            <w:pPr>
              <w:spacing w:after="0"/>
              <w:rPr>
                <w:sz w:val="20"/>
                <w:szCs w:val="20"/>
                <w:color w:val="auto"/>
              </w:rPr>
            </w:pPr>
          </w:p>
        </w:tc>
      </w:tr>
      <w:tr>
        <w:trPr>
          <w:trHeight w:val="216"/>
        </w:trPr>
        <w:tc>
          <w:tcPr>
            <w:tcW w:w="9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Total undiscounted lease liabilities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73,708,507</w:t>
            </w:r>
          </w:p>
        </w:tc>
        <w:tc>
          <w:tcPr>
            <w:tcW w:w="80" w:type="dxa"/>
            <w:vAlign w:val="bottom"/>
          </w:tcPr>
          <w:p>
            <w:pPr>
              <w:spacing w:after="0"/>
              <w:rPr>
                <w:sz w:val="18"/>
                <w:szCs w:val="18"/>
                <w:color w:val="auto"/>
              </w:rPr>
            </w:pPr>
          </w:p>
        </w:tc>
      </w:tr>
      <w:tr>
        <w:trPr>
          <w:trHeight w:val="237"/>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Discount</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(20,774,449)</w:t>
            </w:r>
          </w:p>
        </w:tc>
      </w:tr>
      <w:tr>
        <w:trPr>
          <w:trHeight w:val="216"/>
        </w:trPr>
        <w:tc>
          <w:tcPr>
            <w:tcW w:w="9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as of September 30, 2021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52,934,058</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Less current portion of lease liabilities</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(6,511,441)</w:t>
            </w:r>
          </w:p>
        </w:tc>
      </w:tr>
      <w:tr>
        <w:trPr>
          <w:trHeight w:val="216"/>
        </w:trPr>
        <w:tc>
          <w:tcPr>
            <w:tcW w:w="9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10020" w:type="dxa"/>
            <w:vAlign w:val="bottom"/>
            <w:gridSpan w:val="2"/>
          </w:tcPr>
          <w:p>
            <w:pPr>
              <w:spacing w:after="0"/>
              <w:rPr>
                <w:sz w:val="20"/>
                <w:szCs w:val="20"/>
                <w:color w:val="auto"/>
              </w:rPr>
            </w:pPr>
            <w:r>
              <w:rPr>
                <w:rFonts w:ascii="Arial" w:cs="Arial" w:eastAsia="Arial" w:hAnsi="Arial"/>
                <w:sz w:val="18"/>
                <w:szCs w:val="18"/>
                <w:color w:val="auto"/>
              </w:rPr>
              <w:t>Long-term portion of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46,422,617</w:t>
            </w:r>
          </w:p>
        </w:tc>
        <w:tc>
          <w:tcPr>
            <w:tcW w:w="80" w:type="dxa"/>
            <w:vAlign w:val="bottom"/>
          </w:tcPr>
          <w:p>
            <w:pPr>
              <w:spacing w:after="0"/>
              <w:rPr>
                <w:sz w:val="22"/>
                <w:szCs w:val="22"/>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color w:val="auto"/>
        </w:rPr>
        <w:t>As of September 30, 2021, the Company recorded depreciation on the right- of-use assets of $4,493,643, of which $514,025 was included in cost of goods sold. The Company recorded interest expense of $2,325,504, of which $100,689 was included in cost of goods sold.</w:t>
      </w:r>
    </w:p>
    <w:p>
      <w:pPr>
        <w:spacing w:after="0" w:line="146"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As of December 31, 2020, the Company recorded depreciation on the right-of-use assets of $1,841,035, of which $694,871 was included in cost of goods sold and the Company recorded interest expense of $834,024, of which $240,934 was included in cost of goods sold.</w:t>
      </w:r>
    </w:p>
    <w:p>
      <w:pPr>
        <w:spacing w:after="0" w:line="142"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229" w:lineRule="exact"/>
        <w:rPr>
          <w:rFonts w:ascii="Arial" w:cs="Arial" w:eastAsia="Arial" w:hAnsi="Arial"/>
          <w:sz w:val="18"/>
          <w:szCs w:val="18"/>
          <w:b w:val="1"/>
          <w:bCs w:val="1"/>
          <w:color w:val="auto"/>
        </w:rPr>
      </w:pPr>
    </w:p>
    <w:p>
      <w:pPr>
        <w:ind w:left="66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While management of the Company believes that the Company is in compliance with applicable local and state regulation at September 30, 2021, medical cannabis regulations continue to evolve and are subject to differing interpretations. As a result, the Company may be subject to regulatory fines, penalties, or restrictions in the future.</w:t>
      </w:r>
    </w:p>
    <w:p>
      <w:pPr>
        <w:spacing w:after="0" w:line="187" w:lineRule="exact"/>
        <w:rPr>
          <w:rFonts w:ascii="Arial" w:cs="Arial" w:eastAsia="Arial" w:hAnsi="Arial"/>
          <w:sz w:val="18"/>
          <w:szCs w:val="18"/>
          <w:b w:val="1"/>
          <w:bCs w:val="1"/>
          <w:color w:val="auto"/>
        </w:rPr>
      </w:pPr>
    </w:p>
    <w:p>
      <w:pPr>
        <w:ind w:left="66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may be involved in litigation relating to claims arising out of operations in the normal course of business. These matters include employment and other claims against entities that were subsequently acquired by the Company and for which indemnification and other reimbursement rights may be available to the Company. At September 30, 2021 there were no pending or threatened lawsuits that could reasonably be expected to have a material effect on the results of the Company’s consolidated operations, except as disclosed in these unaudited condensed interim consolidated financial statements. There are also no proceedings in which any of the Company’s directors, officers or affiliates is an adverse party or has a material interest adverse to the Company’s interest.</w:t>
      </w:r>
    </w:p>
    <w:p>
      <w:pPr>
        <w:spacing w:after="0" w:line="177" w:lineRule="exact"/>
        <w:rPr>
          <w:rFonts w:ascii="Arial" w:cs="Arial" w:eastAsia="Arial" w:hAnsi="Arial"/>
          <w:sz w:val="18"/>
          <w:szCs w:val="18"/>
          <w:b w:val="1"/>
          <w:bCs w:val="1"/>
          <w:color w:val="auto"/>
        </w:rPr>
      </w:pPr>
    </w:p>
    <w:p>
      <w:pPr>
        <w:ind w:left="1300" w:right="20" w:hanging="320"/>
        <w:spacing w:after="0" w:line="293" w:lineRule="auto"/>
        <w:tabs>
          <w:tab w:leader="none" w:pos="13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On January 22, 2021, Verano received a letter from a shareholder, who was formerly a member in Verano Holdings, LLC, demanding that Verano produce documents and information related to Verano Holdings, LLC’s debt and equity financing activities in 2018 and 2019. In response to Verano’s production of such information, the shareholder has alleged that the warrants provided in connection with the Rockview loan and the loan from Mr. Archos described in </w:t>
      </w:r>
      <w:r>
        <w:rPr>
          <w:rFonts w:ascii="Arial" w:cs="Arial" w:eastAsia="Arial" w:hAnsi="Arial"/>
          <w:sz w:val="16"/>
          <w:szCs w:val="16"/>
          <w:i w:val="1"/>
          <w:iCs w:val="1"/>
          <w:color w:val="auto"/>
        </w:rPr>
        <w:t>Section 3.1 – General Development of Verano’s Business</w:t>
      </w:r>
      <w:r>
        <w:rPr>
          <w:rFonts w:ascii="Arial" w:cs="Arial" w:eastAsia="Arial" w:hAnsi="Arial"/>
          <w:sz w:val="16"/>
          <w:szCs w:val="16"/>
          <w:color w:val="auto"/>
        </w:rPr>
        <w:t xml:space="preserve"> were not properly priced or valued. Verano agreed to participate in mediation with this shareholder regarding the claims, which took place on April 13, 2021. The parties were unable to reach a settlement at such time. No reserves for the claim has been recorded as of September 30, 2021.</w:t>
      </w:r>
    </w:p>
    <w:p>
      <w:pPr>
        <w:spacing w:after="0" w:line="272" w:lineRule="exact"/>
        <w:rPr>
          <w:rFonts w:ascii="Arial" w:cs="Arial" w:eastAsia="Arial" w:hAnsi="Arial"/>
          <w:sz w:val="16"/>
          <w:szCs w:val="16"/>
          <w:color w:val="auto"/>
        </w:rPr>
      </w:pPr>
    </w:p>
    <w:p>
      <w:pPr>
        <w:ind w:left="5540" w:hanging="111"/>
        <w:spacing w:after="0"/>
        <w:tabs>
          <w:tab w:leader="none" w:pos="55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65" w:lineRule="exact"/>
        <w:rPr>
          <w:rFonts w:ascii="Arial" w:cs="Arial" w:eastAsia="Arial" w:hAnsi="Arial"/>
          <w:sz w:val="18"/>
          <w:szCs w:val="18"/>
          <w:b w:val="1"/>
          <w:bCs w:val="1"/>
          <w:color w:val="auto"/>
        </w:rPr>
      </w:pPr>
    </w:p>
    <w:p>
      <w:pPr>
        <w:ind w:left="760" w:hanging="374"/>
        <w:spacing w:after="0"/>
        <w:tabs>
          <w:tab w:leader="none" w:pos="76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Due from Related Parties</w:t>
      </w:r>
    </w:p>
    <w:p>
      <w:pPr>
        <w:spacing w:after="0" w:line="229" w:lineRule="exact"/>
        <w:rPr>
          <w:rFonts w:ascii="Arial" w:cs="Arial" w:eastAsia="Arial" w:hAnsi="Arial"/>
          <w:sz w:val="18"/>
          <w:szCs w:val="18"/>
          <w:b w:val="1"/>
          <w:bCs w:val="1"/>
          <w:color w:val="auto"/>
        </w:rPr>
      </w:pPr>
    </w:p>
    <w:p>
      <w:pPr>
        <w:jc w:val="both"/>
        <w:ind w:left="780" w:right="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September 30, 2021, and December 31, 2020, amounts due from related parties were comprised of balances due from investors of $0 and $108,254, respectively. These amounts are due on demand and did not have formal contractual agreements governing payment terms or interest. Other related party transactions are described through these unaudited condensed interim consolidated financial statements.</w:t>
      </w:r>
    </w:p>
    <w:p>
      <w:pPr>
        <w:spacing w:after="0" w:line="144" w:lineRule="exact"/>
        <w:rPr>
          <w:rFonts w:ascii="Arial" w:cs="Arial" w:eastAsia="Arial" w:hAnsi="Arial"/>
          <w:sz w:val="18"/>
          <w:szCs w:val="18"/>
          <w:b w:val="1"/>
          <w:bCs w:val="1"/>
          <w:color w:val="auto"/>
        </w:rPr>
      </w:pPr>
    </w:p>
    <w:p>
      <w:pPr>
        <w:ind w:left="760" w:hanging="374"/>
        <w:spacing w:after="0"/>
        <w:tabs>
          <w:tab w:leader="none" w:pos="76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Due to Related Parties</w:t>
      </w:r>
    </w:p>
    <w:p>
      <w:pPr>
        <w:spacing w:after="0" w:line="229" w:lineRule="exact"/>
        <w:rPr>
          <w:rFonts w:ascii="Arial" w:cs="Arial" w:eastAsia="Arial" w:hAnsi="Arial"/>
          <w:sz w:val="18"/>
          <w:szCs w:val="18"/>
          <w:b w:val="1"/>
          <w:bCs w:val="1"/>
          <w:color w:val="auto"/>
        </w:rPr>
      </w:pPr>
    </w:p>
    <w:p>
      <w:pPr>
        <w:ind w:left="780"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of September 30, 2021, and December 31, 2020, amounts due to related parties were comprised of advances to investors payable totaling $0 and $44,664, respectively. Advances did not have formal contractual agreements governing payment terms or interest.</w:t>
      </w:r>
    </w:p>
    <w:p>
      <w:pPr>
        <w:spacing w:after="0" w:line="142" w:lineRule="exact"/>
        <w:rPr>
          <w:rFonts w:ascii="Arial" w:cs="Arial" w:eastAsia="Arial" w:hAnsi="Arial"/>
          <w:sz w:val="18"/>
          <w:szCs w:val="18"/>
          <w:b w:val="1"/>
          <w:bCs w:val="1"/>
          <w:color w:val="auto"/>
        </w:rPr>
      </w:pPr>
    </w:p>
    <w:p>
      <w:pPr>
        <w:ind w:left="280" w:hanging="272"/>
        <w:spacing w:after="0"/>
        <w:tabs>
          <w:tab w:leader="none" w:pos="2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740"/>
        <w:spacing w:after="0" w:line="342" w:lineRule="auto"/>
        <w:rPr>
          <w:sz w:val="20"/>
          <w:szCs w:val="20"/>
          <w:color w:val="auto"/>
        </w:rPr>
      </w:pPr>
      <w:r>
        <w:rPr>
          <w:rFonts w:ascii="Arial" w:cs="Arial" w:eastAsia="Arial" w:hAnsi="Arial"/>
          <w:sz w:val="16"/>
          <w:szCs w:val="16"/>
          <w:color w:val="auto"/>
        </w:rPr>
        <w:t>There were no discontinued operations during the third quarter of 2021, however during the third quarter of 2020, the Company closed it Oklahoma operation, which was comprised of three dispensaries and a processing facility. The Oklahoma acquisition occurred in 2019.</w:t>
      </w:r>
    </w:p>
    <w:p>
      <w:pPr>
        <w:spacing w:after="0" w:line="124" w:lineRule="exact"/>
        <w:rPr>
          <w:sz w:val="20"/>
          <w:szCs w:val="20"/>
          <w:color w:val="auto"/>
        </w:rPr>
      </w:pPr>
    </w:p>
    <w:p>
      <w:pPr>
        <w:ind w:left="660" w:right="640"/>
        <w:spacing w:after="0" w:line="263" w:lineRule="auto"/>
        <w:rPr>
          <w:sz w:val="20"/>
          <w:szCs w:val="20"/>
          <w:color w:val="auto"/>
        </w:rPr>
      </w:pPr>
      <w:r>
        <w:rPr>
          <w:rFonts w:ascii="Arial" w:cs="Arial" w:eastAsia="Arial" w:hAnsi="Arial"/>
          <w:sz w:val="18"/>
          <w:szCs w:val="18"/>
          <w:color w:val="auto"/>
        </w:rPr>
        <w:t>Discontinued operations are presented separate from continuing operations in the unaudited interim condensed consolidated statement of operations and the unaudited interim condensed consolidated statement of cash flows and represented a loss of $5,063,202. There were no proceeds received in connection with the discontinuation of the Oklahoma operation.</w:t>
      </w:r>
    </w:p>
    <w:p>
      <w:pPr>
        <w:spacing w:after="0" w:line="184"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The following table represents the financial results associated with discontinued operation as reflected in the Company’s unaudited interim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three months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nine months</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1,861,758</w:t>
            </w:r>
          </w:p>
        </w:tc>
      </w:tr>
      <w:tr>
        <w:trPr>
          <w:trHeight w:val="237"/>
        </w:trPr>
        <w:tc>
          <w:tcPr>
            <w:tcW w:w="86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(1,367,699)</w:t>
            </w:r>
          </w:p>
        </w:tc>
      </w:tr>
      <w:tr>
        <w:trPr>
          <w:trHeight w:val="216"/>
        </w:trPr>
        <w:tc>
          <w:tcPr>
            <w:tcW w:w="8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494,059</w:t>
            </w: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1,054,339</w:t>
            </w: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57,043</w:t>
            </w:r>
          </w:p>
        </w:tc>
      </w:tr>
      <w:tr>
        <w:trPr>
          <w:trHeight w:val="250"/>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98,195</w:t>
            </w:r>
          </w:p>
        </w:tc>
      </w:tr>
      <w:tr>
        <w:trPr>
          <w:trHeight w:val="203"/>
        </w:trPr>
        <w:tc>
          <w:tcPr>
            <w:tcW w:w="8640" w:type="dxa"/>
            <w:vAlign w:val="bottom"/>
            <w:tcBorders>
              <w:top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68,396</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1,209,577</w:t>
            </w:r>
          </w:p>
        </w:tc>
        <w:tc>
          <w:tcPr>
            <w:tcW w:w="100" w:type="dxa"/>
            <w:vAlign w:val="bottom"/>
            <w:tcBorders>
              <w:top w:val="single" w:sz="8" w:color="CCEEFF"/>
            </w:tcBorders>
          </w:tcPr>
          <w:p>
            <w:pPr>
              <w:spacing w:after="0"/>
              <w:rPr>
                <w:sz w:val="17"/>
                <w:szCs w:val="17"/>
                <w:color w:val="auto"/>
              </w:rPr>
            </w:pP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loss before taxes and non-controlling interest</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(68,396)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(715,518)</w:t>
            </w:r>
          </w:p>
        </w:tc>
      </w:tr>
      <w:tr>
        <w:trPr>
          <w:trHeight w:val="229"/>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line="2" w:lineRule="exact"/>
        <w:rPr>
          <w:sz w:val="20"/>
          <w:szCs w:val="20"/>
          <w:color w:val="auto"/>
        </w:rPr>
      </w:pPr>
    </w:p>
    <w:p>
      <w:pPr>
        <w:ind w:right="3680"/>
        <w:spacing w:after="0" w:line="281" w:lineRule="auto"/>
        <w:rPr>
          <w:sz w:val="20"/>
          <w:szCs w:val="20"/>
          <w:color w:val="auto"/>
        </w:rPr>
      </w:pPr>
      <w:r>
        <w:rPr>
          <w:rFonts w:ascii="Arial" w:cs="Arial" w:eastAsia="Arial" w:hAnsi="Arial"/>
          <w:sz w:val="17"/>
          <w:szCs w:val="17"/>
          <w:color w:val="auto"/>
        </w:rPr>
        <w:t>Loss from continuing operations before non-controlling interest Lees amount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20"/>
        <w:spacing w:after="0"/>
        <w:tabs>
          <w:tab w:leader="none" w:pos="1460" w:val="left"/>
        </w:tabs>
        <w:rPr>
          <w:sz w:val="20"/>
          <w:szCs w:val="20"/>
          <w:color w:val="auto"/>
        </w:rPr>
      </w:pPr>
      <w:r>
        <w:rPr>
          <w:rFonts w:ascii="Arial" w:cs="Arial" w:eastAsia="Arial" w:hAnsi="Arial"/>
          <w:sz w:val="18"/>
          <w:szCs w:val="18"/>
          <w:color w:val="auto"/>
        </w:rPr>
        <w:t>(68,396)</w:t>
      </w:r>
      <w:r>
        <w:rPr>
          <w:sz w:val="20"/>
          <w:szCs w:val="20"/>
          <w:color w:val="auto"/>
        </w:rPr>
        <w:tab/>
      </w:r>
      <w:r>
        <w:rPr>
          <w:rFonts w:ascii="Arial" w:cs="Arial" w:eastAsia="Arial" w:hAnsi="Arial"/>
          <w:sz w:val="18"/>
          <w:szCs w:val="18"/>
          <w:color w:val="auto"/>
        </w:rPr>
        <w:t>(715,518)</w:t>
      </w:r>
    </w:p>
    <w:p>
      <w:pPr>
        <w:spacing w:after="0" w:line="36" w:lineRule="exact"/>
        <w:rPr>
          <w:sz w:val="20"/>
          <w:szCs w:val="20"/>
          <w:color w:val="auto"/>
        </w:rPr>
      </w:pPr>
    </w:p>
    <w:p>
      <w:pPr>
        <w:ind w:left="280"/>
        <w:spacing w:after="0"/>
        <w:tabs>
          <w:tab w:leader="none" w:pos="1520" w:val="left"/>
        </w:tabs>
        <w:rPr>
          <w:sz w:val="20"/>
          <w:szCs w:val="20"/>
          <w:color w:val="auto"/>
        </w:rPr>
      </w:pPr>
      <w:r>
        <w:rPr>
          <w:rFonts w:ascii="Arial" w:cs="Arial" w:eastAsia="Arial" w:hAnsi="Arial"/>
          <w:sz w:val="18"/>
          <w:szCs w:val="18"/>
          <w:color w:val="auto"/>
        </w:rPr>
        <w:t>51,297</w:t>
      </w:r>
      <w:r>
        <w:rPr>
          <w:sz w:val="20"/>
          <w:szCs w:val="20"/>
          <w:color w:val="auto"/>
        </w:rPr>
        <w:tab/>
      </w:r>
      <w:r>
        <w:rPr>
          <w:rFonts w:ascii="Arial" w:cs="Arial" w:eastAsia="Arial" w:hAnsi="Arial"/>
          <w:sz w:val="18"/>
          <w:szCs w:val="18"/>
          <w:color w:val="auto"/>
        </w:rPr>
        <w:t>536,639</w:t>
      </w:r>
    </w:p>
    <w:p>
      <w:pPr>
        <w:spacing w:after="0" w:line="2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(4,884,323)</w:t>
      </w:r>
      <w:r>
        <w:rPr>
          <w:sz w:val="20"/>
          <w:szCs w:val="20"/>
          <w:color w:val="auto"/>
        </w:rPr>
        <w:tab/>
      </w:r>
      <w:r>
        <w:rPr>
          <w:rFonts w:ascii="Arial" w:cs="Arial" w:eastAsia="Arial" w:hAnsi="Arial"/>
          <w:sz w:val="16"/>
          <w:szCs w:val="16"/>
          <w:color w:val="auto"/>
        </w:rPr>
        <w:t>(4,884,323)</w:t>
      </w:r>
    </w:p>
    <w:p>
      <w:pPr>
        <w:spacing w:after="0" w:line="51" w:lineRule="exact"/>
        <w:rPr>
          <w:sz w:val="20"/>
          <w:szCs w:val="20"/>
          <w:color w:val="auto"/>
        </w:rPr>
      </w:pPr>
    </w:p>
    <w:p>
      <w:pPr>
        <w:sectPr>
          <w:pgSz w:w="11900" w:h="16838" w:orient="portrait"/>
          <w:cols w:equalWidth="0" w:num="2">
            <w:col w:w="8280" w:space="720"/>
            <w:col w:w="2240"/>
          </w:cols>
          <w:pgMar w:left="320" w:top="796" w:right="339" w:bottom="1440" w:gutter="0" w:footer="0" w:header="0"/>
          <w:type w:val="continuous"/>
        </w:sectPr>
      </w:pPr>
    </w:p>
    <w:p>
      <w:pPr>
        <w:spacing w:after="0"/>
        <w:tabs>
          <w:tab w:leader="none" w:pos="8620" w:val="left"/>
          <w:tab w:leader="none" w:pos="8980" w:val="left"/>
        </w:tabs>
        <w:rPr>
          <w:sz w:val="20"/>
          <w:szCs w:val="20"/>
          <w:color w:val="auto"/>
        </w:rPr>
      </w:pPr>
      <w:r>
        <w:rPr>
          <w:rFonts w:ascii="Arial" w:cs="Arial" w:eastAsia="Arial" w:hAnsi="Arial"/>
          <w:sz w:val="18"/>
          <w:szCs w:val="18"/>
          <w:color w:val="auto"/>
        </w:rPr>
        <w:t>Net loss attributed to Verano Holdings Corp.</w:t>
      </w:r>
      <w:r>
        <w:rPr>
          <w:sz w:val="20"/>
          <w:szCs w:val="20"/>
          <w:color w:val="auto"/>
        </w:rPr>
        <w:tab/>
      </w:r>
      <w:r>
        <w:rPr>
          <w:rFonts w:ascii="Arial" w:cs="Arial" w:eastAsia="Arial" w:hAnsi="Arial"/>
          <w:sz w:val="36"/>
          <w:szCs w:val="36"/>
          <w:u w:val="single" w:color="auto"/>
          <w:color w:val="auto"/>
          <w:vertAlign w:val="subscript"/>
        </w:rPr>
        <w:t>$</w:t>
      </w:r>
      <w:r>
        <w:rPr>
          <w:sz w:val="20"/>
          <w:szCs w:val="20"/>
          <w:color w:val="auto"/>
        </w:rPr>
        <w:tab/>
      </w:r>
      <w:r>
        <w:rPr>
          <w:rFonts w:ascii="Arial" w:cs="Arial" w:eastAsia="Arial" w:hAnsi="Arial"/>
          <w:sz w:val="26"/>
          <w:szCs w:val="26"/>
          <w:u w:val="single" w:color="auto"/>
          <w:color w:val="auto"/>
          <w:vertAlign w:val="subscript"/>
        </w:rPr>
        <w:t>(4,901,422</w:t>
      </w:r>
      <w:r>
        <w:rPr>
          <w:rFonts w:ascii="Arial" w:cs="Arial" w:eastAsia="Arial" w:hAnsi="Arial"/>
          <w:sz w:val="26"/>
          <w:szCs w:val="26"/>
          <w:color w:val="auto"/>
        </w:rPr>
        <w:t>)</w:t>
      </w:r>
      <w:r>
        <w:rPr>
          <w:rFonts w:ascii="Arial" w:cs="Arial" w:eastAsia="Arial" w:hAnsi="Arial"/>
          <w:sz w:val="26"/>
          <w:szCs w:val="26"/>
          <w:u w:val="single" w:color="auto"/>
          <w:color w:val="auto"/>
        </w:rPr>
        <w:t xml:space="preserve">  </w:t>
      </w:r>
      <w:r>
        <w:rPr>
          <w:rFonts w:ascii="Arial" w:cs="Arial" w:eastAsia="Arial" w:hAnsi="Arial"/>
          <w:sz w:val="26"/>
          <w:szCs w:val="26"/>
          <w:u w:val="single" w:color="auto"/>
          <w:color w:val="auto"/>
          <w:vertAlign w:val="subscript"/>
        </w:rPr>
        <w:t>$   (5,063,202</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DECONSOLIDATION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In July 2020, the Company entered into an agreement to unwind its interest in Zen Leaf Retail PR, Inc. Accordingly, the Company does not exercise any control over this entity. As a result, the assets and liabilities of both entities have been derecognized from the consolidated statements of financial position, with a loss of $189,324 being recognized in the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FINANCIAL INSTRUMENTS AND FINANCIAL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Company’s financial instruments consist of biological assets, notes receivable, notes payable, and a derivative liability. The carrying values of these financial instruments approximate their fair values at September 30, 2021.</w:t>
      </w:r>
    </w:p>
    <w:p>
      <w:pPr>
        <w:spacing w:after="0" w:line="170"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Level 3 – Inputs for the asset or liability that are not based on observable market data.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There have been no transfers between fair value levels during the nine months ended September 30, 2021 and year ended December 31, 2020.</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Risk Management</w:t>
      </w:r>
    </w:p>
    <w:p>
      <w:pPr>
        <w:spacing w:after="0" w:line="229"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166" w:lineRule="exact"/>
        <w:rPr>
          <w:sz w:val="20"/>
          <w:szCs w:val="20"/>
          <w:color w:val="auto"/>
        </w:rPr>
      </w:pPr>
    </w:p>
    <w:p>
      <w:pPr>
        <w:ind w:left="640" w:hanging="349"/>
        <w:spacing w:after="0"/>
        <w:tabs>
          <w:tab w:leader="none" w:pos="640"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rFonts w:ascii="Arial" w:cs="Arial" w:eastAsia="Arial" w:hAnsi="Arial"/>
          <w:sz w:val="18"/>
          <w:szCs w:val="18"/>
          <w:b w:val="1"/>
          <w:bCs w:val="1"/>
          <w:color w:val="auto"/>
        </w:rPr>
      </w:pPr>
    </w:p>
    <w:p>
      <w:pPr>
        <w:ind w:left="66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Credit risk is the risk of a potential loss to the Company if a customer or third party to a financial instrument fails to meet its contractual obligations. The maximum credit exposure at September 30, 2021 and December 31, 2020 is the carrying amount of cash. The Company does not have significant credit risk with respect to its customers. All cash is placed with major U.S. financial institutions.</w:t>
      </w:r>
    </w:p>
    <w:p>
      <w:pPr>
        <w:spacing w:after="0" w:line="165" w:lineRule="exact"/>
        <w:rPr>
          <w:rFonts w:ascii="Arial" w:cs="Arial" w:eastAsia="Arial" w:hAnsi="Arial"/>
          <w:sz w:val="18"/>
          <w:szCs w:val="18"/>
          <w:b w:val="1"/>
          <w:bCs w:val="1"/>
          <w:color w:val="auto"/>
        </w:rPr>
      </w:pPr>
    </w:p>
    <w:p>
      <w:pPr>
        <w:ind w:left="6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rise but has limited risk as the majority of its sales are transacted with cash.</w:t>
      </w:r>
    </w:p>
    <w:p>
      <w:pPr>
        <w:spacing w:after="0" w:line="166" w:lineRule="exact"/>
        <w:rPr>
          <w:rFonts w:ascii="Arial" w:cs="Arial" w:eastAsia="Arial" w:hAnsi="Arial"/>
          <w:sz w:val="18"/>
          <w:szCs w:val="18"/>
          <w:b w:val="1"/>
          <w:bCs w:val="1"/>
          <w:color w:val="auto"/>
        </w:rPr>
      </w:pPr>
    </w:p>
    <w:p>
      <w:pPr>
        <w:ind w:left="640" w:hanging="41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229" w:lineRule="exact"/>
        <w:rPr>
          <w:rFonts w:ascii="Arial" w:cs="Arial" w:eastAsia="Arial" w:hAnsi="Arial"/>
          <w:sz w:val="18"/>
          <w:szCs w:val="18"/>
          <w:b w:val="1"/>
          <w:bCs w:val="1"/>
          <w:color w:val="auto"/>
        </w:rPr>
      </w:pPr>
    </w:p>
    <w:p>
      <w:pPr>
        <w:jc w:val="both"/>
        <w:ind w:left="66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management of its capital structure. The Company’s approach to managing liquidity is to ensure that it will have sufficient liquidity to settle obligations and liabilities when due.</w:t>
      </w:r>
    </w:p>
    <w:p>
      <w:pPr>
        <w:spacing w:after="0" w:line="291" w:lineRule="exact"/>
        <w:rPr>
          <w:rFonts w:ascii="Arial" w:cs="Arial" w:eastAsia="Arial" w:hAnsi="Arial"/>
          <w:sz w:val="18"/>
          <w:szCs w:val="18"/>
          <w:b w:val="1"/>
          <w:bCs w:val="1"/>
          <w:color w:val="auto"/>
        </w:rPr>
      </w:pPr>
    </w:p>
    <w:p>
      <w:pPr>
        <w:ind w:left="5540" w:hanging="111"/>
        <w:spacing w:after="0"/>
        <w:tabs>
          <w:tab w:leader="none" w:pos="5540" w:val="left"/>
        </w:tabs>
        <w:numPr>
          <w:ilvl w:val="2"/>
          <w:numId w:val="91"/>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65" w:lineRule="exact"/>
        <w:rPr>
          <w:rFonts w:ascii="Arial" w:cs="Arial" w:eastAsia="Arial" w:hAnsi="Arial"/>
          <w:sz w:val="18"/>
          <w:szCs w:val="18"/>
          <w:b w:val="1"/>
          <w:bCs w:val="1"/>
          <w:color w:val="auto"/>
        </w:rPr>
      </w:pPr>
    </w:p>
    <w:p>
      <w:pPr>
        <w:ind w:left="640" w:hanging="416"/>
        <w:spacing w:after="0"/>
        <w:tabs>
          <w:tab w:leader="none" w:pos="64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Market Risk</w:t>
      </w:r>
    </w:p>
    <w:p>
      <w:pPr>
        <w:spacing w:after="0" w:line="229" w:lineRule="exact"/>
        <w:rPr>
          <w:rFonts w:ascii="Arial" w:cs="Arial" w:eastAsia="Arial" w:hAnsi="Arial"/>
          <w:sz w:val="18"/>
          <w:szCs w:val="18"/>
          <w:b w:val="1"/>
          <w:bCs w:val="1"/>
          <w:color w:val="auto"/>
        </w:rPr>
      </w:pPr>
    </w:p>
    <w:p>
      <w:pPr>
        <w:ind w:left="1060" w:hanging="404"/>
        <w:spacing w:after="0"/>
        <w:tabs>
          <w:tab w:leader="none" w:pos="1060" w:val="left"/>
        </w:tabs>
        <w:numPr>
          <w:ilvl w:val="3"/>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Risk</w:t>
      </w:r>
    </w:p>
    <w:p>
      <w:pPr>
        <w:spacing w:after="0" w:line="225" w:lineRule="exact"/>
        <w:rPr>
          <w:rFonts w:ascii="Arial" w:cs="Arial" w:eastAsia="Arial" w:hAnsi="Arial"/>
          <w:sz w:val="18"/>
          <w:szCs w:val="18"/>
          <w:i w:val="1"/>
          <w:iCs w:val="1"/>
          <w:color w:val="auto"/>
        </w:rPr>
      </w:pPr>
    </w:p>
    <w:p>
      <w:pPr>
        <w:ind w:left="1060" w:right="36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The Company’s financial debts have fixed rates of interest and therefore expose the Company to a limited interest rate fair value risk.</w:t>
      </w:r>
    </w:p>
    <w:p>
      <w:pPr>
        <w:spacing w:after="0" w:line="183" w:lineRule="exact"/>
        <w:rPr>
          <w:rFonts w:ascii="Arial" w:cs="Arial" w:eastAsia="Arial" w:hAnsi="Arial"/>
          <w:sz w:val="18"/>
          <w:szCs w:val="18"/>
          <w:i w:val="1"/>
          <w:iCs w:val="1"/>
          <w:color w:val="auto"/>
        </w:rPr>
      </w:pPr>
    </w:p>
    <w:p>
      <w:pPr>
        <w:ind w:left="1060" w:hanging="364"/>
        <w:spacing w:after="0"/>
        <w:tabs>
          <w:tab w:leader="none" w:pos="1060" w:val="left"/>
        </w:tabs>
        <w:numPr>
          <w:ilvl w:val="4"/>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Price Risk</w:t>
      </w:r>
    </w:p>
    <w:p>
      <w:pPr>
        <w:spacing w:after="0" w:line="225" w:lineRule="exact"/>
        <w:rPr>
          <w:rFonts w:ascii="Arial" w:cs="Arial" w:eastAsia="Arial" w:hAnsi="Arial"/>
          <w:sz w:val="18"/>
          <w:szCs w:val="18"/>
          <w:i w:val="1"/>
          <w:iCs w:val="1"/>
          <w:color w:val="auto"/>
        </w:rPr>
      </w:pPr>
    </w:p>
    <w:p>
      <w:pPr>
        <w:ind w:left="1060" w:right="28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Price risk is the risk of variability in fair value due to movements in equity or market prices. See Note 5 for the Company’s assessment of certain changes in the fair value assumption used in the calculation of biological asset values.</w:t>
      </w:r>
    </w:p>
    <w:p>
      <w:pPr>
        <w:spacing w:after="0" w:line="166" w:lineRule="exact"/>
        <w:rPr>
          <w:rFonts w:ascii="Arial" w:cs="Arial" w:eastAsia="Arial" w:hAnsi="Arial"/>
          <w:sz w:val="18"/>
          <w:szCs w:val="18"/>
          <w:i w:val="1"/>
          <w:iCs w:val="1"/>
          <w:color w:val="auto"/>
        </w:rPr>
      </w:pPr>
    </w:p>
    <w:p>
      <w:pPr>
        <w:ind w:left="640" w:hanging="376"/>
        <w:spacing w:after="0"/>
        <w:tabs>
          <w:tab w:leader="none" w:pos="640" w:val="left"/>
        </w:tabs>
        <w:numPr>
          <w:ilvl w:val="2"/>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Banking Risk</w:t>
      </w:r>
    </w:p>
    <w:p>
      <w:pPr>
        <w:spacing w:after="0" w:line="229" w:lineRule="exact"/>
        <w:rPr>
          <w:rFonts w:ascii="Arial" w:cs="Arial" w:eastAsia="Arial" w:hAnsi="Arial"/>
          <w:sz w:val="18"/>
          <w:szCs w:val="18"/>
          <w:b w:val="1"/>
          <w:bCs w:val="1"/>
          <w:color w:val="auto"/>
        </w:rPr>
      </w:pPr>
    </w:p>
    <w:p>
      <w:pPr>
        <w:ind w:left="6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Notwithstanding that a majority of states have legalized medical marijuana, there has been no change in U.S. federal banking laws related to the deposit and holding of funds derived from activities related to the marijuana industry. Given that U.S. federal law provides that the production and possession of cannabis is illegal, there is a strong argument that banks cannot accept for deposit, funds from businesses involved with the marijuana industry. Consequently, businesses involved in the marijuana industry often have difficulty accessing the U.S. banking system and traditional financing sources. The inability to open bank accounts with certain institutions may make it difficult to operate the businesses of the Company and leaves their cash holdings vulnerable.</w:t>
      </w:r>
    </w:p>
    <w:p>
      <w:pPr>
        <w:spacing w:after="0" w:line="188" w:lineRule="exact"/>
        <w:rPr>
          <w:rFonts w:ascii="Arial" w:cs="Arial" w:eastAsia="Arial" w:hAnsi="Arial"/>
          <w:sz w:val="18"/>
          <w:szCs w:val="18"/>
          <w:b w:val="1"/>
          <w:bCs w:val="1"/>
          <w:color w:val="auto"/>
        </w:rPr>
      </w:pPr>
    </w:p>
    <w:p>
      <w:pPr>
        <w:ind w:left="640" w:hanging="376"/>
        <w:spacing w:after="0"/>
        <w:tabs>
          <w:tab w:leader="none" w:pos="640" w:val="left"/>
        </w:tabs>
        <w:numPr>
          <w:ilvl w:val="2"/>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Asset Forfeiture Risk</w:t>
      </w:r>
    </w:p>
    <w:p>
      <w:pPr>
        <w:spacing w:after="0" w:line="229"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Because the cannabis industry remains illegal under U.S. federal law, any property owned by participants in the cannabis industry, which either are used in the course of conducting such business, or are the proceeds of such business, could be subject to seizure by law enforcement and subsequent civil asset forfeiture. Even if the owner of the property was never charged with a crime, the property in question could still be seized and subject to an administrative proceeding by which, with minimal due process, it could be subject to forfeiture.</w:t>
      </w:r>
    </w:p>
    <w:p>
      <w:pPr>
        <w:spacing w:after="0" w:line="167" w:lineRule="exact"/>
        <w:rPr>
          <w:rFonts w:ascii="Arial" w:cs="Arial" w:eastAsia="Arial" w:hAnsi="Arial"/>
          <w:sz w:val="18"/>
          <w:szCs w:val="18"/>
          <w:b w:val="1"/>
          <w:bCs w:val="1"/>
          <w:color w:val="auto"/>
        </w:rPr>
      </w:pPr>
    </w:p>
    <w:p>
      <w:pPr>
        <w:ind w:left="640" w:hanging="376"/>
        <w:spacing w:after="0"/>
        <w:tabs>
          <w:tab w:leader="none" w:pos="640" w:val="left"/>
        </w:tabs>
        <w:numPr>
          <w:ilvl w:val="2"/>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Risk</w:t>
      </w:r>
    </w:p>
    <w:p>
      <w:pPr>
        <w:spacing w:after="0" w:line="229" w:lineRule="exact"/>
        <w:rPr>
          <w:rFonts w:ascii="Arial" w:cs="Arial" w:eastAsia="Arial" w:hAnsi="Arial"/>
          <w:sz w:val="18"/>
          <w:szCs w:val="18"/>
          <w:b w:val="1"/>
          <w:bCs w:val="1"/>
          <w:color w:val="auto"/>
        </w:rPr>
      </w:pPr>
    </w:p>
    <w:p>
      <w:pPr>
        <w:ind w:left="660" w:right="3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Regulatory risk pertains to the risk that the Company’s business objectives are contingent, in part, upon the compliance of regulatory requirements. Due to the nature of the industry, the company recognizes that regulatory requirements are more stringent and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71" w:lineRule="exact"/>
        <w:rPr>
          <w:rFonts w:ascii="Arial" w:cs="Arial" w:eastAsia="Arial" w:hAnsi="Arial"/>
          <w:sz w:val="18"/>
          <w:szCs w:val="18"/>
          <w:b w:val="1"/>
          <w:bCs w:val="1"/>
          <w:color w:val="auto"/>
        </w:rPr>
      </w:pPr>
    </w:p>
    <w:p>
      <w:pPr>
        <w:ind w:left="66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is cognizant of the advent of regulatory changes occurring in the cannabis industry on the city, state, and national levels. Although regulatory outlook on the cannabis industry has been moving in a positive trend, the Company is aware of the effect of unforeseen regulatory changes can have on the goals and operations of the business as a whole.</w:t>
      </w:r>
    </w:p>
    <w:p>
      <w:pPr>
        <w:spacing w:after="0" w:line="179" w:lineRule="exact"/>
        <w:rPr>
          <w:rFonts w:ascii="Arial" w:cs="Arial" w:eastAsia="Arial" w:hAnsi="Arial"/>
          <w:sz w:val="18"/>
          <w:szCs w:val="18"/>
          <w:b w:val="1"/>
          <w:bCs w:val="1"/>
          <w:color w:val="auto"/>
        </w:rPr>
      </w:pPr>
    </w:p>
    <w:p>
      <w:pPr>
        <w:ind w:left="640" w:hanging="376"/>
        <w:spacing w:after="0"/>
        <w:tabs>
          <w:tab w:leader="none" w:pos="640" w:val="left"/>
        </w:tabs>
        <w:numPr>
          <w:ilvl w:val="2"/>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Tax Risk</w:t>
      </w:r>
    </w:p>
    <w:p>
      <w:pPr>
        <w:spacing w:after="0" w:line="229" w:lineRule="exact"/>
        <w:rPr>
          <w:rFonts w:ascii="Arial" w:cs="Arial" w:eastAsia="Arial" w:hAnsi="Arial"/>
          <w:sz w:val="18"/>
          <w:szCs w:val="18"/>
          <w:b w:val="1"/>
          <w:bCs w:val="1"/>
          <w:color w:val="auto"/>
        </w:rPr>
      </w:pPr>
    </w:p>
    <w:p>
      <w:pPr>
        <w:ind w:left="6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Tax risk is the risk of changes in the tax environment that would have a material adverse effect on the Company’s business, results of operations, and financial condition. Currently, state licensed marijuana businesses are assessed a comparatively high effective federal tax rate due to section 280E which bars businesses from deducting all expenses except their cost of sales when calculating federal tax liability. Any increase in tax levies resulting from additional tax measures may have a further adverse effect on the operations of the Company, while any decrease in such tax levies will be beneficial to future operations.</w:t>
      </w:r>
    </w:p>
    <w:p>
      <w:pPr>
        <w:spacing w:after="0" w:line="187" w:lineRule="exact"/>
        <w:rPr>
          <w:rFonts w:ascii="Arial" w:cs="Arial" w:eastAsia="Arial" w:hAnsi="Arial"/>
          <w:sz w:val="18"/>
          <w:szCs w:val="18"/>
          <w:b w:val="1"/>
          <w:bCs w:val="1"/>
          <w:color w:val="auto"/>
        </w:rPr>
      </w:pPr>
    </w:p>
    <w:p>
      <w:pPr>
        <w:ind w:left="6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November 16, 2021, which is the date on which the financial statements were available to be issued.</w:t>
      </w:r>
    </w:p>
    <w:p>
      <w:pPr>
        <w:spacing w:after="0" w:line="278" w:lineRule="exact"/>
        <w:rPr>
          <w:rFonts w:ascii="Arial" w:cs="Arial" w:eastAsia="Arial" w:hAnsi="Arial"/>
          <w:sz w:val="18"/>
          <w:szCs w:val="18"/>
          <w:b w:val="1"/>
          <w:bCs w:val="1"/>
          <w:color w:val="auto"/>
        </w:rPr>
      </w:pPr>
    </w:p>
    <w:p>
      <w:pPr>
        <w:ind w:left="5540" w:hanging="111"/>
        <w:spacing w:after="0"/>
        <w:tabs>
          <w:tab w:leader="none" w:pos="5540" w:val="left"/>
        </w:tabs>
        <w:numPr>
          <w:ilvl w:val="5"/>
          <w:numId w:val="92"/>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-7348220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VERANO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Interim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65" w:lineRule="exact"/>
        <w:rPr>
          <w:rFonts w:ascii="Arial" w:cs="Arial" w:eastAsia="Arial" w:hAnsi="Arial"/>
          <w:sz w:val="18"/>
          <w:szCs w:val="18"/>
          <w:b w:val="1"/>
          <w:bCs w:val="1"/>
          <w:color w:val="auto"/>
        </w:rPr>
      </w:pPr>
    </w:p>
    <w:p>
      <w:pPr>
        <w:ind w:left="660" w:right="9640" w:hanging="328"/>
        <w:spacing w:after="0" w:line="603" w:lineRule="auto"/>
        <w:tabs>
          <w:tab w:leader="none" w:pos="660" w:val="left"/>
        </w:tabs>
        <w:numPr>
          <w:ilvl w:val="1"/>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i w:val="1"/>
          <w:iCs w:val="1"/>
          <w:color w:val="auto"/>
        </w:rPr>
        <w:t>WSCC, Inc.</w:t>
      </w:r>
    </w:p>
    <w:p>
      <w:pPr>
        <w:spacing w:after="0" w:line="1" w:lineRule="exact"/>
        <w:rPr>
          <w:rFonts w:ascii="Arial" w:cs="Arial" w:eastAsia="Arial" w:hAnsi="Arial"/>
          <w:sz w:val="15"/>
          <w:szCs w:val="15"/>
          <w:b w:val="1"/>
          <w:bCs w:val="1"/>
          <w:color w:val="auto"/>
        </w:rPr>
      </w:pPr>
    </w:p>
    <w:p>
      <w:pPr>
        <w:ind w:left="660" w:right="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On July 26, 2021, the Company announced it had entered into an agreement to acquire all issued and outstanding equity interests in WSCC, Inc., a Nevada corporation d/b/a Sierra Well (“Sierra Well”). The total consideration is US$29,000,000, which is payable in a combination of cash and Subordinate Voting Shares. Closing of the acquisition is subject to customary conditions, contingencies, and approvals, including regulatory approval.</w:t>
      </w:r>
    </w:p>
    <w:p>
      <w:pPr>
        <w:spacing w:after="0" w:line="186"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Willow Brook Wellness, LLC</w:t>
      </w:r>
    </w:p>
    <w:p>
      <w:pPr>
        <w:spacing w:after="0" w:line="225" w:lineRule="exact"/>
        <w:rPr>
          <w:rFonts w:ascii="Arial" w:cs="Arial" w:eastAsia="Arial" w:hAnsi="Arial"/>
          <w:sz w:val="15"/>
          <w:szCs w:val="15"/>
          <w:b w:val="1"/>
          <w:bCs w:val="1"/>
          <w:color w:val="auto"/>
        </w:rPr>
      </w:pPr>
    </w:p>
    <w:p>
      <w:pPr>
        <w:ind w:left="66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On September 13, 2021, the Company announced it had entered into a definitive agreement to acquire all issued and outstanding equity interests in Willow Brook Wellness, LLC, a Connecticut limited liability company, which operates a dispensary in Connecticut. The total consideration was US$22,000,000, which was payable in a combination of cash, including via a promissory note, and Subordinate Voting Shares. The transaction closed October 25, 2021.</w:t>
      </w:r>
    </w:p>
    <w:p>
      <w:pPr>
        <w:spacing w:after="0" w:line="186"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Caring Nature, LLC</w:t>
      </w:r>
    </w:p>
    <w:p>
      <w:pPr>
        <w:spacing w:after="0" w:line="225" w:lineRule="exact"/>
        <w:rPr>
          <w:rFonts w:ascii="Arial" w:cs="Arial" w:eastAsia="Arial" w:hAnsi="Arial"/>
          <w:sz w:val="15"/>
          <w:szCs w:val="15"/>
          <w:b w:val="1"/>
          <w:bCs w:val="1"/>
          <w:color w:val="auto"/>
        </w:rPr>
      </w:pPr>
    </w:p>
    <w:p>
      <w:pPr>
        <w:ind w:left="660" w:right="1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On November 10, 2021, the Company announced it had entered into an agreement to acquire all issued and outstanding equity interests in Caring Nature LLC, a Connecticut limited liability company, which operates a dispensary in Connecticut. The total consideration is US$24,000,000, which is payable in a combination of cash and Subordinate Voting Shares. Closing of the acquisition is subject to customary conditions, contingencies, and approvals, including regulatory approval.</w:t>
      </w:r>
    </w:p>
    <w:p>
      <w:pPr>
        <w:spacing w:after="0" w:line="186"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Connecticut Pharmaceutical Solutions, Inc.</w:t>
      </w:r>
    </w:p>
    <w:p>
      <w:pPr>
        <w:spacing w:after="0" w:line="225" w:lineRule="exact"/>
        <w:rPr>
          <w:rFonts w:ascii="Arial" w:cs="Arial" w:eastAsia="Arial" w:hAnsi="Arial"/>
          <w:sz w:val="15"/>
          <w:szCs w:val="15"/>
          <w:b w:val="1"/>
          <w:bCs w:val="1"/>
          <w:color w:val="auto"/>
        </w:rPr>
      </w:pPr>
    </w:p>
    <w:p>
      <w:pPr>
        <w:ind w:left="660" w:right="16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On November 10, 2021, the Company announced it had entered into an agreement to acquire all issued and outstanding equity interests in Connecticut Pharmaceutical Solutions, Inc., a Delaware corporation, which holds a medical marijuana producer license in Connecticut. The total consideration is US$131,750,000 plus potential earnouts, which is payable in Subordinate Voting Shares. Closing of the acquisition is subject to customary conditions, contingencies, and approvals, including regulatory approval.</w:t>
      </w:r>
    </w:p>
    <w:p>
      <w:pPr>
        <w:spacing w:after="0" w:line="182" w:lineRule="exact"/>
        <w:rPr>
          <w:rFonts w:ascii="Arial" w:cs="Arial" w:eastAsia="Arial" w:hAnsi="Arial"/>
          <w:sz w:val="15"/>
          <w:szCs w:val="15"/>
          <w:b w:val="1"/>
          <w:bCs w:val="1"/>
          <w:color w:val="auto"/>
        </w:rPr>
      </w:pPr>
    </w:p>
    <w:p>
      <w:pPr>
        <w:ind w:left="660" w:hanging="328"/>
        <w:spacing w:after="0"/>
        <w:tabs>
          <w:tab w:leader="none" w:pos="66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Dispositions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ILDISP, LLC</w:t>
      </w:r>
    </w:p>
    <w:p>
      <w:pPr>
        <w:spacing w:after="0" w:line="225" w:lineRule="exact"/>
        <w:rPr>
          <w:rFonts w:ascii="Arial" w:cs="Arial" w:eastAsia="Arial" w:hAnsi="Arial"/>
          <w:sz w:val="18"/>
          <w:szCs w:val="18"/>
          <w:b w:val="1"/>
          <w:bCs w:val="1"/>
          <w:color w:val="auto"/>
        </w:rPr>
      </w:pPr>
    </w:p>
    <w:p>
      <w:pPr>
        <w:ind w:left="6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October 13, 2021, the Issuer and a subsidiary entered into an agreement pursuant to which such subsidiary agreed to sell its 50% ownership interest in ILDISP, LLC in exchange for a combination of cash and stock. Closing of the sale is subject to customary conditions, contingencies and approvals, including regulatory approval.</w:t>
      </w:r>
    </w:p>
    <w:p>
      <w:pPr>
        <w:spacing w:after="0" w:line="179" w:lineRule="exact"/>
        <w:rPr>
          <w:rFonts w:ascii="Arial" w:cs="Arial" w:eastAsia="Arial" w:hAnsi="Arial"/>
          <w:sz w:val="18"/>
          <w:szCs w:val="18"/>
          <w:b w:val="1"/>
          <w:bCs w:val="1"/>
          <w:color w:val="auto"/>
        </w:rPr>
      </w:pPr>
    </w:p>
    <w:p>
      <w:pPr>
        <w:ind w:left="660" w:hanging="328"/>
        <w:spacing w:after="0"/>
        <w:tabs>
          <w:tab w:leader="none" w:pos="66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Financing</w:t>
      </w:r>
    </w:p>
    <w:p>
      <w:pPr>
        <w:spacing w:after="0" w:line="229"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October 20, 2021, Verano Holdings entered into an amendment to its existing credit agreement for additional funding of US$120,000,000 with an 18-month maturity. The amendment brings the total outstanding senior secured term loans under the credit facility to US$250,000,000. The incremental credit provides non-dilutive funding of $120,000,000 at an annual interest rate of 8.50%, with an option for an additional US$100,000,000 term loan at the same non-dilutive rate.</w:t>
      </w:r>
    </w:p>
    <w:p>
      <w:pPr>
        <w:spacing w:after="0" w:line="200" w:lineRule="exact"/>
        <w:rPr>
          <w:rFonts w:ascii="Arial" w:cs="Arial" w:eastAsia="Arial" w:hAnsi="Arial"/>
          <w:sz w:val="18"/>
          <w:szCs w:val="18"/>
          <w:b w:val="1"/>
          <w:bCs w:val="1"/>
          <w:color w:val="auto"/>
        </w:rPr>
      </w:pPr>
    </w:p>
    <w:p>
      <w:pPr>
        <w:spacing w:after="0" w:line="202" w:lineRule="exact"/>
        <w:rPr>
          <w:rFonts w:ascii="Arial" w:cs="Arial" w:eastAsia="Arial" w:hAnsi="Arial"/>
          <w:sz w:val="18"/>
          <w:szCs w:val="18"/>
          <w:b w:val="1"/>
          <w:bCs w:val="1"/>
          <w:color w:val="auto"/>
        </w:rPr>
      </w:pPr>
    </w:p>
    <w:p>
      <w:pPr>
        <w:ind w:left="5540" w:hanging="111"/>
        <w:spacing w:after="0"/>
        <w:tabs>
          <w:tab w:leader="none" w:pos="55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-6593840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4">
    <w:nsid w:val="684A481A"/>
    <w:multiLevelType w:val="hybridMultilevel"/>
    <w:lvl w:ilvl="0">
      <w:lvlJc w:val="left"/>
      <w:lvlText w:val="%1."/>
      <w:numFmt w:val="decimal"/>
      <w:start w:val="2"/>
    </w:lvl>
  </w:abstractNum>
  <w:abstractNum w:abstractNumId="5">
    <w:nsid w:val="579478FE"/>
    <w:multiLevelType w:val="hybridMultilevel"/>
    <w:lvl w:ilvl="0">
      <w:lvlJc w:val="left"/>
      <w:lvlText w:val="%1."/>
      <w:numFmt w:val="decimal"/>
      <w:start w:val="2"/>
    </w:lvl>
    <w:lvl w:ilvl="1">
      <w:lvlJc w:val="left"/>
      <w:lvlText w:val="(%2)"/>
      <w:numFmt w:val="lowerLetter"/>
      <w:start w:val="4"/>
    </w:lvl>
  </w:abstractNum>
  <w:abstractNum w:abstractNumId="6">
    <w:nsid w:val="749ABB43"/>
    <w:multiLevelType w:val="hybridMultilevel"/>
    <w:lvl w:ilvl="0">
      <w:lvlJc w:val="left"/>
      <w:lvlText w:val="1"/>
      <w:numFmt w:val="bullet"/>
      <w:start w:val="1"/>
    </w:lvl>
    <w:lvl w:ilvl="1">
      <w:lvlJc w:val="left"/>
      <w:lvlText w:val="-"/>
      <w:numFmt w:val="bullet"/>
      <w:start w:val="1"/>
    </w:lvl>
  </w:abstractNum>
  <w:abstractNum w:abstractNumId="7">
    <w:nsid w:val="3DC240FB"/>
    <w:multiLevelType w:val="hybridMultilevel"/>
    <w:lvl w:ilvl="0">
      <w:lvlJc w:val="left"/>
      <w:lvlText w:val="%1."/>
      <w:numFmt w:val="decimal"/>
      <w:start w:val="2"/>
    </w:lvl>
  </w:abstractNum>
  <w:abstractNum w:abstractNumId="8">
    <w:nsid w:val="1BA026FA"/>
    <w:multiLevelType w:val="hybridMultilevel"/>
    <w:lvl w:ilvl="0">
      <w:lvlJc w:val="left"/>
      <w:lvlText w:val="(%1)"/>
      <w:numFmt w:val="lowerLetter"/>
      <w:start w:val="4"/>
    </w:lvl>
  </w:abstractNum>
  <w:abstractNum w:abstractNumId="9">
    <w:nsid w:val="79A1DEAA"/>
    <w:multiLevelType w:val="hybridMultilevel"/>
    <w:lvl w:ilvl="0">
      <w:lvlJc w:val="left"/>
      <w:lvlText w:val="%1."/>
      <w:numFmt w:val="decimal"/>
      <w:start w:val="2"/>
    </w:lvl>
    <w:lvl w:ilvl="1">
      <w:lvlJc w:val="left"/>
      <w:lvlText w:val="(%2)"/>
      <w:numFmt w:val="lowerLetter"/>
      <w:start w:val="4"/>
    </w:lvl>
  </w:abstractNum>
  <w:abstractNum w:abstractNumId="10">
    <w:nsid w:val="75C6C33A"/>
    <w:multiLevelType w:val="hybridMultilevel"/>
    <w:lvl w:ilvl="0">
      <w:lvlJc w:val="left"/>
      <w:lvlText w:val="(%1)"/>
      <w:numFmt w:val="lowerLetter"/>
      <w:start w:val="5"/>
    </w:lvl>
    <w:lvl w:ilvl="1">
      <w:lvlJc w:val="left"/>
      <w:lvlText w:val="-"/>
      <w:numFmt w:val="bullet"/>
      <w:start w:val="1"/>
    </w:lvl>
  </w:abstractNum>
  <w:abstractNum w:abstractNumId="11">
    <w:nsid w:val="12E685FB"/>
    <w:multiLevelType w:val="hybridMultilevel"/>
    <w:lvl w:ilvl="0">
      <w:lvlJc w:val="left"/>
      <w:lvlText w:val="%1."/>
      <w:numFmt w:val="decimal"/>
      <w:start w:val="2"/>
    </w:lvl>
    <w:lvl w:ilvl="1">
      <w:lvlJc w:val="left"/>
      <w:lvlText w:val="(%2)"/>
      <w:numFmt w:val="lowerLetter"/>
      <w:start w:val="8"/>
    </w:lvl>
  </w:abstractNum>
  <w:abstractNum w:abstractNumId="12">
    <w:nsid w:val="70C6A529"/>
    <w:multiLevelType w:val="hybridMultilevel"/>
    <w:lvl w:ilvl="0">
      <w:lvlJc w:val="left"/>
      <w:lvlText w:val="%1."/>
      <w:numFmt w:val="decimal"/>
      <w:start w:val="2"/>
    </w:lvl>
    <w:lvl w:ilvl="1">
      <w:lvlJc w:val="left"/>
      <w:lvlText w:val="(%2)"/>
      <w:numFmt w:val="lowerLetter"/>
      <w:start w:val="10"/>
    </w:lvl>
    <w:lvl w:ilvl="2">
      <w:lvlJc w:val="left"/>
      <w:lvlText w:val="-"/>
      <w:numFmt w:val="bullet"/>
      <w:start w:val="1"/>
    </w:lvl>
  </w:abstractNum>
  <w:abstractNum w:abstractNumId="13">
    <w:nsid w:val="520EEDD1"/>
    <w:multiLevelType w:val="hybridMultilevel"/>
    <w:lvl w:ilvl="0">
      <w:lvlJc w:val="left"/>
      <w:lvlText w:val="%1."/>
      <w:numFmt w:val="decimal"/>
      <w:start w:val="2"/>
    </w:lvl>
    <w:lvl w:ilvl="1">
      <w:lvlJc w:val="left"/>
      <w:lvlText w:val="(%2)"/>
      <w:numFmt w:val="lowerLetter"/>
      <w:start w:val="13"/>
    </w:lvl>
    <w:lvl w:ilvl="2">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1."/>
      <w:numFmt w:val="decimal"/>
      <w:start w:val="2"/>
    </w:lvl>
    <w:lvl w:ilvl="1">
      <w:lvlJc w:val="left"/>
      <w:lvlText w:val="(%2)"/>
      <w:numFmt w:val="lowerLetter"/>
      <w:start w:val="13"/>
    </w:lvl>
    <w:lvl w:ilvl="2">
      <w:lvlJc w:val="left"/>
      <w:lvlText w:val="●"/>
      <w:numFmt w:val="bullet"/>
      <w:start w:val="1"/>
    </w:lvl>
    <w:lvl w:ilvl="3">
      <w:lvlJc w:val="left"/>
      <w:lvlText w:val="-"/>
      <w:numFmt w:val="bullet"/>
      <w:start w:val="1"/>
    </w:lvl>
  </w:abstractNum>
  <w:abstractNum w:abstractNumId="17">
    <w:nsid w:val="649BB77C"/>
    <w:multiLevelType w:val="hybridMultilevel"/>
    <w:lvl w:ilvl="0">
      <w:lvlJc w:val="left"/>
      <w:lvlText w:val="%1."/>
      <w:numFmt w:val="decimal"/>
      <w:start w:val="2"/>
    </w:lvl>
    <w:lvl w:ilvl="1">
      <w:lvlJc w:val="left"/>
      <w:lvlText w:val="(%2)"/>
      <w:numFmt w:val="lowerLetter"/>
      <w:start w:val="15"/>
    </w:lvl>
    <w:lvl w:ilvl="2">
      <w:lvlJc w:val="left"/>
      <w:lvlText w:val="●"/>
      <w:numFmt w:val="bullet"/>
      <w:start w:val="1"/>
    </w:lvl>
    <w:lvl w:ilvl="3">
      <w:lvlJc w:val="left"/>
      <w:lvlText w:val="-"/>
      <w:numFmt w:val="bullet"/>
      <w:start w:val="1"/>
    </w:lvl>
  </w:abstractNum>
  <w:abstractNum w:abstractNumId="18">
    <w:nsid w:val="275AC794"/>
    <w:multiLevelType w:val="hybridMultilevel"/>
    <w:lvl w:ilvl="0">
      <w:lvlJc w:val="left"/>
      <w:lvlText w:val="%1."/>
      <w:numFmt w:val="decimal"/>
      <w:start w:val="2"/>
    </w:lvl>
    <w:lvl w:ilvl="1">
      <w:lvlJc w:val="left"/>
      <w:lvlText w:val="(%2)"/>
      <w:numFmt w:val="lowerLetter"/>
      <w:start w:val="16"/>
    </w:lvl>
    <w:lvl w:ilvl="2">
      <w:lvlJc w:val="left"/>
      <w:lvlText w:val="●"/>
      <w:numFmt w:val="bullet"/>
      <w:start w:val="1"/>
    </w:lvl>
  </w:abstractNum>
  <w:abstractNum w:abstractNumId="19">
    <w:nsid w:val="39386575"/>
    <w:multiLevelType w:val="hybridMultilevel"/>
    <w:lvl w:ilvl="0">
      <w:lvlJc w:val="left"/>
      <w:lvlText w:val="%1."/>
      <w:numFmt w:val="decimal"/>
      <w:start w:val="2"/>
    </w:lvl>
    <w:lvl w:ilvl="1">
      <w:lvlJc w:val="left"/>
      <w:lvlText w:val="(%2)"/>
      <w:numFmt w:val="lowerLetter"/>
      <w:start w:val="16"/>
    </w:lvl>
    <w:lvl w:ilvl="2">
      <w:lvlJc w:val="left"/>
      <w:lvlText w:val="-"/>
      <w:numFmt w:val="bullet"/>
      <w:start w:val="1"/>
    </w:lvl>
  </w:abstractNum>
  <w:abstractNum w:abstractNumId="20">
    <w:nsid w:val="1CF10FD8"/>
    <w:multiLevelType w:val="hybridMultilevel"/>
    <w:lvl w:ilvl="0">
      <w:lvlJc w:val="left"/>
      <w:lvlText w:val="%1."/>
      <w:numFmt w:val="decimal"/>
      <w:start w:val="2"/>
    </w:lvl>
    <w:lvl w:ilvl="1">
      <w:lvlJc w:val="left"/>
      <w:lvlText w:val="(%2)"/>
      <w:numFmt w:val="lowerLetter"/>
      <w:start w:val="18"/>
    </w:lvl>
    <w:lvl w:ilvl="2">
      <w:lvlJc w:val="left"/>
      <w:lvlText w:val="(%3)"/>
      <w:numFmt w:val="lowerRoman"/>
      <w:start w:val="1"/>
    </w:lvl>
    <w:lvl w:ilvl="3">
      <w:lvlJc w:val="left"/>
      <w:lvlText w:val="-"/>
      <w:numFmt w:val="bullet"/>
      <w:start w:val="1"/>
    </w:lvl>
  </w:abstractNum>
  <w:abstractNum w:abstractNumId="21">
    <w:nsid w:val="180115BE"/>
    <w:multiLevelType w:val="hybridMultilevel"/>
    <w:lvl w:ilvl="0">
      <w:lvlJc w:val="left"/>
      <w:lvlText w:val="%1."/>
      <w:numFmt w:val="decimal"/>
      <w:start w:val="2"/>
    </w:lvl>
    <w:lvl w:ilvl="1">
      <w:lvlJc w:val="left"/>
      <w:lvlText w:val="(%2)"/>
      <w:numFmt w:val="lowerLetter"/>
      <w:start w:val="21"/>
    </w:lvl>
    <w:lvl w:ilvl="2">
      <w:lvlJc w:val="left"/>
      <w:lvlText w:val="(%3)"/>
      <w:numFmt w:val="lowerRoman"/>
      <w:start w:val="3"/>
    </w:lvl>
    <w:lvl w:ilvl="3">
      <w:lvlJc w:val="left"/>
      <w:lvlText w:val="-"/>
      <w:numFmt w:val="bullet"/>
      <w:start w:val="1"/>
    </w:lvl>
  </w:abstractNum>
  <w:abstractNum w:abstractNumId="22">
    <w:nsid w:val="235BA861"/>
    <w:multiLevelType w:val="hybridMultilevel"/>
    <w:lvl w:ilvl="0">
      <w:lvlJc w:val="left"/>
      <w:lvlText w:val="%1."/>
      <w:numFmt w:val="decimal"/>
      <w:start w:val="2"/>
    </w:lvl>
    <w:lvl w:ilvl="1">
      <w:lvlJc w:val="left"/>
      <w:lvlText w:val="(%2)"/>
      <w:numFmt w:val="lowerLetter"/>
      <w:start w:val="21"/>
    </w:lvl>
    <w:lvl w:ilvl="2">
      <w:lvlJc w:val="left"/>
      <w:lvlText w:val="(%3)"/>
      <w:numFmt w:val="lowerRoman"/>
      <w:start w:val="6"/>
    </w:lvl>
    <w:lvl w:ilvl="3">
      <w:lvlJc w:val="left"/>
      <w:lvlText w:val="-"/>
      <w:numFmt w:val="bullet"/>
      <w:start w:val="1"/>
    </w:lvl>
  </w:abstractNum>
  <w:abstractNum w:abstractNumId="23">
    <w:nsid w:val="47398C89"/>
    <w:multiLevelType w:val="hybridMultilevel"/>
    <w:lvl w:ilvl="0">
      <w:lvlJc w:val="left"/>
      <w:lvlText w:val="%1."/>
      <w:numFmt w:val="decimal"/>
      <w:start w:val="2"/>
    </w:lvl>
    <w:lvl w:ilvl="1">
      <w:lvlJc w:val="left"/>
      <w:lvlText w:val="(%2)"/>
      <w:numFmt w:val="lowerLetter"/>
      <w:start w:val="21"/>
    </w:lvl>
    <w:lvl w:ilvl="2">
      <w:lvlJc w:val="left"/>
      <w:lvlText w:val="(%3)"/>
      <w:numFmt w:val="lowerRoman"/>
      <w:start w:val="11"/>
    </w:lvl>
  </w:abstractNum>
  <w:abstractNum w:abstractNumId="24">
    <w:nsid w:val="354FE9F9"/>
    <w:multiLevelType w:val="hybridMultilevel"/>
    <w:lvl w:ilvl="0">
      <w:lvlJc w:val="left"/>
      <w:lvlText w:val="(%1)"/>
      <w:numFmt w:val="lowerRoman"/>
      <w:start w:val="12"/>
    </w:lvl>
    <w:lvl w:ilvl="1">
      <w:lvlJc w:val="left"/>
      <w:lvlText w:val="-"/>
      <w:numFmt w:val="bullet"/>
      <w:start w:val="1"/>
    </w:lvl>
  </w:abstractNum>
  <w:abstractNum w:abstractNumId="25">
    <w:nsid w:val="15B5AF5C"/>
    <w:multiLevelType w:val="hybridMultilevel"/>
    <w:lvl w:ilvl="0">
      <w:lvlJc w:val="left"/>
      <w:lvlText w:val="%1."/>
      <w:numFmt w:val="decimal"/>
      <w:start w:val="2"/>
    </w:lvl>
    <w:lvl w:ilvl="1">
      <w:lvlJc w:val="left"/>
      <w:lvlText w:val="(%2)"/>
      <w:numFmt w:val="lowerLetter"/>
      <w:start w:val="21"/>
    </w:lvl>
  </w:abstractNum>
  <w:abstractNum w:abstractNumId="26">
    <w:nsid w:val="741226BB"/>
    <w:multiLevelType w:val="hybridMultilevel"/>
    <w:lvl w:ilvl="0">
      <w:lvlJc w:val="left"/>
      <w:lvlText w:val="(%1)"/>
      <w:numFmt w:val="lowerRoman"/>
      <w:start w:val="5"/>
    </w:lvl>
  </w:abstractNum>
  <w:abstractNum w:abstractNumId="27">
    <w:nsid w:val="D34B6A8"/>
    <w:multiLevelType w:val="hybridMultilevel"/>
    <w:lvl w:ilvl="0">
      <w:lvlJc w:val="left"/>
      <w:lvlText w:val="(%1)"/>
      <w:numFmt w:val="lowerRoman"/>
      <w:start w:val="1"/>
    </w:lvl>
  </w:abstractNum>
  <w:abstractNum w:abstractNumId="28">
    <w:nsid w:val="10233C99"/>
    <w:multiLevelType w:val="hybridMultilevel"/>
    <w:lvl w:ilvl="0">
      <w:lvlJc w:val="left"/>
      <w:lvlText w:val="(%1)"/>
      <w:numFmt w:val="lowerRoman"/>
      <w:start w:val="2"/>
    </w:lvl>
  </w:abstractNum>
  <w:abstractNum w:abstractNumId="29">
    <w:nsid w:val="3F6AB60F"/>
    <w:multiLevelType w:val="hybridMultilevel"/>
    <w:lvl w:ilvl="0">
      <w:lvlJc w:val="left"/>
      <w:lvlText w:val="%1."/>
      <w:numFmt w:val="decimal"/>
      <w:start w:val="2"/>
    </w:lvl>
    <w:lvl w:ilvl="1">
      <w:lvlJc w:val="left"/>
      <w:lvlText w:val="(%2)"/>
      <w:numFmt w:val="lowerRoman"/>
      <w:start w:val="5"/>
    </w:lvl>
  </w:abstractNum>
  <w:abstractNum w:abstractNumId="30">
    <w:nsid w:val="61574095"/>
    <w:multiLevelType w:val="hybridMultilevel"/>
    <w:lvl w:ilvl="0">
      <w:lvlJc w:val="left"/>
      <w:lvlText w:val="(%1)"/>
      <w:numFmt w:val="lowerRoman"/>
      <w:start w:val="4"/>
    </w:lvl>
  </w:abstractNum>
  <w:abstractNum w:abstractNumId="31">
    <w:nsid w:val="7E0C57B1"/>
    <w:multiLevelType w:val="hybridMultilevel"/>
    <w:lvl w:ilvl="0">
      <w:lvlJc w:val="left"/>
      <w:lvlText w:val="%1"/>
      <w:numFmt w:val="decimal"/>
      <w:start w:val="1"/>
    </w:lvl>
    <w:lvl w:ilvl="1">
      <w:lvlJc w:val="left"/>
      <w:lvlText w:val="(%2)"/>
      <w:numFmt w:val="lowerLetter"/>
      <w:start w:val="23"/>
    </w:lvl>
  </w:abstractNum>
  <w:abstractNum w:abstractNumId="32">
    <w:nsid w:val="77AE35EB"/>
    <w:multiLevelType w:val="hybridMultilevel"/>
    <w:lvl w:ilvl="0">
      <w:lvlJc w:val="left"/>
      <w:lvlText w:val="%1."/>
      <w:numFmt w:val="decimal"/>
      <w:start w:val="3"/>
    </w:lvl>
    <w:lvl w:ilvl="1">
      <w:lvlJc w:val="left"/>
      <w:lvlText w:val="%2"/>
      <w:numFmt w:val="lowerLetter"/>
      <w:start w:val="1"/>
    </w:lvl>
  </w:abstractNum>
  <w:abstractNum w:abstractNumId="33">
    <w:nsid w:val="579BE4F1"/>
    <w:multiLevelType w:val="hybridMultilevel"/>
    <w:lvl w:ilvl="0">
      <w:lvlJc w:val="left"/>
      <w:lvlText w:val="%1."/>
      <w:numFmt w:val="decimal"/>
      <w:start w:val="3"/>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1."/>
      <w:numFmt w:val="decimal"/>
      <w:start w:val="6"/>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1."/>
      <w:numFmt w:val="decimal"/>
      <w:start w:val="7"/>
    </w:lvl>
  </w:abstractNum>
  <w:abstractNum w:abstractNumId="39">
    <w:nsid w:val="4AD084E9"/>
    <w:multiLevelType w:val="hybridMultilevel"/>
    <w:lvl w:ilvl="0">
      <w:lvlJc w:val="left"/>
      <w:lvlText w:val="%1."/>
      <w:numFmt w:val="decimal"/>
      <w:start w:val="8"/>
    </w:lvl>
  </w:abstractNum>
  <w:abstractNum w:abstractNumId="40">
    <w:nsid w:val="1F48EAA1"/>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41">
    <w:nsid w:val="1381823A"/>
    <w:multiLevelType w:val="hybridMultilevel"/>
    <w:lvl w:ilvl="0">
      <w:lvlJc w:val="left"/>
      <w:lvlText w:val="%1."/>
      <w:numFmt w:val="decimal"/>
      <w:start w:val="9"/>
    </w:lvl>
    <w:lvl w:ilvl="1">
      <w:lvlJc w:val="left"/>
      <w:lvlText w:val="(%2)"/>
      <w:numFmt w:val="lowerLetter"/>
      <w:start w:val="1"/>
    </w:lvl>
  </w:abstractNum>
  <w:abstractNum w:abstractNumId="42">
    <w:nsid w:val="5DB70AE5"/>
    <w:multiLevelType w:val="hybridMultilevel"/>
    <w:lvl w:ilvl="0">
      <w:lvlJc w:val="left"/>
      <w:lvlText w:val="%1."/>
      <w:numFmt w:val="decimal"/>
      <w:start w:val="9"/>
    </w:lvl>
    <w:lvl w:ilvl="1">
      <w:lvlJc w:val="left"/>
      <w:lvlText w:val="(%2)"/>
      <w:numFmt w:val="lowerLetter"/>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lowerLetter"/>
      <w:start w:val="2"/>
    </w:lvl>
    <w:lvl w:ilvl="1">
      <w:lvlJc w:val="left"/>
      <w:lvlText w:val="-"/>
      <w:numFmt w:val="bullet"/>
      <w:start w:val="1"/>
    </w:lvl>
  </w:abstractNum>
  <w:abstractNum w:abstractNumId="45">
    <w:nsid w:val="15014ACB"/>
    <w:multiLevelType w:val="hybridMultilevel"/>
    <w:lvl w:ilvl="0">
      <w:lvlJc w:val="left"/>
      <w:lvlText w:val="%1."/>
      <w:numFmt w:val="decimal"/>
      <w:start w:val="9"/>
    </w:lvl>
    <w:lvl w:ilvl="1">
      <w:lvlJc w:val="left"/>
      <w:lvlText w:val="(%2)"/>
      <w:numFmt w:val="lowerLetter"/>
      <w:start w:val="2"/>
    </w:lvl>
  </w:abstractNum>
  <w:abstractNum w:abstractNumId="46">
    <w:nsid w:val="5F5E7FD0"/>
    <w:multiLevelType w:val="hybridMultilevel"/>
    <w:lvl w:ilvl="0">
      <w:lvlJc w:val="left"/>
      <w:lvlText w:val="(%1)"/>
      <w:numFmt w:val="lowerLetter"/>
      <w:start w:val="1"/>
    </w:lvl>
  </w:abstractNum>
  <w:abstractNum w:abstractNumId="47">
    <w:nsid w:val="98A3148"/>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48">
    <w:nsid w:val="799D0247"/>
    <w:multiLevelType w:val="hybridMultilevel"/>
    <w:lvl w:ilvl="0">
      <w:lvlJc w:val="left"/>
      <w:lvlText w:val="%1."/>
      <w:numFmt w:val="decimal"/>
      <w:start w:val="13"/>
    </w:lvl>
    <w:lvl w:ilvl="1">
      <w:lvlJc w:val="left"/>
      <w:lvlText w:val="(%2)"/>
      <w:numFmt w:val="lowerLetter"/>
      <w:start w:val="2"/>
    </w:lvl>
  </w:abstractNum>
  <w:abstractNum w:abstractNumId="49">
    <w:nsid w:val="6B94764"/>
    <w:multiLevelType w:val="hybridMultilevel"/>
    <w:lvl w:ilvl="0">
      <w:lvlJc w:val="left"/>
      <w:lvlText w:val="%1."/>
      <w:numFmt w:val="decimal"/>
      <w:start w:val="16"/>
    </w:lvl>
    <w:lvl w:ilvl="1">
      <w:lvlJc w:val="left"/>
      <w:lvlText w:val="(%2)"/>
      <w:numFmt w:val="lowerLetter"/>
      <w:start w:val="1"/>
    </w:lvl>
  </w:abstractNum>
  <w:abstractNum w:abstractNumId="50">
    <w:nsid w:val="42C296BD"/>
    <w:multiLevelType w:val="hybridMultilevel"/>
    <w:lvl w:ilvl="0">
      <w:lvlJc w:val="left"/>
      <w:lvlText w:val="%1."/>
      <w:numFmt w:val="decimal"/>
      <w:start w:val="16"/>
    </w:lvl>
    <w:lvl w:ilvl="1">
      <w:lvlJc w:val="left"/>
      <w:lvlText w:val="(%2)"/>
      <w:numFmt w:val="lowerLetter"/>
      <w:start w:val="2"/>
    </w:lvl>
  </w:abstractNum>
  <w:abstractNum w:abstractNumId="51">
    <w:nsid w:val="168E121F"/>
    <w:multiLevelType w:val="hybridMultilevel"/>
    <w:lvl w:ilvl="0">
      <w:lvlJc w:val="left"/>
      <w:lvlText w:val="%1"/>
      <w:numFmt w:val="decimal"/>
      <w:start w:val="1"/>
    </w:lvl>
    <w:lvl w:ilvl="1">
      <w:lvlJc w:val="left"/>
      <w:lvlText w:val="(%2)"/>
      <w:numFmt w:val="lowerLetter"/>
      <w:start w:val="1"/>
    </w:lvl>
  </w:abstractNum>
  <w:abstractNum w:abstractNumId="52">
    <w:nsid w:val="1EBA5D23"/>
    <w:multiLevelType w:val="hybridMultilevel"/>
    <w:lvl w:ilvl="0">
      <w:lvlJc w:val="left"/>
      <w:lvlText w:val="%1."/>
      <w:numFmt w:val="decimal"/>
      <w:start w:val="18"/>
    </w:lvl>
    <w:lvl w:ilvl="1">
      <w:lvlJc w:val="left"/>
      <w:lvlText w:val="%2"/>
      <w:numFmt w:val="lowerLetter"/>
      <w:start w:val="1"/>
    </w:lvl>
  </w:abstractNum>
  <w:abstractNum w:abstractNumId="53">
    <w:nsid w:val="661E3F1E"/>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4">
    <w:nsid w:val="5DC79EA8"/>
    <w:multiLevelType w:val="hybridMultilevel"/>
    <w:lvl w:ilvl="0">
      <w:lvlJc w:val="left"/>
      <w:lvlText w:val="%1."/>
      <w:numFmt w:val="decimal"/>
      <w:start w:val="21"/>
    </w:lvl>
    <w:lvl w:ilvl="1">
      <w:lvlJc w:val="left"/>
      <w:lvlText w:val="(%2)"/>
      <w:numFmt w:val="lowerLetter"/>
      <w:start w:val="6"/>
    </w:lvl>
  </w:abstractNum>
  <w:abstractNum w:abstractNumId="55">
    <w:nsid w:val="540A471C"/>
    <w:multiLevelType w:val="hybridMultilevel"/>
    <w:lvl w:ilvl="0">
      <w:lvlJc w:val="left"/>
      <w:lvlText w:val="(%1)"/>
      <w:numFmt w:val="lowerLetter"/>
      <w:start w:val="1"/>
    </w:lvl>
    <w:lvl w:ilvl="1">
      <w:lvlJc w:val="left"/>
      <w:lvlText w:val="-"/>
      <w:numFmt w:val="bullet"/>
      <w:start w:val="1"/>
    </w:lvl>
  </w:abstractNum>
  <w:abstractNum w:abstractNumId="56">
    <w:nsid w:val="7BD3EE7B"/>
    <w:multiLevelType w:val="hybridMultilevel"/>
    <w:lvl w:ilvl="0">
      <w:lvlJc w:val="left"/>
      <w:lvlText w:val="%1."/>
      <w:numFmt w:val="decimal"/>
      <w:start w:val="19"/>
    </w:lvl>
    <w:lvl w:ilvl="1">
      <w:lvlJc w:val="left"/>
      <w:lvlText w:val="(%2)"/>
      <w:numFmt w:val="lowerLetter"/>
      <w:start w:val="2"/>
    </w:lvl>
    <w:lvl w:ilvl="2">
      <w:lvlJc w:val="left"/>
      <w:lvlText w:val="-"/>
      <w:numFmt w:val="bullet"/>
      <w:start w:val="1"/>
    </w:lvl>
  </w:abstractNum>
  <w:abstractNum w:abstractNumId="57">
    <w:nsid w:val="51D9C564"/>
    <w:multiLevelType w:val="hybridMultilevel"/>
    <w:lvl w:ilvl="0">
      <w:lvlJc w:val="left"/>
      <w:lvlText w:val="%1."/>
      <w:numFmt w:val="decimal"/>
      <w:start w:val="19"/>
    </w:lvl>
    <w:lvl w:ilvl="1">
      <w:lvlJc w:val="left"/>
      <w:lvlText w:val="(%2)"/>
      <w:numFmt w:val="lowerLetter"/>
      <w:start w:val="3"/>
    </w:lvl>
    <w:lvl w:ilvl="2">
      <w:lvlJc w:val="left"/>
      <w:lvlText w:val="-"/>
      <w:numFmt w:val="bullet"/>
      <w:start w:val="1"/>
    </w:lvl>
  </w:abstractNum>
  <w:abstractNum w:abstractNumId="58">
    <w:nsid w:val="613EFDC5"/>
    <w:multiLevelType w:val="hybridMultilevel"/>
    <w:lvl w:ilvl="0">
      <w:lvlJc w:val="left"/>
      <w:lvlText w:val="%1."/>
      <w:numFmt w:val="decimal"/>
      <w:start w:val="19"/>
    </w:lvl>
    <w:lvl w:ilvl="1">
      <w:lvlJc w:val="left"/>
      <w:lvlText w:val="(%2)"/>
      <w:numFmt w:val="lowerLetter"/>
      <w:start w:val="4"/>
    </w:lvl>
  </w:abstractNum>
  <w:abstractNum w:abstractNumId="59">
    <w:nsid w:val="BF72B14"/>
    <w:multiLevelType w:val="hybridMultilevel"/>
    <w:lvl w:ilvl="0">
      <w:lvlJc w:val="left"/>
      <w:lvlText w:val="(%1)"/>
      <w:numFmt w:val="lowerLetter"/>
      <w:start w:val="6"/>
    </w:lvl>
    <w:lvl w:ilvl="1">
      <w:lvlJc w:val="left"/>
      <w:lvlText w:val="-"/>
      <w:numFmt w:val="bullet"/>
      <w:start w:val="1"/>
    </w:lvl>
  </w:abstractNum>
  <w:abstractNum w:abstractNumId="60">
    <w:nsid w:val="11447B73"/>
    <w:multiLevelType w:val="hybridMultilevel"/>
    <w:lvl w:ilvl="0">
      <w:lvlJc w:val="left"/>
      <w:lvlText w:val="(%1)"/>
      <w:numFmt w:val="lowerLetter"/>
      <w:start w:val="1"/>
    </w:lvl>
    <w:lvl w:ilvl="1">
      <w:lvlJc w:val="left"/>
      <w:lvlText w:val="-"/>
      <w:numFmt w:val="bullet"/>
      <w:start w:val="1"/>
    </w:lvl>
  </w:abstractNum>
  <w:abstractNum w:abstractNumId="61">
    <w:nsid w:val="42963E5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62">
    <w:nsid w:val="A0382C5"/>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63">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64">
    <w:nsid w:val="1A32234B"/>
    <w:multiLevelType w:val="hybridMultilevel"/>
    <w:lvl w:ilvl="0">
      <w:lvlJc w:val="left"/>
      <w:lvlText w:val="●"/>
      <w:numFmt w:val="bullet"/>
      <w:start w:val="1"/>
    </w:lvl>
    <w:lvl w:ilvl="1">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1."/>
      <w:numFmt w:val="decimal"/>
      <w:start w:val="8"/>
    </w:lvl>
    <w:lvl w:ilvl="1">
      <w:lvlJc w:val="left"/>
      <w:lvlText w:val="(%2)"/>
      <w:numFmt w:val="lowerLetter"/>
      <w:start w:val="1"/>
    </w:lvl>
  </w:abstractNum>
  <w:abstractNum w:abstractNumId="68">
    <w:nsid w:val="60B6DF70"/>
    <w:multiLevelType w:val="hybridMultilevel"/>
    <w:lvl w:ilvl="0">
      <w:lvlJc w:val="left"/>
      <w:lvlText w:val="%1."/>
      <w:numFmt w:val="decimal"/>
      <w:start w:val="8"/>
    </w:lvl>
    <w:lvl w:ilvl="1">
      <w:lvlJc w:val="left"/>
      <w:lvlText w:val="(%2)"/>
      <w:numFmt w:val="lowerLetter"/>
      <w:start w:val="2"/>
    </w:lvl>
    <w:lvl w:ilvl="2">
      <w:lvlJc w:val="left"/>
      <w:lvlText w:val="-"/>
      <w:numFmt w:val="bullet"/>
      <w:start w:val="1"/>
    </w:lvl>
  </w:abstractNum>
  <w:abstractNum w:abstractNumId="69">
    <w:nsid w:val="6A5EE64"/>
    <w:multiLevelType w:val="hybridMultilevel"/>
    <w:lvl w:ilvl="0">
      <w:lvlJc w:val="left"/>
      <w:lvlText w:val="%1."/>
      <w:numFmt w:val="decimal"/>
      <w:start w:val="8"/>
    </w:lvl>
    <w:lvl w:ilvl="1">
      <w:lvlJc w:val="left"/>
      <w:lvlText w:val="(%2)"/>
      <w:numFmt w:val="lowerLetter"/>
      <w:start w:val="2"/>
    </w:lvl>
    <w:lvl w:ilvl="2">
      <w:lvlJc w:val="left"/>
      <w:lvlText w:val="-"/>
      <w:numFmt w:val="bullet"/>
      <w:start w:val="1"/>
    </w:lvl>
  </w:abstractNum>
  <w:abstractNum w:abstractNumId="70">
    <w:nsid w:val="14330624"/>
    <w:multiLevelType w:val="hybridMultilevel"/>
    <w:lvl w:ilvl="0">
      <w:lvlJc w:val="left"/>
      <w:lvlText w:val="%1."/>
      <w:numFmt w:val="decimal"/>
      <w:start w:val="8"/>
    </w:lvl>
    <w:lvl w:ilvl="1">
      <w:lvlJc w:val="left"/>
      <w:lvlText w:val="(%2)"/>
      <w:numFmt w:val="lowerLetter"/>
      <w:start w:val="2"/>
    </w:lvl>
  </w:abstractNum>
  <w:abstractNum w:abstractNumId="71">
    <w:nsid w:val="7FFFCA11"/>
    <w:multiLevelType w:val="hybridMultilevel"/>
    <w:lvl w:ilvl="0">
      <w:lvlJc w:val="left"/>
      <w:lvlText w:val="%1."/>
      <w:numFmt w:val="decimal"/>
      <w:start w:val="8"/>
    </w:lvl>
    <w:lvl w:ilvl="1">
      <w:lvlJc w:val="left"/>
      <w:lvlText w:val="(%2)"/>
      <w:numFmt w:val="lowerLetter"/>
      <w:start w:val="2"/>
    </w:lvl>
  </w:abstractNum>
  <w:abstractNum w:abstractNumId="72">
    <w:nsid w:val="1A27709E"/>
    <w:multiLevelType w:val="hybridMultilevel"/>
    <w:lvl w:ilvl="0">
      <w:lvlJc w:val="left"/>
      <w:lvlText w:val="%1."/>
      <w:numFmt w:val="decimal"/>
      <w:start w:val="8"/>
    </w:lvl>
    <w:lvl w:ilvl="1">
      <w:lvlJc w:val="left"/>
      <w:lvlText w:val="(%2)"/>
      <w:numFmt w:val="lowerLetter"/>
      <w:start w:val="2"/>
    </w:lvl>
    <w:lvl w:ilvl="2">
      <w:lvlJc w:val="left"/>
      <w:lvlText w:val="-"/>
      <w:numFmt w:val="bullet"/>
      <w:start w:val="1"/>
    </w:lvl>
  </w:abstractNum>
  <w:abstractNum w:abstractNumId="73">
    <w:nsid w:val="71EA1109"/>
    <w:multiLevelType w:val="hybridMultilevel"/>
    <w:lvl w:ilvl="0">
      <w:lvlJc w:val="left"/>
      <w:lvlText w:val="%1."/>
      <w:numFmt w:val="decimal"/>
      <w:start w:val="8"/>
    </w:lvl>
    <w:lvl w:ilvl="1">
      <w:lvlJc w:val="left"/>
      <w:lvlText w:val="(%2)"/>
      <w:numFmt w:val="lowerLetter"/>
      <w:start w:val="2"/>
    </w:lvl>
  </w:abstractNum>
  <w:abstractNum w:abstractNumId="74">
    <w:nsid w:val="100F59DC"/>
    <w:multiLevelType w:val="hybridMultilevel"/>
    <w:lvl w:ilvl="0">
      <w:lvlJc w:val="left"/>
      <w:lvlText w:val="(%1)"/>
      <w:numFmt w:val="lowerLetter"/>
      <w:start w:val="3"/>
    </w:lvl>
    <w:lvl w:ilvl="1">
      <w:lvlJc w:val="left"/>
      <w:lvlText w:val="-"/>
      <w:numFmt w:val="bullet"/>
      <w:start w:val="1"/>
    </w:lvl>
  </w:abstractNum>
  <w:abstractNum w:abstractNumId="75">
    <w:nsid w:val="7FB7E0AA"/>
    <w:multiLevelType w:val="hybridMultilevel"/>
    <w:lvl w:ilvl="0">
      <w:lvlJc w:val="left"/>
      <w:lvlText w:val="%1."/>
      <w:numFmt w:val="decimal"/>
      <w:start w:val="8"/>
    </w:lvl>
    <w:lvl w:ilvl="1">
      <w:lvlJc w:val="left"/>
      <w:lvlText w:val="(%2)"/>
      <w:numFmt w:val="lowerLetter"/>
      <w:start w:val="3"/>
    </w:lvl>
    <w:lvl w:ilvl="2">
      <w:lvlJc w:val="left"/>
      <w:lvlText w:val="-"/>
      <w:numFmt w:val="bullet"/>
      <w:start w:val="1"/>
    </w:lvl>
  </w:abstractNum>
  <w:abstractNum w:abstractNumId="76">
    <w:nsid w:val="6EB5BD4"/>
    <w:multiLevelType w:val="hybridMultilevel"/>
    <w:lvl w:ilvl="0">
      <w:lvlJc w:val="left"/>
      <w:lvlText w:val="%1."/>
      <w:numFmt w:val="decimal"/>
      <w:start w:val="8"/>
    </w:lvl>
    <w:lvl w:ilvl="1">
      <w:lvlJc w:val="left"/>
      <w:lvlText w:val="(%2)"/>
      <w:numFmt w:val="lowerLetter"/>
      <w:start w:val="3"/>
    </w:lvl>
  </w:abstractNum>
  <w:abstractNum w:abstractNumId="77">
    <w:nsid w:val="6F6DD9AC"/>
    <w:multiLevelType w:val="hybridMultilevel"/>
    <w:lvl w:ilvl="0">
      <w:lvlJc w:val="left"/>
      <w:lvlText w:val="(%1)"/>
      <w:numFmt w:val="lowerLetter"/>
      <w:start w:val="1"/>
    </w:lvl>
    <w:lvl w:ilvl="1">
      <w:lvlJc w:val="left"/>
      <w:lvlText w:val="·"/>
      <w:numFmt w:val="bullet"/>
      <w:start w:val="1"/>
    </w:lvl>
  </w:abstractNum>
  <w:abstractNum w:abstractNumId="78">
    <w:nsid w:val="94211F2"/>
    <w:multiLevelType w:val="hybridMultilevel"/>
    <w:lvl w:ilvl="0">
      <w:lvlJc w:val="left"/>
      <w:lvlText w:val="(%1)"/>
      <w:numFmt w:val="lowerRoman"/>
      <w:start w:val="4"/>
    </w:lvl>
    <w:lvl w:ilvl="1">
      <w:lvlJc w:val="left"/>
      <w:lvlText w:val="·"/>
      <w:numFmt w:val="bullet"/>
      <w:start w:val="1"/>
    </w:lvl>
    <w:lvl w:ilvl="2">
      <w:lvlJc w:val="left"/>
      <w:lvlText w:val="-"/>
      <w:numFmt w:val="bullet"/>
      <w:start w:val="1"/>
    </w:lvl>
  </w:abstractNum>
  <w:abstractNum w:abstractNumId="79">
    <w:nsid w:val="885E1B"/>
    <w:multiLevelType w:val="hybridMultilevel"/>
    <w:lvl w:ilvl="0">
      <w:lvlJc w:val="left"/>
      <w:lvlText w:val="%1."/>
      <w:numFmt w:val="decimal"/>
      <w:start w:val="10"/>
    </w:lvl>
    <w:lvl w:ilvl="1">
      <w:lvlJc w:val="left"/>
      <w:lvlText w:val="·"/>
      <w:numFmt w:val="bullet"/>
      <w:start w:val="1"/>
    </w:lvl>
  </w:abstractNum>
  <w:abstractNum w:abstractNumId="80">
    <w:nsid w:val="76272110"/>
    <w:multiLevelType w:val="hybridMultilevel"/>
    <w:lvl w:ilvl="0">
      <w:lvlJc w:val="left"/>
      <w:lvlText w:val="%1"/>
      <w:numFmt w:val="decimal"/>
      <w:start w:val="1"/>
    </w:lvl>
    <w:lvl w:ilvl="1">
      <w:lvlJc w:val="left"/>
      <w:lvlText w:val="(%2)"/>
      <w:numFmt w:val="lowerLetter"/>
      <w:start w:val="2"/>
    </w:lvl>
  </w:abstractNum>
  <w:abstractNum w:abstractNumId="81">
    <w:nsid w:val="4C04A8AF"/>
    <w:multiLevelType w:val="hybridMultilevel"/>
    <w:lvl w:ilvl="0">
      <w:lvlJc w:val="left"/>
      <w:lvlText w:val="%1."/>
      <w:numFmt w:val="decimal"/>
      <w:start w:val="11"/>
    </w:lvl>
    <w:lvl w:ilvl="1">
      <w:lvlJc w:val="left"/>
      <w:lvlText w:val="%2"/>
      <w:numFmt w:val="lowerLetter"/>
      <w:start w:val="1"/>
    </w:lvl>
  </w:abstractNum>
  <w:abstractNum w:abstractNumId="82">
    <w:nsid w:val="1716703B"/>
    <w:multiLevelType w:val="hybridMultilevel"/>
    <w:lvl w:ilvl="0">
      <w:lvlJc w:val="left"/>
      <w:lvlText w:val="(%1)"/>
      <w:numFmt w:val="lowerLetter"/>
      <w:start w:val="1"/>
    </w:lvl>
    <w:lvl w:ilvl="1">
      <w:lvlJc w:val="left"/>
      <w:lvlText w:val="(%2)"/>
      <w:numFmt w:val="lowerLetter"/>
      <w:start w:val="9"/>
    </w:lvl>
  </w:abstractNum>
  <w:abstractNum w:abstractNumId="83">
    <w:nsid w:val="14E17E33"/>
    <w:multiLevelType w:val="hybridMultilevel"/>
    <w:lvl w:ilvl="0">
      <w:lvlJc w:val="left"/>
      <w:lvlText w:val="(%1)"/>
      <w:numFmt w:val="lowerLetter"/>
      <w:start w:val="2"/>
    </w:lvl>
    <w:lvl w:ilvl="1">
      <w:lvlJc w:val="left"/>
      <w:lvlText w:val="-"/>
      <w:numFmt w:val="bullet"/>
      <w:start w:val="1"/>
    </w:lvl>
  </w:abstractNum>
  <w:abstractNum w:abstractNumId="84">
    <w:nsid w:val="3222E7CD"/>
    <w:multiLevelType w:val="hybridMultilevel"/>
    <w:lvl w:ilvl="0">
      <w:lvlJc w:val="left"/>
      <w:lvlText w:val="%1."/>
      <w:numFmt w:val="decimal"/>
      <w:start w:val="12"/>
    </w:lvl>
    <w:lvl w:ilvl="1">
      <w:lvlJc w:val="left"/>
      <w:lvlText w:val="(%2)"/>
      <w:numFmt w:val="lowerLetter"/>
      <w:start w:val="2"/>
    </w:lvl>
    <w:lvl w:ilvl="2">
      <w:lvlJc w:val="left"/>
      <w:lvlText w:val="-"/>
      <w:numFmt w:val="bullet"/>
      <w:start w:val="1"/>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abstractNum w:abstractNumId="87">
    <w:nsid w:val="2DF6D64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8">
    <w:nsid w:val="46B7D447"/>
    <w:multiLevelType w:val="hybridMultilevel"/>
    <w:lvl w:ilvl="0">
      <w:lvlJc w:val="left"/>
      <w:lvlText w:val="%1."/>
      <w:numFmt w:val="decimal"/>
      <w:start w:val="18"/>
    </w:lvl>
    <w:lvl w:ilvl="1">
      <w:lvlJc w:val="left"/>
      <w:lvlText w:val="(%2)"/>
      <w:numFmt w:val="lowerLetter"/>
      <w:start w:val="1"/>
    </w:lvl>
  </w:abstractNum>
  <w:abstractNum w:abstractNumId="89">
    <w:nsid w:val="4A2AC31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0">
    <w:nsid w:val="39EE015C"/>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91">
    <w:nsid w:val="57FC4FBB"/>
    <w:multiLevelType w:val="hybridMultilevel"/>
    <w:lvl w:ilvl="0">
      <w:lvlJc w:val="left"/>
      <w:lvlText w:val="%1."/>
      <w:numFmt w:val="decimal"/>
      <w:start w:val="21"/>
    </w:lvl>
    <w:lvl w:ilvl="1">
      <w:lvlJc w:val="left"/>
      <w:lvlText w:val="(%2)"/>
      <w:numFmt w:val="lowerLetter"/>
      <w:start w:val="3"/>
    </w:lvl>
    <w:lvl w:ilvl="2">
      <w:lvlJc w:val="left"/>
      <w:lvlText w:val="(%3)"/>
      <w:numFmt w:val="lowerLetter"/>
      <w:start w:val="3"/>
    </w:lvl>
    <w:lvl w:ilvl="3">
      <w:lvlJc w:val="left"/>
      <w:lvlText w:val="(%4)"/>
      <w:numFmt w:val="lowerRoman"/>
      <w:start w:val="1"/>
    </w:lvl>
    <w:lvl w:ilvl="4">
      <w:lvlJc w:val="left"/>
      <w:lvlText w:val="(%5)"/>
      <w:numFmt w:val="lowerLetter"/>
      <w:start w:val="35"/>
    </w:lvl>
    <w:lvl w:ilvl="5">
      <w:lvlJc w:val="left"/>
      <w:lvlText w:val="-"/>
      <w:numFmt w:val="bullet"/>
      <w:start w:val="1"/>
    </w:lvl>
  </w:abstractNum>
  <w:abstractNum w:abstractNumId="92">
    <w:nsid w:val="CC1016F"/>
    <w:multiLevelType w:val="hybridMultilevel"/>
    <w:lvl w:ilvl="0">
      <w:lvlJc w:val="left"/>
      <w:lvlText w:val="%1."/>
      <w:numFmt w:val="decimal"/>
      <w:start w:val="22"/>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2022-03-02T12:50:57Z</dcterms:created>
  <dcterms:modified xsi:type="dcterms:W3CDTF">2022-03-02T12:50:57Z</dcterms:modified>
</cp:coreProperties>
</file>