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660" w:right="940" w:hanging="2712"/>
        <w:spacing w:after="0" w:line="486" w:lineRule="auto"/>
        <w:tabs>
          <w:tab w:leader="none" w:pos="11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5" w:lineRule="exact"/>
        <w:rPr>
          <w:rFonts w:ascii="MS PGothic" w:cs="MS PGothic" w:eastAsia="MS PGothic" w:hAnsi="MS PGothic"/>
          <w:sz w:val="18"/>
          <w:szCs w:val="18"/>
          <w:color w:val="auto"/>
        </w:rPr>
      </w:pPr>
    </w:p>
    <w:p>
      <w:pPr>
        <w:jc w:val="center"/>
        <w:ind w:left="3420" w:right="940" w:hanging="2479"/>
        <w:spacing w:after="0" w:line="500" w:lineRule="auto"/>
        <w:tabs>
          <w:tab w:leader="none" w:pos="114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001-41123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b w:val="1"/>
                <w:bCs w:val="1"/>
                <w:color w:val="auto"/>
                <w:w w:val="98"/>
              </w:rPr>
              <w:t>86-3125132</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17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00" w:type="dxa"/>
            <w:vAlign w:val="bottom"/>
            <w:gridSpan w:val="3"/>
          </w:tcPr>
          <w:p>
            <w:pPr>
              <w:jc w:val="center"/>
              <w:ind w:right="20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64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8"/>
              </w:rPr>
              <w:t>420 North Wabash Avenue, Suite 500,</w:t>
            </w:r>
          </w:p>
        </w:tc>
        <w:tc>
          <w:tcPr>
            <w:tcW w:w="3640" w:type="dxa"/>
            <w:vAlign w:val="bottom"/>
          </w:tcPr>
          <w:p>
            <w:pPr>
              <w:spacing w:after="0"/>
              <w:rPr>
                <w:sz w:val="24"/>
                <w:szCs w:val="24"/>
                <w:color w:val="auto"/>
              </w:rPr>
            </w:pPr>
          </w:p>
        </w:tc>
      </w:tr>
      <w:tr>
        <w:trPr>
          <w:trHeight w:val="220"/>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Chicago, IL 60611</w:t>
            </w:r>
          </w:p>
        </w:tc>
        <w:tc>
          <w:tcPr>
            <w:tcW w:w="3640" w:type="dxa"/>
            <w:vAlign w:val="bottom"/>
          </w:tcPr>
          <w:p>
            <w:pPr>
              <w:spacing w:after="0"/>
              <w:rPr>
                <w:sz w:val="19"/>
                <w:szCs w:val="19"/>
                <w:color w:val="auto"/>
              </w:rPr>
            </w:pPr>
          </w:p>
        </w:tc>
      </w:tr>
      <w:tr>
        <w:trPr>
          <w:trHeight w:val="234"/>
        </w:trPr>
        <w:tc>
          <w:tcPr>
            <w:tcW w:w="7600" w:type="dxa"/>
            <w:vAlign w:val="bottom"/>
            <w:gridSpan w:val="3"/>
          </w:tcPr>
          <w:p>
            <w:pPr>
              <w:jc w:val="center"/>
              <w:ind w:left="357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640" w:type="dxa"/>
            <w:vAlign w:val="bottom"/>
          </w:tcPr>
          <w:p>
            <w:pPr>
              <w:spacing w:after="0"/>
              <w:rPr>
                <w:sz w:val="20"/>
                <w:szCs w:val="20"/>
                <w:color w:val="auto"/>
              </w:rPr>
            </w:pPr>
          </w:p>
        </w:tc>
      </w:tr>
      <w:tr>
        <w:trPr>
          <w:trHeight w:val="414"/>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b w:val="1"/>
                <w:bCs w:val="1"/>
                <w:color w:val="auto"/>
                <w:w w:val="99"/>
              </w:rPr>
              <w:t>(312) 809-7002</w:t>
            </w:r>
          </w:p>
        </w:tc>
        <w:tc>
          <w:tcPr>
            <w:tcW w:w="3640" w:type="dxa"/>
            <w:vAlign w:val="bottom"/>
          </w:tcPr>
          <w:p>
            <w:pPr>
              <w:spacing w:after="0"/>
              <w:rPr>
                <w:sz w:val="24"/>
                <w:szCs w:val="24"/>
                <w:color w:val="auto"/>
              </w:rPr>
            </w:pPr>
          </w:p>
        </w:tc>
      </w:tr>
      <w:tr>
        <w:trPr>
          <w:trHeight w:val="234"/>
        </w:trPr>
        <w:tc>
          <w:tcPr>
            <w:tcW w:w="7600" w:type="dxa"/>
            <w:vAlign w:val="bottom"/>
            <w:gridSpan w:val="3"/>
          </w:tcPr>
          <w:p>
            <w:pPr>
              <w:jc w:val="center"/>
              <w:ind w:left="3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1"/>
                <w:szCs w:val="21"/>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1"/>
                <w:szCs w:val="21"/>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REFI</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5"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November 7, 2022</w:t>
            </w:r>
          </w:p>
        </w:tc>
      </w:tr>
      <w:tr>
        <w:trPr>
          <w:trHeight w:val="216"/>
        </w:trPr>
        <w:tc>
          <w:tcPr>
            <w:tcW w:w="5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720" w:type="dxa"/>
            <w:vAlign w:val="bottom"/>
            <w:gridSpan w:val="2"/>
            <w:shd w:val="clear" w:color="auto" w:fill="CCEEFF"/>
          </w:tcPr>
          <w:p>
            <w:pPr>
              <w:jc w:val="right"/>
              <w:ind w:right="2250"/>
              <w:spacing w:after="0"/>
              <w:rPr>
                <w:sz w:val="20"/>
                <w:szCs w:val="20"/>
                <w:color w:val="auto"/>
              </w:rPr>
            </w:pPr>
            <w:r>
              <w:rPr>
                <w:rFonts w:ascii="Times New Roman" w:cs="Times New Roman" w:eastAsia="Times New Roman" w:hAnsi="Times New Roman"/>
                <w:sz w:val="18"/>
                <w:szCs w:val="18"/>
                <w:color w:val="auto"/>
              </w:rPr>
              <w:t>17,657,913</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65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987"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2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CHICAGO ATLANTIC REAL ESTATE FINANCE, INC.</w:t>
            </w:r>
          </w:p>
        </w:tc>
        <w:tc>
          <w:tcPr>
            <w:tcW w:w="700" w:type="dxa"/>
            <w:vAlign w:val="bottom"/>
          </w:tcPr>
          <w:p>
            <w:pPr>
              <w:spacing w:after="0"/>
              <w:rPr>
                <w:sz w:val="20"/>
                <w:szCs w:val="20"/>
                <w:color w:val="auto"/>
              </w:rPr>
            </w:pPr>
          </w:p>
        </w:tc>
      </w:tr>
      <w:tr>
        <w:trPr>
          <w:trHeight w:val="432"/>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11"/>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70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80" w:type="dxa"/>
            <w:vAlign w:val="bottom"/>
            <w:gridSpan w:val="7"/>
          </w:tcPr>
          <w:p>
            <w:pPr>
              <w:jc w:val="center"/>
              <w:ind w:right="45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9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8060" w:type="dxa"/>
            <w:vAlign w:val="bottom"/>
            <w:tcBorders>
              <w:bottom w:val="single" w:sz="8" w:color="CCEEFF"/>
            </w:tcBorders>
            <w:gridSpan w:val="13"/>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96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September 30, 2022 (unaudited) and December 31, 2021</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tcPr>
          <w:p>
            <w:pPr>
              <w:spacing w:after="0"/>
              <w:rPr>
                <w:sz w:val="15"/>
                <w:szCs w:val="15"/>
                <w:color w:val="auto"/>
              </w:rPr>
            </w:pP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three and nine months ended September 30, 2022 (unaudited) and for the three months</w:t>
            </w:r>
          </w:p>
        </w:tc>
        <w:tc>
          <w:tcPr>
            <w:tcW w:w="7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ended September 30, 2021 (unaudited) and the period from March 30, 2021 (inception) to September 30, 2021 (unaudited)</w:t>
            </w:r>
          </w:p>
        </w:tc>
        <w:tc>
          <w:tcPr>
            <w:tcW w:w="280" w:type="dxa"/>
            <w:vAlign w:val="bottom"/>
            <w:gridSpan w:val="2"/>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5"/>
        </w:trPr>
        <w:tc>
          <w:tcPr>
            <w:tcW w:w="900" w:type="dxa"/>
            <w:vAlign w:val="bottom"/>
            <w:shd w:val="clear" w:color="auto" w:fill="CCEEFF"/>
          </w:tcPr>
          <w:p>
            <w:pPr>
              <w:spacing w:after="0"/>
              <w:rPr>
                <w:sz w:val="15"/>
                <w:szCs w:val="15"/>
                <w:color w:val="auto"/>
              </w:rPr>
            </w:pPr>
          </w:p>
        </w:tc>
        <w:tc>
          <w:tcPr>
            <w:tcW w:w="96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Equity for the three and nine months ended September 30, 2022 (unaudited) and for the three months</w:t>
            </w:r>
          </w:p>
        </w:tc>
        <w:tc>
          <w:tcPr>
            <w:tcW w:w="700" w:type="dxa"/>
            <w:vAlign w:val="bottom"/>
            <w:shd w:val="clear" w:color="auto" w:fill="CCEEFF"/>
          </w:tcPr>
          <w:p>
            <w:pPr>
              <w:spacing w:after="0"/>
              <w:rPr>
                <w:sz w:val="15"/>
                <w:szCs w:val="15"/>
                <w:color w:val="auto"/>
              </w:rPr>
            </w:pPr>
          </w:p>
        </w:tc>
      </w:tr>
      <w:tr>
        <w:trPr>
          <w:trHeight w:val="217"/>
        </w:trPr>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8840" w:type="dxa"/>
            <w:vAlign w:val="bottom"/>
            <w:tcBorders>
              <w:top w:val="single" w:sz="8" w:color="0000EE"/>
              <w:bottom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September 30, 2021 (unaudited) and the period from March 30, 2021 (inception) to September 30, 2021 (unaudited)</w:t>
            </w: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7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900" w:type="dxa"/>
            <w:vAlign w:val="bottom"/>
          </w:tcPr>
          <w:p>
            <w:pPr>
              <w:spacing w:after="0"/>
              <w:rPr>
                <w:sz w:val="15"/>
                <w:szCs w:val="15"/>
                <w:color w:val="auto"/>
              </w:rPr>
            </w:pPr>
          </w:p>
        </w:tc>
        <w:tc>
          <w:tcPr>
            <w:tcW w:w="940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nine months ended September 30, 2022 (unaudited) and for the period from March</w:t>
            </w: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30, 2021 (inception) to September 30, 2021 (unaudited)</w:t>
            </w: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rPr>
                <w:sz w:val="15"/>
                <w:szCs w:val="15"/>
                <w:color w:val="auto"/>
              </w:rPr>
            </w:pPr>
          </w:p>
        </w:tc>
        <w:tc>
          <w:tcPr>
            <w:tcW w:w="96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 (unaudited)</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80" w:type="dxa"/>
            <w:vAlign w:val="bottom"/>
            <w:tcBorders>
              <w:bottom w:val="single" w:sz="8" w:color="CCEEFF"/>
            </w:tcBorders>
            <w:gridSpan w:val="7"/>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2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7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7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90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320" w:type="dxa"/>
            <w:vAlign w:val="bottom"/>
            <w:tcBorders>
              <w:top w:val="single" w:sz="8" w:color="CCEEFF"/>
            </w:tcBorders>
            <w:gridSpan w:val="11"/>
          </w:tcPr>
          <w:p>
            <w:pPr>
              <w:spacing w:after="0"/>
              <w:rPr>
                <w:sz w:val="15"/>
                <w:szCs w:val="15"/>
                <w:color w:val="auto"/>
              </w:rPr>
            </w:pPr>
          </w:p>
        </w:tc>
        <w:tc>
          <w:tcPr>
            <w:tcW w:w="7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9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90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20" w:type="dxa"/>
            <w:vAlign w:val="bottom"/>
            <w:tcBorders>
              <w:bottom w:val="single" w:sz="8" w:color="CCEEFF"/>
            </w:tcBorders>
            <w:gridSpan w:val="16"/>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9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9040" w:type="dxa"/>
            <w:vAlign w:val="bottom"/>
            <w:gridSpan w:val="18"/>
          </w:tcPr>
          <w:p>
            <w:pPr>
              <w:spacing w:after="0"/>
              <w:rPr>
                <w:sz w:val="15"/>
                <w:szCs w:val="15"/>
                <w:color w:val="auto"/>
              </w:rPr>
            </w:pPr>
          </w:p>
        </w:tc>
        <w:tc>
          <w:tcPr>
            <w:tcW w:w="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331,075,547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196,984,566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(1,497,933)</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(134,542)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329,577,614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196,850,024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9,331,530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80,248,526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727,279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197,735</w:t>
            </w: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 and assets, net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844,486</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874,170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340,480,909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278,170,455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Revolving Loan</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8,435,222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4,537,924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reserve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5,625,979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6,636,553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1,347,421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802,294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1,203,030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1,902,829</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716,463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212,887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70,328,115</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14,092,487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100,000,000 shares authorized at September 30, 2022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2021, respectively, and 17,742,915 and 17,453,553 shares issued and outstanding at September 30, 2022 and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176,579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173,551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268,888,861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264,081,977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1,087,354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(177,560)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270,152,794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264,077,968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340,480,909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278,170,455</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18"/>
                <w:szCs w:val="18"/>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13,795,097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4,141,323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35,478,178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5,295,812</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(861,348)</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(25,206)</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(1,383,172)</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12,933,749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4,116,117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34,095,006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1,347,421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3,266,487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1,076,798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2,410,151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expense</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35,065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104,291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306,885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1,403,892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348,785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1,649,360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84,891</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328,356</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3,164,780</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48,596</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9,058,246</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117,822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9,768,969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4,067,521</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25,036,760</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5,136,072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9,768,969</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4,067,521</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25,036,760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5,136,072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 (in dollars per share)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 (in dollars per share)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17,657,913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4,895,694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17,652,367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 (in shares)</w:t>
            </w:r>
          </w:p>
        </w:tc>
        <w:tc>
          <w:tcPr>
            <w:tcW w:w="180" w:type="dxa"/>
            <w:vAlign w:val="bottom"/>
          </w:tcPr>
          <w:p>
            <w:pPr>
              <w:spacing w:after="0"/>
              <w:rPr>
                <w:sz w:val="19"/>
                <w:szCs w:val="19"/>
                <w:color w:val="auto"/>
              </w:rPr>
            </w:pPr>
          </w:p>
        </w:tc>
        <w:tc>
          <w:tcPr>
            <w:tcW w:w="12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17,752,290</w:t>
            </w:r>
          </w:p>
        </w:tc>
        <w:tc>
          <w:tcPr>
            <w:tcW w:w="180" w:type="dxa"/>
            <w:vAlign w:val="bottom"/>
          </w:tcPr>
          <w:p>
            <w:pPr>
              <w:spacing w:after="0"/>
              <w:rPr>
                <w:sz w:val="19"/>
                <w:szCs w:val="19"/>
                <w:color w:val="auto"/>
              </w:rPr>
            </w:pPr>
          </w:p>
        </w:tc>
        <w:tc>
          <w:tcPr>
            <w:tcW w:w="11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4,895,694</w:t>
            </w:r>
          </w:p>
        </w:tc>
        <w:tc>
          <w:tcPr>
            <w:tcW w:w="180" w:type="dxa"/>
            <w:vAlign w:val="bottom"/>
          </w:tcPr>
          <w:p>
            <w:pPr>
              <w:spacing w:after="0"/>
              <w:rPr>
                <w:sz w:val="19"/>
                <w:szCs w:val="19"/>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17,747,612</w:t>
            </w:r>
          </w:p>
        </w:tc>
        <w:tc>
          <w:tcPr>
            <w:tcW w:w="100" w:type="dxa"/>
            <w:vAlign w:val="bottom"/>
          </w:tcPr>
          <w:p>
            <w:pPr>
              <w:spacing w:after="0"/>
              <w:rPr>
                <w:sz w:val="19"/>
                <w:szCs w:val="19"/>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c>
          <w:tcPr>
            <w:tcW w:w="0" w:type="dxa"/>
            <w:vAlign w:val="bottom"/>
          </w:tcPr>
          <w:p>
            <w:pPr>
              <w:spacing w:after="0"/>
              <w:rPr>
                <w:sz w:val="1"/>
                <w:szCs w:val="1"/>
                <w:color w:val="auto"/>
              </w:rPr>
            </w:pPr>
          </w:p>
        </w:tc>
      </w:tr>
      <w:tr>
        <w:trPr>
          <w:trHeight w:val="54"/>
        </w:trPr>
        <w:tc>
          <w:tcPr>
            <w:tcW w:w="5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59"/>
        </w:trPr>
        <w:tc>
          <w:tcPr>
            <w:tcW w:w="46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In-Capital</w:t>
            </w:r>
          </w:p>
        </w:tc>
        <w:tc>
          <w:tcPr>
            <w:tcW w:w="140" w:type="dxa"/>
            <w:vAlign w:val="bottom"/>
          </w:tcPr>
          <w:p>
            <w:pPr>
              <w:spacing w:after="0"/>
              <w:rPr>
                <w:sz w:val="20"/>
                <w:szCs w:val="20"/>
                <w:color w:val="auto"/>
              </w:rPr>
            </w:pPr>
          </w:p>
        </w:tc>
        <w:tc>
          <w:tcPr>
            <w:tcW w:w="11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99,936</w:t>
            </w:r>
          </w:p>
        </w:tc>
        <w:tc>
          <w:tcPr>
            <w:tcW w:w="140" w:type="dxa"/>
            <w:vAlign w:val="bottom"/>
          </w:tcPr>
          <w:p>
            <w:pPr>
              <w:spacing w:after="0"/>
              <w:rPr>
                <w:sz w:val="21"/>
                <w:szCs w:val="21"/>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3,618,401</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36,184</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56,263,560</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56,299,744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(1,068,551)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1,068,551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3,624,828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56,363,496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56,399,744</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sale of</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6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unregistered equity securities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4,415,594</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44,156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68,179,213</w:t>
            </w:r>
          </w:p>
        </w:tc>
        <w:tc>
          <w:tcPr>
            <w:tcW w:w="14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68,223,369</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4,067,521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4,067,521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8,040,422</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124,542,709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4,067,521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128,690,634</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17,453,553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173,551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264,081,977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(177,560</w:t>
            </w:r>
            <w:r>
              <w:rPr>
                <w:rFonts w:ascii="Times New Roman" w:cs="Times New Roman" w:eastAsia="Times New Roman" w:hAnsi="Times New Roman"/>
                <w:sz w:val="29"/>
                <w:szCs w:val="29"/>
                <w:color w:val="auto"/>
                <w:vertAlign w:val="super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264,077,968</w:t>
            </w:r>
          </w:p>
        </w:tc>
        <w:tc>
          <w:tcPr>
            <w:tcW w:w="0" w:type="dxa"/>
            <w:vAlign w:val="bottom"/>
          </w:tcPr>
          <w:p>
            <w:pPr>
              <w:spacing w:after="0"/>
              <w:rPr>
                <w:sz w:val="1"/>
                <w:szCs w:val="1"/>
                <w:color w:val="auto"/>
              </w:rPr>
            </w:pPr>
          </w:p>
        </w:tc>
      </w:tr>
      <w:tr>
        <w:trPr>
          <w:trHeight w:val="157"/>
        </w:trPr>
        <w:tc>
          <w:tcPr>
            <w:tcW w:w="4620" w:type="dxa"/>
            <w:vAlign w:val="bottom"/>
            <w:tcBorders>
              <w:top w:val="single" w:sz="8" w:color="CCEEFF"/>
            </w:tcBorders>
            <w:shd w:val="clear" w:color="auto" w:fill="CCEEFF"/>
          </w:tcPr>
          <w:p>
            <w:pPr>
              <w:ind w:left="180"/>
              <w:spacing w:after="0" w:line="157" w:lineRule="exact"/>
              <w:rPr>
                <w:sz w:val="20"/>
                <w:szCs w:val="20"/>
                <w:color w:val="auto"/>
              </w:rPr>
            </w:pPr>
            <w:r>
              <w:rPr>
                <w:rFonts w:ascii="Times New Roman" w:cs="Times New Roman" w:eastAsia="Times New Roman" w:hAnsi="Times New Roman"/>
                <w:sz w:val="18"/>
                <w:szCs w:val="18"/>
                <w:color w:val="auto"/>
              </w:rPr>
              <w:t>Issuance of common stock in connection with initial public</w:t>
            </w:r>
          </w:p>
        </w:tc>
        <w:tc>
          <w:tcPr>
            <w:tcW w:w="11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 and concurrent private placement, net of offering</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costs, underwriting discounts and commissions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302,800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4,478,528</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4,481,556</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120,940</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121,915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 ($0.40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(7,100,875)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(7,100,875)</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7,803,952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7,803,952</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17,752,603</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268,681,445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526,492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269,384,516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 ($0.47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(8,343,576)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(8,343,576)</w:t>
            </w: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7,463,839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7,463,839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17,752,290</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268,803,970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(353,038</w:t>
            </w:r>
          </w:p>
        </w:tc>
        <w:tc>
          <w:tcPr>
            <w:tcW w:w="2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268,627,511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62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on common shares ($0.47 per share)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(8,339,170)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(8,339,170)</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9,768,969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9,768,969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17,742,915</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176,579</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268,888,861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1,087,354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270,152,794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00" w:type="dxa"/>
            <w:vAlign w:val="bottom"/>
          </w:tcPr>
          <w:p>
            <w:pPr>
              <w:spacing w:after="0"/>
              <w:rPr>
                <w:sz w:val="18"/>
                <w:szCs w:val="18"/>
                <w:color w:val="auto"/>
              </w:rPr>
            </w:pPr>
          </w:p>
        </w:tc>
        <w:tc>
          <w:tcPr>
            <w:tcW w:w="11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25,036,760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5,136,072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deferred loan origination fees and other discounts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(2,139,972)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Payment-in-kind interest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(4,096,721)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(278,079)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1,403,892</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debt issuance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379,644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328,356</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(529,544)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(84,384)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(172,699)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reserve</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(9,940,290)</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6,590,885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Escrow payable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1,100,201</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683,842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Management fee payable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545,127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463,075</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159,047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12,377,829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12,241,569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and fundings of loans held for investment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(134,314,003)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(104,174,344)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loan held for investment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6,696,777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 held for investment</w:t>
            </w:r>
          </w:p>
        </w:tc>
        <w:tc>
          <w:tcPr>
            <w:tcW w:w="80" w:type="dxa"/>
            <w:vAlign w:val="bottom"/>
          </w:tcPr>
          <w:p>
            <w:pPr>
              <w:spacing w:after="0"/>
              <w:rPr>
                <w:sz w:val="20"/>
                <w:szCs w:val="20"/>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6,892,654</w:t>
            </w:r>
          </w:p>
        </w:tc>
        <w:tc>
          <w:tcPr>
            <w:tcW w:w="100" w:type="dxa"/>
            <w:vAlign w:val="bottom"/>
          </w:tcPr>
          <w:p>
            <w:pPr>
              <w:spacing w:after="0"/>
              <w:rPr>
                <w:sz w:val="20"/>
                <w:szCs w:val="20"/>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9,582,613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(120,724,572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(94,591,731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4,505,664</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92,546,597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borrowings on revolving loan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53,000,000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(19,874,715)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(1,068,551)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(177,261)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(23,941)</w:t>
            </w:r>
          </w:p>
        </w:tc>
        <w:tc>
          <w:tcPr>
            <w:tcW w:w="1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(485,978)</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37,429,747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90,992,068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cash</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(70,916,996)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8,641,906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period</w:t>
            </w:r>
          </w:p>
        </w:tc>
        <w:tc>
          <w:tcPr>
            <w:tcW w:w="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80,248,526</w:t>
            </w:r>
          </w:p>
        </w:tc>
        <w:tc>
          <w:tcPr>
            <w:tcW w:w="100" w:type="dxa"/>
            <w:vAlign w:val="bottom"/>
          </w:tcPr>
          <w:p>
            <w:pPr>
              <w:spacing w:after="0"/>
              <w:rPr>
                <w:sz w:val="19"/>
                <w:szCs w:val="19"/>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period</w:t>
            </w: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9,331,530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8,741,906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and investing activity</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acquired for issuance of shares of common stock</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31,976,516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reserve withheld from funding of loan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8,929,716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7,501,842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OID withheld from funding of loans</w:t>
            </w:r>
          </w:p>
        </w:tc>
        <w:tc>
          <w:tcPr>
            <w:tcW w:w="8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2,180,593</w:t>
            </w:r>
          </w:p>
        </w:tc>
        <w:tc>
          <w:tcPr>
            <w:tcW w:w="10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and not yet paid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8,409,628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646,278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01"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ATLANTIC REAL ESTATE FINANCE,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Chicago Atlantic Real Estate Finance, Inc., and its wholly owned subsidiary, Chicago Atlantic Lincoln, LLC (“CAL”) (collectively the “Company”, “we”, or “our”), is a commercial mortgage real estate investment trust (“REIT”) incorporated in the state of Maryland on March 30, 2021. The Company has elected to be taxed as a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all of its REIT taxable income prior to the deduction for dividends paid and complies with various other requirements as a REIT.</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externally managed by Chicago Atlantic REIT Manager, LLC (the “Manager”), a Delaware limited liability company, pursuant to the terms of the management agreement dated May 1, 2021, as amended in October 2021, which has a three-year initial term set to expire on April 30, 2024 (the “Management Agreement”), by and among the Company and the Manager. After the initial term, the management agreement is automatically renewed for one-year periods unless the Company or the Manager elects not to renew in accordance with the terms of the Management Agreement.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7). All of the Company’s investment decisions are made by the investment committee of the Manager, subject to oversight by the Company’s board of directors (the “Board”). The Manager is wholly-owned by Chicago Atlantic Group, LLC (the “Sponsor”).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2021. In the opinion of the Company, all normal recurring adjustments have been made that are necessary to the fair statement of the results of operations and financial position as of and for the periods presented. Operating results for the three and nine-month periods ended September 30, 2022 are not necessarily indicative of the results that may be expected for the year ending December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Consolidated Financial Statements</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Interest expense was previously presented as an operating expense and has been reclassified as a reduction to net revenue on the consolidated statements of income. General and administrative expense reimbursements due to the Manager, which were previously included in the line item management and incentive fees payable, have been reclassified into related party payable in the consolidated balance sheets. In addition, other receivables amounts have been reclassified to other receivables and assets, net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do not result in any changes to previously reported total assets and net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Payable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Investment transactions are reported on a trade-date basis. Unsettled trades as of the balance sheet date, if any, are included in payable for investments purchased.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is evaluating the potential impact of recently issued accounting pronouncements on its consolidated financial statements.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285"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LOANS HELD FOR INVESTMENT, NET</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the Company’s portfolio was comprised of loans to 22 and 21 portfolio companies, respectively, that the Company has the ability and intends to hold the loans to maturity. The portfolio loans are held on the consolidated balance sheet at amortized cost. The Company’s aggregate loan commitments and outstanding principal were approximately $348.9 million and $334.5 million, respectively as of September 30, 2022, and $235.1 million and $200.6 million as of December 31, 2021. During the three and nine months ended September 30, 2022, the Company funded approximately $5.7 million and $143.6 million, respectively, in new loan principal.</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approximately 59.7% and 53.2%, respectively, of the Company’s portfolio was comprised of floating rate loans that pay interest at the prime rate plus an applicable margin, and were subject to prime rate floors. The outstanding principal of these loans was approximately $199.7 million and $106.7 million as of September 30, 2022 and December 31, 2021, respectively.</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remaining 40.3% and 46.8% of the portfolio as of September 30, 2022 and December 31, 2021, respectively, was comprised of fixed rate loans that had outstanding principal of approximately $134.8 million and $93.9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loans held for investment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6"/>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vMerge w:val="continue"/>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Original Issue</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40" w:type="dxa"/>
            <w:vAlign w:val="bottom"/>
          </w:tcPr>
          <w:p>
            <w:pPr>
              <w:spacing w:after="0"/>
              <w:rPr>
                <w:sz w:val="21"/>
                <w:szCs w:val="21"/>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(2)</w:t>
            </w:r>
          </w:p>
        </w:tc>
        <w:tc>
          <w:tcPr>
            <w:tcW w:w="0" w:type="dxa"/>
            <w:vAlign w:val="bottom"/>
          </w:tcPr>
          <w:p>
            <w:pPr>
              <w:spacing w:after="0"/>
              <w:rPr>
                <w:sz w:val="1"/>
                <w:szCs w:val="1"/>
                <w:color w:val="auto"/>
              </w:rPr>
            </w:pPr>
          </w:p>
        </w:tc>
      </w:tr>
      <w:tr>
        <w:trPr>
          <w:trHeight w:val="249"/>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334,502,935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(3,427,388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331,075,547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(1,497,933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334,502,935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(3,427,388</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329,577,614</w:t>
            </w: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6"/>
            <w:vMerge w:val="restart"/>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6"/>
            <w:vMerge w:val="continue"/>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38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26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Original Issue</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40" w:type="dxa"/>
            <w:vAlign w:val="bottom"/>
          </w:tcPr>
          <w:p>
            <w:pPr>
              <w:spacing w:after="0"/>
              <w:rPr>
                <w:sz w:val="21"/>
                <w:szCs w:val="21"/>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(Years) (2)</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200,632,056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(3,647,490</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196,984,566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September 30, 2022 and December 31, 2021, respectively.</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loans held at carrying value as of and for the nine months ended September 30, 2022 and the period from March 30, 2021 (inception) to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and funding of loans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143,624,312</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(2,180,593)</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141,443,719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(6,892,654)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(6,892,654)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2,139,972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2,139,972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loans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(6,957,500)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260,723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(6,696,777)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4,096,721</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4,096,721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(1,363,391)</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(1,363,391)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334,502,935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(3,427,388</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(1,497,933</w:t>
            </w:r>
          </w:p>
        </w:tc>
        <w:tc>
          <w:tcPr>
            <w:tcW w:w="2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329,577,614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Original Issue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0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32,589,907</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(613,391)</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31,976,516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105,952,844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(1,778,500)</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104,174,344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(9,582,613)</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(9,582,613)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276,838</w:t>
            </w:r>
          </w:p>
        </w:tc>
        <w:tc>
          <w:tcPr>
            <w:tcW w:w="10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278,079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278,079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129,238,217</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(2,115,053</w:t>
            </w:r>
          </w:p>
        </w:tc>
        <w:tc>
          <w:tcPr>
            <w:tcW w:w="220" w:type="dxa"/>
            <w:vAlign w:val="bottom"/>
            <w:vMerge w:val="continue"/>
          </w:tcPr>
          <w:p>
            <w:pPr>
              <w:spacing w:after="0"/>
              <w:rPr>
                <w:sz w:val="20"/>
                <w:szCs w:val="20"/>
                <w:color w:val="auto"/>
              </w:rPr>
            </w:pP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127,123,164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4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other upfront fees. Outstanding principal balance includes capitalized PIK interest, if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based on information available as of September 30, 2022, is as follows:</w:t>
      </w:r>
    </w:p>
    <w:p>
      <w:pPr>
        <w:sectPr>
          <w:pgSz w:w="11900" w:h="16838" w:orient="portrait"/>
          <w:cols w:equalWidth="0" w:num="1">
            <w:col w:w="11240"/>
          </w:cols>
          <w:pgMar w:left="320" w:top="87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Loan</w:t>
      </w:r>
      <w:r>
        <w:rPr>
          <w:sz w:val="20"/>
          <w:szCs w:val="20"/>
          <w:color w:val="auto"/>
        </w:rPr>
        <w:tab/>
      </w:r>
      <w:r>
        <w:rPr>
          <w:rFonts w:ascii="Times New Roman" w:cs="Times New Roman" w:eastAsia="Times New Roman" w:hAnsi="Times New Roman"/>
          <w:sz w:val="18"/>
          <w:szCs w:val="18"/>
          <w:b w:val="1"/>
          <w:bCs w:val="1"/>
          <w:color w:val="auto"/>
        </w:rPr>
        <w:t>Location</w:t>
      </w:r>
    </w:p>
    <w:p>
      <w:pPr>
        <w:ind w:left="960" w:hanging="952"/>
        <w:spacing w:after="0" w:line="183" w:lineRule="auto"/>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36"/>
          <w:szCs w:val="36"/>
          <w:color w:val="auto"/>
          <w:vertAlign w:val="subscript"/>
        </w:rPr>
        <w:t>Various</w:t>
      </w:r>
      <w:r>
        <w:rPr>
          <w:rFonts w:ascii="Times New Roman" w:cs="Times New Roman" w:eastAsia="Times New Roman" w:hAnsi="Times New Roman"/>
          <w:sz w:val="29"/>
          <w:szCs w:val="29"/>
          <w:color w:val="auto"/>
          <w:vertAlign w:val="superscript"/>
        </w:rPr>
        <w:t>(6)</w:t>
      </w:r>
    </w:p>
    <w:p>
      <w:pPr>
        <w:spacing w:after="0" w:line="1" w:lineRule="exact"/>
        <w:rPr>
          <w:sz w:val="20"/>
          <w:szCs w:val="20"/>
          <w:color w:val="auto"/>
        </w:rPr>
      </w:pPr>
    </w:p>
    <w:p>
      <w:pPr>
        <w:ind w:left="960" w:hanging="95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Michigan</w:t>
      </w:r>
    </w:p>
    <w:p>
      <w:pPr>
        <w:spacing w:after="0" w:line="46" w:lineRule="exact"/>
        <w:rPr>
          <w:sz w:val="20"/>
          <w:szCs w:val="20"/>
          <w:color w:val="auto"/>
        </w:rPr>
      </w:pPr>
    </w:p>
    <w:p>
      <w:pPr>
        <w:ind w:left="960" w:hanging="952"/>
        <w:spacing w:after="0"/>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36"/>
          <w:szCs w:val="36"/>
          <w:color w:val="auto"/>
          <w:vertAlign w:val="subscript"/>
        </w:rPr>
        <w:t>Various</w:t>
      </w:r>
      <w:r>
        <w:rPr>
          <w:rFonts w:ascii="Times New Roman" w:cs="Times New Roman" w:eastAsia="Times New Roman" w:hAnsi="Times New Roman"/>
          <w:sz w:val="29"/>
          <w:szCs w:val="29"/>
          <w:color w:val="auto"/>
          <w:vertAlign w:val="superscript"/>
        </w:rPr>
        <w:t>(6)</w:t>
      </w:r>
    </w:p>
    <w:p>
      <w:pPr>
        <w:spacing w:after="0" w:line="259" w:lineRule="exact"/>
        <w:rPr>
          <w:sz w:val="20"/>
          <w:szCs w:val="20"/>
          <w:color w:val="auto"/>
        </w:rPr>
      </w:pPr>
    </w:p>
    <w:p>
      <w:pPr>
        <w:ind w:left="960" w:hanging="952"/>
        <w:spacing w:after="0"/>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Arizona</w:t>
      </w:r>
    </w:p>
    <w:p>
      <w:pPr>
        <w:spacing w:after="0" w:line="50" w:lineRule="exact"/>
        <w:rPr>
          <w:sz w:val="20"/>
          <w:szCs w:val="20"/>
          <w:color w:val="auto"/>
        </w:rPr>
      </w:pPr>
    </w:p>
    <w:p>
      <w:pPr>
        <w:ind w:left="960" w:hanging="952"/>
        <w:spacing w:after="0"/>
        <w:tabs>
          <w:tab w:leader="none" w:pos="9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Massachusetts</w:t>
      </w:r>
    </w:p>
    <w:p>
      <w:pPr>
        <w:spacing w:after="0" w:line="50" w:lineRule="exact"/>
        <w:rPr>
          <w:sz w:val="20"/>
          <w:szCs w:val="20"/>
          <w:color w:val="auto"/>
        </w:rPr>
      </w:pPr>
    </w:p>
    <w:p>
      <w:pPr>
        <w:ind w:left="960" w:hanging="952"/>
        <w:spacing w:after="0"/>
        <w:tabs>
          <w:tab w:leader="none" w:pos="9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Pennsylvania</w:t>
      </w:r>
    </w:p>
    <w:p>
      <w:pPr>
        <w:spacing w:after="0" w:line="306" w:lineRule="exact"/>
        <w:rPr>
          <w:sz w:val="20"/>
          <w:szCs w:val="20"/>
          <w:color w:val="auto"/>
        </w:rPr>
      </w:pPr>
    </w:p>
    <w:p>
      <w:pPr>
        <w:ind w:left="960" w:hanging="952"/>
        <w:spacing w:after="0"/>
        <w:tabs>
          <w:tab w:leader="none" w:pos="9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Michigan</w:t>
      </w:r>
    </w:p>
    <w:p>
      <w:pPr>
        <w:ind w:left="960" w:hanging="952"/>
        <w:spacing w:after="0" w:line="189" w:lineRule="auto"/>
        <w:tabs>
          <w:tab w:leader="none" w:pos="9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36"/>
          <w:szCs w:val="36"/>
          <w:color w:val="auto"/>
          <w:vertAlign w:val="subscript"/>
        </w:rPr>
        <w:t>Various</w:t>
      </w:r>
      <w:r>
        <w:rPr>
          <w:rFonts w:ascii="Times New Roman" w:cs="Times New Roman" w:eastAsia="Times New Roman" w:hAnsi="Times New Roman"/>
          <w:sz w:val="29"/>
          <w:szCs w:val="29"/>
          <w:color w:val="auto"/>
          <w:vertAlign w:val="superscript"/>
        </w:rPr>
        <w:t>(6)</w:t>
      </w:r>
    </w:p>
    <w:p>
      <w:pPr>
        <w:ind w:left="960" w:hanging="952"/>
        <w:spacing w:after="0"/>
        <w:tabs>
          <w:tab w:leader="none" w:pos="9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West Virginia</w:t>
      </w:r>
    </w:p>
    <w:p>
      <w:pPr>
        <w:spacing w:after="0" w:line="246" w:lineRule="exact"/>
        <w:rPr>
          <w:sz w:val="20"/>
          <w:szCs w:val="20"/>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Pennsylvania</w:t>
      </w:r>
    </w:p>
    <w:p>
      <w:pPr>
        <w:spacing w:after="0" w:line="265"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Michigan</w:t>
      </w:r>
    </w:p>
    <w:p>
      <w:pPr>
        <w:spacing w:after="0" w:line="2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Maryland</w:t>
      </w:r>
    </w:p>
    <w:p>
      <w:pPr>
        <w:spacing w:after="0" w:line="4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36"/>
          <w:szCs w:val="36"/>
          <w:color w:val="auto"/>
          <w:vertAlign w:val="subscript"/>
        </w:rPr>
        <w:t>Various</w:t>
      </w:r>
      <w:r>
        <w:rPr>
          <w:rFonts w:ascii="Times New Roman" w:cs="Times New Roman" w:eastAsia="Times New Roman" w:hAnsi="Times New Roman"/>
          <w:sz w:val="29"/>
          <w:szCs w:val="29"/>
          <w:color w:val="auto"/>
          <w:vertAlign w:val="superscript"/>
        </w:rPr>
        <w:t>(6)</w:t>
      </w:r>
    </w:p>
    <w:p>
      <w:pPr>
        <w:spacing w:after="0" w:line="62"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Michigan</w:t>
      </w:r>
    </w:p>
    <w:p>
      <w:pPr>
        <w:spacing w:after="0" w:line="7" w:lineRule="exact"/>
        <w:rPr>
          <w:rFonts w:ascii="Times New Roman" w:cs="Times New Roman" w:eastAsia="Times New Roman" w:hAnsi="Times New Roman"/>
          <w:sz w:val="18"/>
          <w:szCs w:val="18"/>
          <w:b w:val="1"/>
          <w:bCs w:val="1"/>
          <w:color w:val="auto"/>
        </w:rPr>
      </w:pPr>
    </w:p>
    <w:p>
      <w:pPr>
        <w:ind w:left="960" w:hanging="952"/>
        <w:spacing w:after="0" w:line="183" w:lineRule="auto"/>
        <w:tabs>
          <w:tab w:leader="none" w:pos="96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34"/>
          <w:szCs w:val="34"/>
          <w:color w:val="auto"/>
          <w:vertAlign w:val="subscript"/>
        </w:rPr>
        <w:t>Various</w:t>
      </w:r>
      <w:r>
        <w:rPr>
          <w:rFonts w:ascii="Times New Roman" w:cs="Times New Roman" w:eastAsia="Times New Roman" w:hAnsi="Times New Roman"/>
          <w:sz w:val="27"/>
          <w:szCs w:val="27"/>
          <w:color w:val="auto"/>
          <w:vertAlign w:val="superscript"/>
        </w:rPr>
        <w:t>(6)</w:t>
      </w: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Michigan</w:t>
      </w:r>
    </w:p>
    <w:p>
      <w:pPr>
        <w:spacing w:after="0" w:line="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36"/>
          <w:szCs w:val="36"/>
          <w:color w:val="auto"/>
          <w:vertAlign w:val="subscript"/>
        </w:rPr>
        <w:t>Various</w:t>
      </w:r>
      <w:r>
        <w:rPr>
          <w:rFonts w:ascii="Times New Roman" w:cs="Times New Roman" w:eastAsia="Times New Roman" w:hAnsi="Times New Roman"/>
          <w:sz w:val="29"/>
          <w:szCs w:val="29"/>
          <w:color w:val="auto"/>
          <w:vertAlign w:val="superscript"/>
        </w:rPr>
        <w:t>(6)</w:t>
      </w:r>
    </w:p>
    <w:p>
      <w:pPr>
        <w:spacing w:after="0" w:line="60"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Florida</w:t>
      </w:r>
    </w:p>
    <w:p>
      <w:pPr>
        <w:spacing w:after="0" w:line="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Ohio</w:t>
      </w:r>
    </w:p>
    <w:p>
      <w:pPr>
        <w:spacing w:after="0" w:line="24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Florida</w:t>
      </w:r>
    </w:p>
    <w:p>
      <w:pPr>
        <w:spacing w:after="0" w:line="27"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Missouri</w:t>
      </w:r>
    </w:p>
    <w:p>
      <w:pPr>
        <w:spacing w:after="0" w:line="9" w:lineRule="exact"/>
        <w:rPr>
          <w:rFonts w:ascii="Times New Roman" w:cs="Times New Roman" w:eastAsia="Times New Roman" w:hAnsi="Times New Roman"/>
          <w:sz w:val="18"/>
          <w:szCs w:val="18"/>
          <w:b w:val="1"/>
          <w:bCs w:val="1"/>
          <w:color w:val="auto"/>
        </w:rPr>
      </w:pPr>
    </w:p>
    <w:p>
      <w:pPr>
        <w:ind w:left="960" w:hanging="952"/>
        <w:spacing w:after="0"/>
        <w:tabs>
          <w:tab w:leader="none" w:pos="9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Illinois</w:t>
      </w:r>
    </w:p>
    <w:p>
      <w:pPr>
        <w:spacing w:after="0" w:line="200" w:lineRule="exact"/>
        <w:rPr>
          <w:sz w:val="20"/>
          <w:szCs w:val="20"/>
          <w:color w:val="auto"/>
        </w:rPr>
      </w:pPr>
    </w:p>
    <w:p>
      <w:pPr>
        <w:spacing w:after="0" w:line="300" w:lineRule="exact"/>
        <w:rPr>
          <w:sz w:val="20"/>
          <w:szCs w:val="20"/>
          <w:color w:val="auto"/>
        </w:rPr>
      </w:pPr>
    </w:p>
    <w:p>
      <w:pPr>
        <w:ind w:left="180" w:hanging="161"/>
        <w:spacing w:after="0" w:line="282" w:lineRule="auto"/>
        <w:rPr>
          <w:sz w:val="20"/>
          <w:szCs w:val="20"/>
          <w:color w:val="auto"/>
        </w:rPr>
      </w:pPr>
      <w:r>
        <w:rPr>
          <w:rFonts w:ascii="Times New Roman" w:cs="Times New Roman" w:eastAsia="Times New Roman" w:hAnsi="Times New Roman"/>
          <w:sz w:val="18"/>
          <w:szCs w:val="18"/>
          <w:b w:val="1"/>
          <w:bCs w:val="1"/>
          <w:color w:val="auto"/>
        </w:rPr>
        <w:t>Current expected credit loss reserve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Initial</w:t>
            </w:r>
          </w:p>
        </w:tc>
      </w:tr>
      <w:tr>
        <w:trPr>
          <w:trHeight w:val="216"/>
        </w:trPr>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Premium/</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Funding</w:t>
            </w:r>
          </w:p>
        </w:tc>
      </w:tr>
      <w:tr>
        <w:trPr>
          <w:trHeight w:val="245"/>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Principal(1)</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Value(1)</w:t>
            </w:r>
          </w:p>
        </w:tc>
        <w:tc>
          <w:tcPr>
            <w:tcW w:w="20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Rate(4)</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Date(2)</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Terms(3)</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42"/>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(287,746 )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29,712,254</w:t>
            </w:r>
          </w:p>
        </w:tc>
        <w:tc>
          <w:tcPr>
            <w:tcW w:w="1640" w:type="dxa"/>
            <w:vAlign w:val="bottom"/>
          </w:tcPr>
          <w:p>
            <w:pPr>
              <w:jc w:val="center"/>
              <w:spacing w:after="0" w:line="242" w:lineRule="exact"/>
              <w:rPr>
                <w:sz w:val="20"/>
                <w:szCs w:val="20"/>
                <w:color w:val="auto"/>
              </w:rPr>
            </w:pPr>
            <w:r>
              <w:rPr>
                <w:rFonts w:ascii="Times New Roman" w:cs="Times New Roman" w:eastAsia="Times New Roman" w:hAnsi="Times New Roman"/>
                <w:sz w:val="17"/>
                <w:szCs w:val="17"/>
                <w:color w:val="auto"/>
                <w:w w:val="96"/>
              </w:rPr>
              <w:t>10.07%</w:t>
            </w:r>
            <w:r>
              <w:rPr>
                <w:rFonts w:ascii="Times New Roman" w:cs="Times New Roman" w:eastAsia="Times New Roman" w:hAnsi="Times New Roman"/>
                <w:sz w:val="28"/>
                <w:szCs w:val="28"/>
                <w:color w:val="auto"/>
                <w:w w:val="96"/>
                <w:vertAlign w:val="superscript"/>
              </w:rPr>
              <w:t>(7)</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5/30/2023</w:t>
            </w:r>
          </w:p>
        </w:tc>
        <w:tc>
          <w:tcPr>
            <w:tcW w:w="12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7/2/2020</w:t>
            </w:r>
          </w:p>
        </w:tc>
      </w:tr>
      <w:tr>
        <w:trPr>
          <w:trHeight w:val="25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center"/>
              <w:ind w:right="160"/>
              <w:spacing w:after="0" w:line="252" w:lineRule="exact"/>
              <w:rPr>
                <w:sz w:val="20"/>
                <w:szCs w:val="20"/>
                <w:color w:val="auto"/>
              </w:rPr>
            </w:pPr>
            <w:r>
              <w:rPr>
                <w:rFonts w:ascii="Times New Roman" w:cs="Times New Roman" w:eastAsia="Times New Roman" w:hAnsi="Times New Roman"/>
                <w:sz w:val="18"/>
                <w:szCs w:val="18"/>
                <w:color w:val="auto"/>
                <w:w w:val="90"/>
              </w:rPr>
              <w:t>P + 6.65%</w:t>
            </w:r>
            <w:r>
              <w:rPr>
                <w:rFonts w:ascii="Times New Roman" w:cs="Times New Roman" w:eastAsia="Times New Roman" w:hAnsi="Times New Roman"/>
                <w:sz w:val="29"/>
                <w:szCs w:val="29"/>
                <w:color w:val="auto"/>
                <w:w w:val="90"/>
                <w:vertAlign w:val="superscript"/>
              </w:rPr>
              <w:t>(5)(11)</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36,646,551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(182,125 )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36,464,426</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Cash, 3.25%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3/5/2021</w:t>
            </w:r>
          </w:p>
        </w:tc>
      </w:tr>
      <w:tr>
        <w:trPr>
          <w:trHeight w:val="220"/>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13.91% Cash, 2.59%</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7"/>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20,673,831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(444,457 )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20,229,374</w:t>
            </w:r>
          </w:p>
        </w:tc>
        <w:tc>
          <w:tcPr>
            <w:tcW w:w="174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29"/>
                <w:szCs w:val="29"/>
                <w:color w:val="auto"/>
                <w:vertAlign w:val="subscript"/>
              </w:rPr>
              <w:t>PIK</w:t>
            </w:r>
            <w:r>
              <w:rPr>
                <w:rFonts w:ascii="Times New Roman" w:cs="Times New Roman" w:eastAsia="Times New Roman" w:hAnsi="Times New Roman"/>
                <w:sz w:val="13"/>
                <w:szCs w:val="13"/>
                <w:color w:val="auto"/>
              </w:rPr>
              <w:t>(10)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11/29/2024</w:t>
            </w:r>
          </w:p>
        </w:tc>
        <w:tc>
          <w:tcPr>
            <w:tcW w:w="12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3/25/2021</w:t>
            </w:r>
          </w:p>
        </w:tc>
      </w:tr>
      <w:tr>
        <w:trPr>
          <w:trHeight w:val="257"/>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11,909,539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11,909,539</w:t>
            </w:r>
          </w:p>
        </w:tc>
        <w:tc>
          <w:tcPr>
            <w:tcW w:w="1640" w:type="dxa"/>
            <w:vAlign w:val="bottom"/>
          </w:tcPr>
          <w:p>
            <w:pPr>
              <w:jc w:val="center"/>
              <w:spacing w:after="0" w:line="256" w:lineRule="exact"/>
              <w:rPr>
                <w:sz w:val="20"/>
                <w:szCs w:val="20"/>
                <w:color w:val="auto"/>
              </w:rPr>
            </w:pPr>
            <w:r>
              <w:rPr>
                <w:rFonts w:ascii="Times New Roman" w:cs="Times New Roman" w:eastAsia="Times New Roman" w:hAnsi="Times New Roman"/>
                <w:sz w:val="18"/>
                <w:szCs w:val="18"/>
                <w:color w:val="auto"/>
                <w:w w:val="92"/>
              </w:rPr>
              <w:t>19.01%</w:t>
            </w:r>
            <w:r>
              <w:rPr>
                <w:rFonts w:ascii="Times New Roman" w:cs="Times New Roman" w:eastAsia="Times New Roman" w:hAnsi="Times New Roman"/>
                <w:sz w:val="29"/>
                <w:szCs w:val="29"/>
                <w:color w:val="auto"/>
                <w:w w:val="92"/>
                <w:vertAlign w:val="superscript"/>
              </w:rPr>
              <w:t>(8)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12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4/19/2021</w:t>
            </w:r>
          </w:p>
        </w:tc>
      </w:tr>
      <w:tr>
        <w:trPr>
          <w:trHeight w:val="25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Pr>
          <w:p>
            <w:pPr>
              <w:spacing w:after="0"/>
              <w:rPr>
                <w:sz w:val="22"/>
                <w:szCs w:val="22"/>
                <w:color w:val="auto"/>
              </w:rPr>
            </w:pPr>
          </w:p>
        </w:tc>
        <w:tc>
          <w:tcPr>
            <w:tcW w:w="174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8"/>
                <w:szCs w:val="18"/>
                <w:color w:val="auto"/>
                <w:w w:val="95"/>
              </w:rPr>
              <w:t>P + 12.25%</w:t>
            </w:r>
            <w:r>
              <w:rPr>
                <w:rFonts w:ascii="Times New Roman" w:cs="Times New Roman" w:eastAsia="Times New Roman" w:hAnsi="Times New Roman"/>
                <w:sz w:val="29"/>
                <w:szCs w:val="29"/>
                <w:color w:val="auto"/>
                <w:w w:val="95"/>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4/30/2023</w:t>
            </w:r>
          </w:p>
        </w:tc>
        <w:tc>
          <w:tcPr>
            <w:tcW w:w="12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4/19/2021</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gridSpan w:val="2"/>
          </w:tcPr>
          <w:p>
            <w:pPr>
              <w:jc w:val="center"/>
              <w:ind w:right="160"/>
              <w:spacing w:after="0" w:line="256" w:lineRule="exact"/>
              <w:rPr>
                <w:sz w:val="20"/>
                <w:szCs w:val="20"/>
                <w:color w:val="auto"/>
              </w:rPr>
            </w:pPr>
            <w:r>
              <w:rPr>
                <w:rFonts w:ascii="Times New Roman" w:cs="Times New Roman" w:eastAsia="Times New Roman" w:hAnsi="Times New Roman"/>
                <w:sz w:val="18"/>
                <w:szCs w:val="18"/>
                <w:color w:val="auto"/>
                <w:w w:val="95"/>
              </w:rPr>
              <w:t>P + 10.75%</w:t>
            </w:r>
            <w:r>
              <w:rPr>
                <w:rFonts w:ascii="Times New Roman" w:cs="Times New Roman" w:eastAsia="Times New Roman" w:hAnsi="Times New Roman"/>
                <w:sz w:val="29"/>
                <w:szCs w:val="29"/>
                <w:color w:val="auto"/>
                <w:w w:val="95"/>
                <w:vertAlign w:val="superscript"/>
              </w:rPr>
              <w:t>(5)</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13,263,665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13,263,665</w:t>
            </w:r>
          </w:p>
        </w:tc>
        <w:tc>
          <w:tcPr>
            <w:tcW w:w="174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color w:val="auto"/>
                <w:w w:val="95"/>
              </w:rPr>
              <w:t>Cash, 4% PIK</w:t>
            </w:r>
            <w:r>
              <w:rPr>
                <w:rFonts w:ascii="Times New Roman" w:cs="Times New Roman" w:eastAsia="Times New Roman" w:hAnsi="Times New Roman"/>
                <w:sz w:val="29"/>
                <w:szCs w:val="29"/>
                <w:color w:val="auto"/>
                <w:w w:val="95"/>
                <w:vertAlign w:val="superscript"/>
              </w:rPr>
              <w:t>(9)</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5/31/2025</w:t>
            </w:r>
          </w:p>
        </w:tc>
        <w:tc>
          <w:tcPr>
            <w:tcW w:w="120" w:type="dxa"/>
            <w:vAlign w:val="bottom"/>
          </w:tcPr>
          <w:p>
            <w:pPr>
              <w:spacing w:after="0"/>
              <w:rPr>
                <w:sz w:val="22"/>
                <w:szCs w:val="22"/>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5/28/2021</w:t>
            </w:r>
          </w:p>
        </w:tc>
      </w:tr>
      <w:tr>
        <w:trPr>
          <w:trHeight w:val="293"/>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4,443,750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(5,558 )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4,438,192</w:t>
            </w:r>
          </w:p>
        </w:tc>
        <w:tc>
          <w:tcPr>
            <w:tcW w:w="200" w:type="dxa"/>
            <w:vAlign w:val="bottom"/>
          </w:tcPr>
          <w:p>
            <w:pPr>
              <w:spacing w:after="0"/>
              <w:rPr>
                <w:sz w:val="24"/>
                <w:szCs w:val="24"/>
                <w:color w:val="auto"/>
              </w:rPr>
            </w:pPr>
          </w:p>
        </w:tc>
        <w:tc>
          <w:tcPr>
            <w:tcW w:w="1740" w:type="dxa"/>
            <w:vAlign w:val="bottom"/>
            <w:gridSpan w:val="2"/>
          </w:tcPr>
          <w:p>
            <w:pPr>
              <w:jc w:val="center"/>
              <w:ind w:right="100"/>
              <w:spacing w:after="0" w:line="294" w:lineRule="exact"/>
              <w:rPr>
                <w:sz w:val="20"/>
                <w:szCs w:val="20"/>
                <w:color w:val="auto"/>
              </w:rPr>
            </w:pPr>
            <w:r>
              <w:rPr>
                <w:rFonts w:ascii="Times New Roman" w:cs="Times New Roman" w:eastAsia="Times New Roman" w:hAnsi="Times New Roman"/>
                <w:sz w:val="18"/>
                <w:szCs w:val="18"/>
                <w:color w:val="auto"/>
                <w:w w:val="93"/>
              </w:rPr>
              <w:t>P + 9.00%</w:t>
            </w:r>
            <w:r>
              <w:rPr>
                <w:rFonts w:ascii="Times New Roman" w:cs="Times New Roman" w:eastAsia="Times New Roman" w:hAnsi="Times New Roman"/>
                <w:sz w:val="29"/>
                <w:szCs w:val="29"/>
                <w:color w:val="auto"/>
                <w:w w:val="93"/>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2/20/2024</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8/20/2021</w:t>
            </w:r>
          </w:p>
        </w:tc>
      </w:t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23,168,151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(242,929 )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22,925,222</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13% Cash, 2.5%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6/30/2025</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8/24/2021</w:t>
            </w:r>
          </w:p>
        </w:tc>
      </w:tr>
      <w:tr>
        <w:trPr>
          <w:trHeight w:val="25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center"/>
              <w:ind w:right="140"/>
              <w:spacing w:after="0" w:line="252" w:lineRule="exact"/>
              <w:rPr>
                <w:sz w:val="20"/>
                <w:szCs w:val="20"/>
                <w:color w:val="auto"/>
              </w:rPr>
            </w:pPr>
            <w:r>
              <w:rPr>
                <w:rFonts w:ascii="Times New Roman" w:cs="Times New Roman" w:eastAsia="Times New Roman" w:hAnsi="Times New Roman"/>
                <w:sz w:val="18"/>
                <w:szCs w:val="18"/>
                <w:color w:val="auto"/>
                <w:w w:val="93"/>
              </w:rPr>
              <w:t>P + 9.25%</w:t>
            </w:r>
            <w:r>
              <w:rPr>
                <w:rFonts w:ascii="Times New Roman" w:cs="Times New Roman" w:eastAsia="Times New Roman" w:hAnsi="Times New Roman"/>
                <w:sz w:val="29"/>
                <w:szCs w:val="29"/>
                <w:color w:val="auto"/>
                <w:w w:val="93"/>
                <w:vertAlign w:val="superscript"/>
              </w:rPr>
              <w:t>(5)</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9,554,960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(121,586 )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9,433,374</w:t>
            </w:r>
          </w:p>
        </w:tc>
        <w:tc>
          <w:tcPr>
            <w:tcW w:w="20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Cash, 2%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9/1/2024</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9/1/2021</w:t>
            </w:r>
          </w:p>
        </w:tc>
      </w:tr>
      <w:tr>
        <w:trPr>
          <w:trHeight w:val="25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center"/>
              <w:ind w:right="160"/>
              <w:spacing w:after="0" w:line="252" w:lineRule="exact"/>
              <w:rPr>
                <w:sz w:val="20"/>
                <w:szCs w:val="20"/>
                <w:color w:val="auto"/>
              </w:rPr>
            </w:pPr>
            <w:r>
              <w:rPr>
                <w:rFonts w:ascii="Times New Roman" w:cs="Times New Roman" w:eastAsia="Times New Roman" w:hAnsi="Times New Roman"/>
                <w:sz w:val="18"/>
                <w:szCs w:val="18"/>
                <w:color w:val="auto"/>
                <w:w w:val="95"/>
              </w:rPr>
              <w:t>P + 10.75%</w:t>
            </w:r>
            <w:r>
              <w:rPr>
                <w:rFonts w:ascii="Times New Roman" w:cs="Times New Roman" w:eastAsia="Times New Roman" w:hAnsi="Times New Roman"/>
                <w:sz w:val="29"/>
                <w:szCs w:val="29"/>
                <w:color w:val="auto"/>
                <w:w w:val="95"/>
                <w:vertAlign w:val="superscript"/>
              </w:rPr>
              <w:t>(5)</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15,536,102</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15,536,102</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Cash, 3%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6/30/2024</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9/3/2021</w:t>
            </w:r>
          </w:p>
        </w:tc>
      </w:t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313,607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313,607</w:t>
            </w:r>
          </w:p>
        </w:tc>
        <w:tc>
          <w:tcPr>
            <w:tcW w:w="2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9/30/2024</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9/20/2021</w:t>
            </w:r>
          </w:p>
        </w:tc>
      </w:tr>
      <w:tr>
        <w:trPr>
          <w:trHeight w:val="25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center"/>
              <w:ind w:right="140"/>
              <w:spacing w:after="0" w:line="252" w:lineRule="exact"/>
              <w:rPr>
                <w:sz w:val="20"/>
                <w:szCs w:val="20"/>
                <w:color w:val="auto"/>
              </w:rPr>
            </w:pPr>
            <w:r>
              <w:rPr>
                <w:rFonts w:ascii="Times New Roman" w:cs="Times New Roman" w:eastAsia="Times New Roman" w:hAnsi="Times New Roman"/>
                <w:sz w:val="18"/>
                <w:szCs w:val="18"/>
                <w:color w:val="auto"/>
                <w:w w:val="93"/>
              </w:rPr>
              <w:t>P + 8.75%</w:t>
            </w:r>
            <w:r>
              <w:rPr>
                <w:rFonts w:ascii="Times New Roman" w:cs="Times New Roman" w:eastAsia="Times New Roman" w:hAnsi="Times New Roman"/>
                <w:sz w:val="29"/>
                <w:szCs w:val="29"/>
                <w:color w:val="auto"/>
                <w:w w:val="93"/>
                <w:vertAlign w:val="superscript"/>
              </w:rPr>
              <w:t>(5)</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34"/>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32,479,495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(714,967 )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31,764,528</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Cash, 2%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9/30/2024</w:t>
            </w:r>
          </w:p>
        </w:tc>
        <w:tc>
          <w:tcPr>
            <w:tcW w:w="1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9/30/2021</w:t>
            </w:r>
          </w:p>
        </w:tc>
      </w:tr>
      <w:tr>
        <w:trPr>
          <w:trHeight w:val="242"/>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(210,110 )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19,789,890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20" w:type="dxa"/>
            <w:vAlign w:val="bottom"/>
          </w:tcPr>
          <w:p>
            <w:pPr>
              <w:spacing w:after="0"/>
              <w:rPr>
                <w:sz w:val="21"/>
                <w:szCs w:val="21"/>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11/8/2021</w:t>
            </w:r>
          </w:p>
        </w:tc>
      </w:tr>
      <w:tr>
        <w:trPr>
          <w:trHeight w:val="293"/>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(22,487 )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10,577,513</w:t>
            </w:r>
          </w:p>
        </w:tc>
        <w:tc>
          <w:tcPr>
            <w:tcW w:w="1740" w:type="dxa"/>
            <w:vAlign w:val="bottom"/>
            <w:gridSpan w:val="2"/>
          </w:tcPr>
          <w:p>
            <w:pPr>
              <w:jc w:val="center"/>
              <w:ind w:right="100"/>
              <w:spacing w:after="0" w:line="294" w:lineRule="exact"/>
              <w:rPr>
                <w:sz w:val="20"/>
                <w:szCs w:val="20"/>
                <w:color w:val="auto"/>
              </w:rPr>
            </w:pPr>
            <w:r>
              <w:rPr>
                <w:rFonts w:ascii="Times New Roman" w:cs="Times New Roman" w:eastAsia="Times New Roman" w:hAnsi="Times New Roman"/>
                <w:sz w:val="18"/>
                <w:szCs w:val="18"/>
                <w:color w:val="auto"/>
                <w:w w:val="93"/>
              </w:rPr>
              <w:t>P + 7.00%</w:t>
            </w:r>
            <w:r>
              <w:rPr>
                <w:rFonts w:ascii="Times New Roman" w:cs="Times New Roman" w:eastAsia="Times New Roman" w:hAnsi="Times New Roman"/>
                <w:sz w:val="29"/>
                <w:szCs w:val="29"/>
                <w:color w:val="auto"/>
                <w:w w:val="93"/>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11/22/2022</w:t>
            </w:r>
          </w:p>
        </w:tc>
        <w:tc>
          <w:tcPr>
            <w:tcW w:w="1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11/22/2021</w:t>
            </w: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Pr>
          <w:p>
            <w:pPr>
              <w:spacing w:after="0"/>
              <w:rPr>
                <w:sz w:val="18"/>
                <w:szCs w:val="18"/>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15% Cash, 2.5%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12/27/2026</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12/27/2021</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10.50% Cash,</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3,739,861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(56,096 )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3,683,765</w:t>
            </w:r>
          </w:p>
        </w:tc>
        <w:tc>
          <w:tcPr>
            <w:tcW w:w="200" w:type="dxa"/>
            <w:vAlign w:val="bottom"/>
          </w:tcPr>
          <w:p>
            <w:pPr>
              <w:spacing w:after="0"/>
              <w:rPr>
                <w:sz w:val="19"/>
                <w:szCs w:val="19"/>
                <w:color w:val="auto"/>
              </w:rPr>
            </w:pP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5%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12/29/2023</w:t>
            </w:r>
          </w:p>
        </w:tc>
        <w:tc>
          <w:tcPr>
            <w:tcW w:w="12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12/29/2021</w:t>
            </w:r>
          </w:p>
        </w:tc>
      </w:tr>
      <w:tr>
        <w:trPr>
          <w:trHeight w:val="253"/>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(56,267 )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7,443,733</w:t>
            </w:r>
          </w:p>
        </w:tc>
        <w:tc>
          <w:tcPr>
            <w:tcW w:w="200" w:type="dxa"/>
            <w:vAlign w:val="bottom"/>
          </w:tcPr>
          <w:p>
            <w:pPr>
              <w:spacing w:after="0"/>
              <w:rPr>
                <w:sz w:val="21"/>
                <w:szCs w:val="21"/>
                <w:color w:val="auto"/>
              </w:rPr>
            </w:pPr>
          </w:p>
        </w:tc>
        <w:tc>
          <w:tcPr>
            <w:tcW w:w="1740" w:type="dxa"/>
            <w:vAlign w:val="bottom"/>
            <w:gridSpan w:val="2"/>
          </w:tcPr>
          <w:p>
            <w:pPr>
              <w:jc w:val="center"/>
              <w:ind w:right="100"/>
              <w:spacing w:after="0" w:line="252" w:lineRule="exact"/>
              <w:rPr>
                <w:sz w:val="20"/>
                <w:szCs w:val="20"/>
                <w:color w:val="auto"/>
              </w:rPr>
            </w:pPr>
            <w:r>
              <w:rPr>
                <w:rFonts w:ascii="Times New Roman" w:cs="Times New Roman" w:eastAsia="Times New Roman" w:hAnsi="Times New Roman"/>
                <w:sz w:val="18"/>
                <w:szCs w:val="18"/>
                <w:color w:val="auto"/>
                <w:w w:val="93"/>
              </w:rPr>
              <w:t>P + 9.25%</w:t>
            </w:r>
            <w:r>
              <w:rPr>
                <w:rFonts w:ascii="Times New Roman" w:cs="Times New Roman" w:eastAsia="Times New Roman" w:hAnsi="Times New Roman"/>
                <w:sz w:val="29"/>
                <w:szCs w:val="29"/>
                <w:color w:val="auto"/>
                <w:w w:val="93"/>
                <w:vertAlign w:val="superscript"/>
              </w:rPr>
              <w:t>(5)</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2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12/30/2021</w:t>
            </w:r>
          </w:p>
        </w:tc>
      </w:tr>
      <w:tr>
        <w:trPr>
          <w:trHeight w:val="220"/>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(293,989 )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14,706,011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11.00%</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1/31/2025</w:t>
            </w:r>
          </w:p>
        </w:tc>
        <w:tc>
          <w:tcPr>
            <w:tcW w:w="12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1/18/2022</w:t>
            </w:r>
          </w:p>
        </w:tc>
      </w:tr>
      <w:tr>
        <w:trPr>
          <w:trHeight w:val="253"/>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center"/>
              <w:ind w:right="140"/>
              <w:spacing w:after="0" w:line="252" w:lineRule="exact"/>
              <w:rPr>
                <w:sz w:val="20"/>
                <w:szCs w:val="20"/>
                <w:color w:val="auto"/>
              </w:rPr>
            </w:pPr>
            <w:r>
              <w:rPr>
                <w:rFonts w:ascii="Times New Roman" w:cs="Times New Roman" w:eastAsia="Times New Roman" w:hAnsi="Times New Roman"/>
                <w:sz w:val="18"/>
                <w:szCs w:val="18"/>
                <w:color w:val="auto"/>
                <w:w w:val="93"/>
              </w:rPr>
              <w:t>P + 8.25%</w:t>
            </w:r>
            <w:r>
              <w:rPr>
                <w:rFonts w:ascii="Times New Roman" w:cs="Times New Roman" w:eastAsia="Times New Roman" w:hAnsi="Times New Roman"/>
                <w:sz w:val="29"/>
                <w:szCs w:val="29"/>
                <w:color w:val="auto"/>
                <w:w w:val="93"/>
                <w:vertAlign w:val="superscript"/>
              </w:rPr>
              <w:t>(5)</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30,602,729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(472,079 )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30,130,650</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Cash, 3%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2/28/2025</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2/3/2022</w:t>
            </w: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20,327,703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(84,518 )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20,243,185</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11.00% Cash, 3%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8/29/2025</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3/11/2022</w:t>
            </w:r>
          </w:p>
        </w:tc>
      </w:tr>
      <w:tr>
        <w:trPr>
          <w:trHeight w:val="216"/>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17,204,978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(148,084 )</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17,056,894</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11.00% Cash, 3%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5/30/2025</w:t>
            </w:r>
          </w:p>
        </w:tc>
        <w:tc>
          <w:tcPr>
            <w:tcW w:w="12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5/9/2022</w:t>
            </w:r>
          </w:p>
        </w:tc>
      </w:tr>
      <w:tr>
        <w:trPr>
          <w:trHeight w:val="220"/>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 + 8.50%</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5"/>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5,038,013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(84,390 )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4,953,623</w:t>
            </w:r>
          </w:p>
        </w:tc>
        <w:tc>
          <w:tcPr>
            <w:tcW w:w="200" w:type="dxa"/>
            <w:vAlign w:val="bottom"/>
          </w:tcPr>
          <w:p>
            <w:pPr>
              <w:spacing w:after="0"/>
              <w:rPr>
                <w:sz w:val="24"/>
                <w:szCs w:val="24"/>
                <w:color w:val="auto"/>
              </w:rPr>
            </w:pPr>
          </w:p>
        </w:tc>
        <w:tc>
          <w:tcPr>
            <w:tcW w:w="1740" w:type="dxa"/>
            <w:vAlign w:val="bottom"/>
            <w:gridSpan w:val="2"/>
          </w:tcPr>
          <w:p>
            <w:pPr>
              <w:jc w:val="center"/>
              <w:ind w:right="100"/>
              <w:spacing w:after="0" w:line="284" w:lineRule="exact"/>
              <w:rPr>
                <w:sz w:val="20"/>
                <w:szCs w:val="20"/>
                <w:color w:val="auto"/>
              </w:rPr>
            </w:pPr>
            <w:r>
              <w:rPr>
                <w:rFonts w:ascii="Times New Roman" w:cs="Times New Roman" w:eastAsia="Times New Roman" w:hAnsi="Times New Roman"/>
                <w:sz w:val="18"/>
                <w:szCs w:val="18"/>
                <w:color w:val="auto"/>
                <w:w w:val="95"/>
              </w:rPr>
              <w:t>Cash, 3%</w:t>
            </w:r>
            <w:r>
              <w:rPr>
                <w:rFonts w:ascii="Times New Roman" w:cs="Times New Roman" w:eastAsia="Times New Roman" w:hAnsi="Times New Roman"/>
                <w:sz w:val="29"/>
                <w:szCs w:val="29"/>
                <w:color w:val="auto"/>
                <w:w w:val="95"/>
                <w:vertAlign w:val="superscript"/>
              </w:rPr>
              <w:t>(5)</w:t>
            </w:r>
            <w:r>
              <w:rPr>
                <w:rFonts w:ascii="Times New Roman" w:cs="Times New Roman" w:eastAsia="Times New Roman" w:hAnsi="Times New Roman"/>
                <w:sz w:val="18"/>
                <w:szCs w:val="18"/>
                <w:color w:val="auto"/>
                <w:w w:val="95"/>
              </w:rPr>
              <w:t xml:space="preserve"> PIK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6/30/2026</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P&amp;I</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7/1/2022</w:t>
            </w:r>
          </w:p>
        </w:tc>
      </w:tr>
      <w:tr>
        <w:trPr>
          <w:trHeight w:val="27"/>
        </w:trPr>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661"/>
        </w:trPr>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(1,497,933 )</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-4697095</wp:posOffset>
            </wp:positionV>
            <wp:extent cx="7132320" cy="30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-4234180</wp:posOffset>
            </wp:positionV>
            <wp:extent cx="713232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-3745230</wp:posOffset>
            </wp:positionV>
            <wp:extent cx="71323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-3419475</wp:posOffset>
            </wp:positionV>
            <wp:extent cx="7132320" cy="299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9972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-2819400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-2382520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-2056765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-1619250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-1319530</wp:posOffset>
            </wp:positionV>
            <wp:extent cx="71323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-882015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-427990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-5177155</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2160" w:space="540"/>
            <w:col w:w="8540"/>
          </w:cols>
          <w:pgMar w:left="320" w:top="873" w:right="339" w:bottom="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334,502,935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(3,427,388</w:t>
            </w:r>
          </w:p>
        </w:tc>
        <w:tc>
          <w:tcPr>
            <w:tcW w:w="2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329,577,614</w:t>
            </w:r>
          </w:p>
        </w:tc>
        <w:tc>
          <w:tcPr>
            <w:tcW w:w="51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100" w:hanging="332"/>
        <w:spacing w:after="0" w:line="261"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discounts, deferred loan fees and other upfront fees. Outstanding principal balance includes capitalized PIK interest, if applicable.</w:t>
      </w:r>
    </w:p>
    <w:p>
      <w:pPr>
        <w:ind w:left="340" w:right="180" w:hanging="332"/>
        <w:spacing w:after="0" w:line="253"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are subject to contractual extension options and may be subject to performance based on other conditions as stipulated in the loan agreement. Actual maturities may differ from contractual maturities stated herein as certain borrowers may have the right to prepay with or without a contractual prepayment penalty. The Company may also extend contractual maturities and amend other terms of the loans in connection with loan modifications.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type w:val="continuous"/>
        </w:sectPr>
      </w:pPr>
    </w:p>
    <w:bookmarkStart w:id="9" w:name="page10"/>
    <w:bookmarkEnd w:id="9"/>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 in kind interest.</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prime rate floor.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with material collateral in multiple jurisdictions, namely multi-state operators, are disclosed as “various.”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#1 includes a $4.005 million initial advance, which has an interest rate of 15.25%, a second advance of</w:t>
      </w:r>
    </w:p>
    <w:p>
      <w:pPr>
        <w:spacing w:after="0" w:line="9" w:lineRule="exact"/>
        <w:rPr>
          <w:rFonts w:ascii="Times New Roman" w:cs="Times New Roman" w:eastAsia="Times New Roman" w:hAnsi="Times New Roman"/>
          <w:sz w:val="18"/>
          <w:szCs w:val="18"/>
          <w:color w:val="auto"/>
        </w:rPr>
      </w:pPr>
    </w:p>
    <w:p>
      <w:pPr>
        <w:ind w:left="32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$15.995 million, which has an interest rate of 9.75%, and a third advance of $10.0 million, which has an interest rate of 8.50%. The statistics presented reflect the weighted average of the terms under all three advances for the total aggregate loan commitment.</w:t>
      </w:r>
    </w:p>
    <w:p>
      <w:pPr>
        <w:spacing w:after="0" w:line="181" w:lineRule="exact"/>
        <w:rPr>
          <w:rFonts w:ascii="Times New Roman" w:cs="Times New Roman" w:eastAsia="Times New Roman" w:hAnsi="Times New Roman"/>
          <w:sz w:val="18"/>
          <w:szCs w:val="18"/>
          <w:color w:val="auto"/>
        </w:rPr>
      </w:pPr>
    </w:p>
    <w:p>
      <w:pPr>
        <w:ind w:left="320" w:right="40" w:hanging="312"/>
        <w:spacing w:after="0" w:line="257"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#4 includes a $10.0 million initial advance, which has a base interest rate of 15.00%, and a second advance of $2.0 million, which has an interest rate of 39%.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not below 2% if borrower receives at least two consecutive quarters of positive cash flow after the closing date.</w:t>
      </w:r>
    </w:p>
    <w:p>
      <w:pPr>
        <w:spacing w:after="0" w:line="9" w:lineRule="exact"/>
        <w:rPr>
          <w:rFonts w:ascii="Times New Roman" w:cs="Times New Roman" w:eastAsia="Times New Roman" w:hAnsi="Times New Roman"/>
          <w:sz w:val="18"/>
          <w:szCs w:val="18"/>
          <w:color w:val="auto"/>
        </w:rPr>
      </w:pPr>
    </w:p>
    <w:p>
      <w:pPr>
        <w:ind w:left="320" w:right="320" w:hanging="312"/>
        <w:spacing w:after="0" w:line="250" w:lineRule="auto"/>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advance, which has a base interest rate of 13.625%, 2.75% PIK and a second advance of $4.2 million, which has an interest rate of 15.00%, 2.00% PIK.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an interest rate cap.</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30, 2022, all loans are current and none have been placed on non-accrual status. These loans are generally held for investment and are substantially secured by real estate, equipment, licenses and other assets of the borrowers to the extent permitted by the applicable laws and the regulations governing such borrowers. The aggregate fair value of the Company’s loan portfolio was $328,984,374 and $197,901,779, with gross unrecognized holding losses of $2,091,173 and unrecognized holding gains of $917,213 as of September 30, 2022 and December 31, 2021,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 As of September 30, 2022, the Company calculated the estimated fair value of the loans held for investment using unobservable inputs such as discount rates ranging from 11.36% to 24.79% with a weighted average discount rate of 17.54%.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spacing w:after="0" w:line="176" w:lineRule="exact"/>
        <w:rPr>
          <w:sz w:val="20"/>
          <w:szCs w:val="20"/>
          <w:color w:val="auto"/>
        </w:rPr>
      </w:pPr>
    </w:p>
    <w:p>
      <w:pPr>
        <w:ind w:left="260"/>
        <w:spacing w:after="0"/>
        <w:tabs>
          <w:tab w:leader="none" w:pos="578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140" w:hanging="671"/>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140" w:hanging="671"/>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71"/>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140" w:hanging="671"/>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671"/>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2021 to September 30, 2022 are not due to any borrower specific credit issues relating to the borrowers, but rather, are primarily due to the Company’s quarterly re-evaluation of overall current macroeconomic conditions affecting its borrowers. This decline in risk ratings did not have a significant effect on the level of the current expected credit loss reserve because the loans continued to perform as expected, and the fair value of the underlying collateral exceeded the amounts outstanding under the loans.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the carrying value, excluding the current expected credit loss reserve (the “CECL Reserve”),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loans within each risk rating category by year of origination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7"/>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20,542,981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$29,712,254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50,255,235</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$ 135,076,307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$ 32,242,114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$ 167,908,805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93,424,139</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79,819,303</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173,243,442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29,075,761</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29,075,761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30,130,650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77,446,220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107,576,870</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123,554,789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177,808,504</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29,712,254</w:t>
            </w:r>
          </w:p>
        </w:tc>
        <w:tc>
          <w:tcPr>
            <w:tcW w:w="72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331,075,547</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164,152,068</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$ 32,242,114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590,384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 xml:space="preserve"> 196,984,566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80" w:right="2560" w:hanging="5572"/>
        <w:spacing w:after="0" w:line="783" w:lineRule="auto"/>
        <w:tabs>
          <w:tab w:leader="none" w:pos="3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059"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Real estate collateral coverage is also a significant credit quality indicator, and real estate collateral coverage, excluding the CECL Reserve, was as follows as of September 30, 2022 and December 31, 2021: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2022 Real Estate Collateral Coverage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&lt; 1.0x</w:t>
            </w:r>
          </w:p>
        </w:tc>
        <w:tc>
          <w:tcPr>
            <w:tcW w:w="9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1.0x - 1.25x</w:t>
            </w:r>
          </w:p>
        </w:tc>
        <w:tc>
          <w:tcPr>
            <w:tcW w:w="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1.25x - 1.5x</w:t>
            </w:r>
          </w:p>
        </w:tc>
        <w:tc>
          <w:tcPr>
            <w:tcW w:w="2100" w:type="dxa"/>
            <w:vAlign w:val="bottom"/>
            <w:tcBorders>
              <w:top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1.50x - 1.75x  1.75x - 2.0x</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&gt; 2.0x</w:t>
            </w: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$20,243,185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17,056,894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91,130,749</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$ 133,430,828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1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8,943,733</w:t>
            </w: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97,660,654</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31,920,426</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13,263,665</w:t>
            </w: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45,856,241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197,644,719</w:t>
            </w:r>
          </w:p>
        </w:tc>
      </w:tr>
      <w:tr>
        <w:trPr>
          <w:trHeight w:val="216"/>
        </w:trPr>
        <w:tc>
          <w:tcPr>
            <w:tcW w:w="3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13,943,733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97,660,654</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$20,243,185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48,977,320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13,263,665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136,986,990</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$ 331,075,547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2021 Real Estate Collateral Coverage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&lt; 1.0</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1.0 - 1.25</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1.25 - 1.5</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1.50 - 1.75</w:t>
            </w: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1.75 - 2.0</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&gt; 2.0</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Fixed-rate</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7,017,793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$35,836,099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3,086,298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$45,373,778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91,313,968</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Floating-rate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8,925,068</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18,022,518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30,029,953</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32,377,087</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16,315,972</w:t>
            </w:r>
          </w:p>
        </w:tc>
        <w:tc>
          <w:tcPr>
            <w:tcW w:w="1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105,670,598</w:t>
            </w:r>
          </w:p>
        </w:tc>
      </w:tr>
      <w:tr>
        <w:trPr>
          <w:trHeight w:val="216"/>
        </w:trPr>
        <w:tc>
          <w:tcPr>
            <w:tcW w:w="2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15,942,861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18,022,518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$35,836,099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33,116,251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32,377,087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$61,689,750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196,984,566</w:t>
            </w:r>
          </w:p>
        </w:tc>
        <w:tc>
          <w:tcPr>
            <w:tcW w:w="22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22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 In the future, we may use other acceptable methods, such as a discounted cash flow method, WARM method, or other methods permitted under the standard.</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evaluates its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maturities that extend beyond the forecast horizon for which we are able to derive reasonable and supportable forecasts.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From time to time,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 w:name="page12"/>
    <w:bookmarkEnd w:id="11"/>
    <w:p>
      <w:pPr>
        <w:ind w:right="60"/>
        <w:spacing w:after="0" w:line="255" w:lineRule="auto"/>
        <w:rPr>
          <w:sz w:val="20"/>
          <w:szCs w:val="20"/>
          <w:color w:val="auto"/>
        </w:rPr>
      </w:pPr>
      <w:r>
        <w:rPr>
          <w:rFonts w:ascii="Times New Roman" w:cs="Times New Roman" w:eastAsia="Times New Roman" w:hAnsi="Times New Roman"/>
          <w:sz w:val="18"/>
          <w:szCs w:val="18"/>
          <w:color w:val="auto"/>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“true” operating history, since the incorporation date of March 30, 2021. However, the Company’s Sponsor and its affiliates have had operations for the past three fiscal years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CapitalIQ as of September 30, 2022,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the Company reverts back to historical loss data.</w:t>
      </w:r>
    </w:p>
    <w:p>
      <w:pPr>
        <w:spacing w:after="0" w:line="18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2" w:name="page13"/>
    <w:bookmarkEnd w:id="12"/>
    <w:p>
      <w:pPr>
        <w:ind w:right="140"/>
        <w:spacing w:after="0" w:line="266"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and loans receivable at carrying value as of and for the nine months ended September 30, 2022 is presented in the table below. The Company had no CECL Reserve as of and for the period March 30, 2021 (inception) to September 30, 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3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9"/>
                <w:szCs w:val="29"/>
                <w:b w:val="1"/>
                <w:bCs w:val="1"/>
                <w:color w:val="auto"/>
                <w:vertAlign w:val="superscript"/>
              </w:rPr>
              <w:t>(1)</w:t>
            </w: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29"/>
                <w:szCs w:val="29"/>
                <w:b w:val="1"/>
                <w:bCs w:val="1"/>
                <w:color w:val="auto"/>
                <w:vertAlign w:val="superscript"/>
              </w:rPr>
              <w:t>(2)</w:t>
            </w:r>
          </w:p>
        </w:tc>
        <w:tc>
          <w:tcPr>
            <w:tcW w:w="22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1,363,391</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1,403,892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charged</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2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1,497,933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53,908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1,551,841</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60" w:hanging="332"/>
        <w:spacing w:after="0" w:line="261"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CECL Reserve related to outstanding balances on loans at carrying value is recorded within current expected credit loss reserve in the Company’s consolidated balance sheets.</w:t>
      </w:r>
    </w:p>
    <w:p>
      <w:pPr>
        <w:ind w:left="340" w:right="280" w:hanging="332"/>
        <w:spacing w:after="0" w:line="26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CECL Reserve related to unfunded commitments on loans at carrying value is recorded within accounts payable and accrued liabilities in the Company’s consolidated balance sheets.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Unfunded</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48,296</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3,047</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1,020,586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25,079</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1,203,424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41,533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294,509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12,375</w:t>
            </w:r>
          </w:p>
        </w:tc>
        <w:tc>
          <w:tcPr>
            <w:tcW w:w="100" w:type="dxa"/>
            <w:vAlign w:val="bottom"/>
            <w:tcBorders>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1,497,933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53,908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made an accounting policy election to exclude accrued interest receivable, ($727,279 as of September 30, 2022) included in Interest Receivable on its consolidated balance sheet,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there were no loans with principal or interest greater than 30 days past due.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INTEREST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by the Company as of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PIK interest receivable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95,139</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fees receivable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727,279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197,735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RESERVE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2022, the Company had six loans that included a prepaid interest reserve.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interest reserves as of September 30, 2022 and December 31,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580" w:type="dxa"/>
            <w:vAlign w:val="bottom"/>
            <w:tcBorders>
              <w:bottom w:val="single" w:sz="8" w:color="CCEEFF"/>
            </w:tcBorders>
          </w:tcPr>
          <w:p>
            <w:pPr>
              <w:spacing w:after="0"/>
              <w:rPr>
                <w:sz w:val="21"/>
                <w:szCs w:val="21"/>
                <w:color w:val="auto"/>
              </w:rPr>
            </w:pPr>
          </w:p>
        </w:tc>
        <w:tc>
          <w:tcPr>
            <w:tcW w:w="5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reserves</w:t>
            </w:r>
          </w:p>
        </w:tc>
        <w:tc>
          <w:tcPr>
            <w:tcW w:w="5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6,636,553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New reserves</w:t>
            </w:r>
          </w:p>
        </w:tc>
        <w:tc>
          <w:tcPr>
            <w:tcW w:w="51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8,929,716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9,223,802</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disbursed</w:t>
            </w:r>
          </w:p>
        </w:tc>
        <w:tc>
          <w:tcPr>
            <w:tcW w:w="5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(9,940,290)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(2,587,249)</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interest reserve</w:t>
            </w:r>
          </w:p>
        </w:tc>
        <w:tc>
          <w:tcPr>
            <w:tcW w:w="5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580" w:type="dxa"/>
            <w:vAlign w:val="bottom"/>
            <w:vMerge w:val="continue"/>
          </w:tcPr>
          <w:p>
            <w:pPr>
              <w:spacing w:after="0"/>
              <w:rPr>
                <w:sz w:val="20"/>
                <w:szCs w:val="20"/>
                <w:color w:val="auto"/>
              </w:rPr>
            </w:pPr>
          </w:p>
        </w:tc>
        <w:tc>
          <w:tcPr>
            <w:tcW w:w="5320" w:type="dxa"/>
            <w:vAlign w:val="bottom"/>
            <w:gridSpan w:val="2"/>
          </w:tcPr>
          <w:p>
            <w:pPr>
              <w:ind w:left="51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5,625,979</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6,636,553</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510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May 2021, in connection with the Company’s acquisition of its financing subsidiary, CAL, the Company was assigned a secured revolving credit facility (the “Revolving Loan”). The Revolving Loan has an aggregate borrowing base of up to $10,000,000 and bore interest, payable in cash in arrears, at a per annum rate equal to the greater of (x) Prime Rate plus 1.00% and (y) 4.75%. The Company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8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December 16, 2021, the Company amended the Revolving Loan Agreement (the “First Amendment”). The First Amendment increased the loan commitment from $10,000,000 to $45,000,000 and decreased the interest rate, from the greater of the (1) Prime Rate plus 1.00% and (2) 4.75% to the greater of (1) the Prime Rate plus the applicable margin and (2) 3.25%. The applicable margin is derived from a floating rate grid based upon the ratio of debt to equity of CAL and increases from 0% at a ratio of 0.25 to 1 to 1.25% at a ratio of 1.5 to 1. The First Amendment also extended the maturity date from February 12, 2023 to the earlier of (i) December 16, 2023 and (ii) the date on which the Revolving Loan is terminated pursuant to the terms of the Revolving Loan agreement. The Company has the option to extend the initial term for an additional one-year term, provided no events of default exist and the Company provides the required notice of the extension pursuant to the First Amendment. The Company incurred debt issuance costs of $859,500 related to the First Amendment, which were capitalized and are subsequently being amortized through maturity.</w:t>
      </w:r>
    </w:p>
    <w:p>
      <w:pPr>
        <w:spacing w:after="0" w:line="192"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On May 12, 2022, the Company amended the Revolving Loan Agreement (the “Second Amendment”). The Second Amendment increased the loan commitment from $45,000,000 to $65,000,000. No other material terms of the Revolving Loan were modified as a result of the execution of the Second Amendment. The Company incurred debt issuance costs of $177,261 related to the Second Amendment, which were capitalized and are subsequently amortized through maturity. As of September 30, 2022 and December 31, 2021, unamortized debt issuance costs related to the Revolving Loan and the First and Second Amendments of $665,639 and $868,022, respectively, are recorded in other receivables and assets, net on the consolidated balance sheets.</w:t>
      </w:r>
    </w:p>
    <w:p>
      <w:pPr>
        <w:spacing w:after="0" w:line="1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Revolving Loan incurs unused fees at a rate of 0.25% per annum which began on July 1, 2022 pursuant to the Second Amendment. Additionally, during the period from January 1, 2022 to September 30, 2022, the Company borrowed $53.0 million against the Revolving Loan and incurred $991,694 in interest expense for the period then ended.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Second Amendment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September 30, 2022, we were in compliance with all financial covenants with respect to the Revolving Loan.</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fair value of the Revolving Loan, which is classified as Level 2 in the fair value hierarchy, approximates the carrying value as it bears a market rate of interest that is reset frequently.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interest expense incurred during the three and nine months ended September 30, 2022. There was no interest expense incurred during the period March 30, 2021 (inception) to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Nine months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Unused fee expense</w:t>
            </w:r>
          </w:p>
        </w:tc>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11,834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4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138,549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379,644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4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46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861,348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1,383,172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44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is responsible for managing the loan portfolio and the day-to-day operations of the Company, subject at all times to the further terms and conditions set forth in the Management Agreement and such further limitations or parameters as may be imposed from time to time by the Company’s Board.</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and nine months ended September 30, 2022, the Base Management Fee payable was reduced by Outside Fees in the amount of $192,751 and $1,275,001, respectively.</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the Base Management Fee, the Manager is entitled to receive incentive compensation (the “Incentive Compensation” or “Incentive Fees”) under the Management Agreement. Under the Management Agreement, the Company will pay Incentive Fees to the Manager based upon the Company’s achievement of targeted levels of Core Earnings. “Core Earnings” is defined in the Management Agreement as, for a given period, the net income (loss) for such period, computed in accordance with GAAP, excluding (i) non-cash equity compensation expense, (ii) the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members of the Compensation Committee of the Board, each of whom are Independent Directors, and approved by a majority of the members of the Compensation Committee. Incentive compensation for the three and nine months ended September 30, 2022 was $519,223 and $1,500,129, respectively.</w:t>
      </w:r>
    </w:p>
    <w:p>
      <w:pPr>
        <w:spacing w:after="0" w:line="1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related party fees and expenses incurred by the Company and amounts payable to the Manager for the three and nine months ended September 30, 2022, the three months ended September 30, 2021 and for the period from March 30, 2021 (inception) to September 30, 2021. The Manager waived all amounts owed to it for the period ended September 30,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Affiliate Payments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earned</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1,020,949</w:t>
            </w:r>
          </w:p>
        </w:tc>
        <w:tc>
          <w:tcPr>
            <w:tcW w:w="1060" w:type="dxa"/>
            <w:vAlign w:val="bottom"/>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3,041,359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Outside fees earned</w:t>
            </w: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(192,751)</w:t>
            </w: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(1,275,001)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Base management fee, net</w:t>
            </w:r>
          </w:p>
        </w:tc>
        <w:tc>
          <w:tcPr>
            <w:tcW w:w="9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828,198</w:t>
            </w:r>
          </w:p>
        </w:tc>
        <w:tc>
          <w:tcPr>
            <w:tcW w:w="2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1,766,358</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519,223</w:t>
            </w:r>
          </w:p>
        </w:tc>
        <w:tc>
          <w:tcPr>
            <w:tcW w:w="10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1,500,129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management and incentive fees earned</w:t>
            </w:r>
          </w:p>
        </w:tc>
        <w:tc>
          <w:tcPr>
            <w:tcW w:w="9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1,347,421</w:t>
            </w:r>
          </w:p>
        </w:tc>
        <w:tc>
          <w:tcPr>
            <w:tcW w:w="2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3,266,487</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980,949</w:t>
            </w:r>
          </w:p>
        </w:tc>
        <w:tc>
          <w:tcPr>
            <w:tcW w:w="10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2,132,419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2,328,370</w:t>
            </w:r>
          </w:p>
        </w:tc>
        <w:tc>
          <w:tcPr>
            <w:tcW w:w="1060" w:type="dxa"/>
            <w:vAlign w:val="bottom"/>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5,398,906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9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5" w:name="page16"/>
    <w:bookmarkEnd w:id="15"/>
    <w:p>
      <w:pPr>
        <w:ind w:right="60"/>
        <w:spacing w:after="0" w:line="266" w:lineRule="auto"/>
        <w:rPr>
          <w:sz w:val="20"/>
          <w:szCs w:val="20"/>
          <w:color w:val="auto"/>
        </w:rPr>
      </w:pPr>
      <w:r>
        <w:rPr>
          <w:rFonts w:ascii="Times New Roman" w:cs="Times New Roman" w:eastAsia="Times New Roman" w:hAnsi="Times New Roman"/>
          <w:sz w:val="18"/>
          <w:szCs w:val="18"/>
          <w:color w:val="auto"/>
        </w:rPr>
        <w:t>General administrative expenses reimbursable to the Manager are included in the related party payable line item of the consolidated balance sheets as of September 30, 2022 and December 31, 2021. Amounts payable to the Manager as of September 30, 2022 and December 31, 2021 were approximately $2.6 million and $2.7 million, respectively, which included bonuses accrued for fiscal year 2022 which are not reimbursed to the Manager until paid.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 in Loans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September 30, 2022, 15 of the Company’s loans were co-invested by affiliates of the Company.</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On July 8, 2022, the Company sold a senior secured loan to an affiliate under common control. The selling price of approximately $6.7 million was approved by the audit committee of the Board. The fair value approximated the carrying value of the loan plus accrued and unpaid interest. On August 4, 2022, the Company assigned $10.0 million of unfunded commitment of a senior secured loan to an affiliate.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September 30, 2022 and December 31, 2021, the Company had the following unfunded commitments on existing loans.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original loan commitments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348,867,706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235,063,593</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drawn commitments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(330,384,897)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(200,359,026)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18,482,809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34,704,567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3 – Loans Held for Investment, Net” for further information regarding the CECL Reserve attributed to unfunded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Contingencies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As of September 30, 2022, the Company is not aware of any legal claims that could materially impact its business, financial condition, or results of operations.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On January 5, 2022, the underwriters of the Company’s initial public offering (the “IPO”) partially exercised their over-allotment option to purchase 302,800 shares of the Company’s common stock at a price of $16.00 per share, raising $4,844,800 in additional gross proceeds or $4,505,664 in net proceeds after underwriting commissions of $339,136, which is reflected as a reduction of additional paid-in capital on the consolidated statements of stockholders’ equity.</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During the period from March 30, 2021 (inception) to December 31, 2021, the Company issued 10,636,363 shares of its common stock pursuant to transactions that were exempt from registration pursuant to Section 4(a)(2) of the Securities Act of 1933, as amended.</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December 10, 2021, the Company completed its IPO of 6,250,000 shares of its common stock at a price of $16.00 per share, raising $100,000,000 in gross proceeds. The underwriting commission of $7,000,000 is reflected as a reduction of additional paid-in capital on the consolidated statements of stockholders’ equity. The Company incurred approximately $1,265,877 of expenses in connection with the IPO, which is reflected as a reduction in additional paid-in capital. The net proceeds to the Company totaled approximately $91,734,123. Concurrent with the closing of the IPO, the Company sold 468,750 shares of its common stock at the public offering price of $16.00 per share in a private placement to John Mazarakis, the Company’s Executive Chairman, Anthony Cappell, the Company’s Chief Executive Officer, and Dr. Andreas Bodmeier, the Company’s Co-President. Gross proceeds received were $7,500,000, and no underwriting discounts or commissions were paid in respect of these shares.</w:t>
      </w:r>
    </w:p>
    <w:p>
      <w:pPr>
        <w:spacing w:after="0" w:line="189"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On October 21, 2021, the Board approved a 6,427-for-one stock split of the Company’s common stock. All common shares and per share information presented in the consolidated financial statements have been adjusted to reflect the stock split on a retroactive basis for all periods presented, including reclassifying an amount equal to the increase in par value of common stock from additional paid-in capital. There was no change in the par value of the Company’s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has established an equity incentive compensation plan (the “2021 Plan”). The Board authorized the adoption of the 2021 Plan and the Compensation Committee of the Board approved restricted stock award grants of 98,440 shares of common stock during the quarter ended December 31, 2021. The Compensation Committee appointed by the Board administers the 2021 Plan. The 2021 Plan authorizes stock options, stock appreciation rights, restricted stock, stock bonuses, stock units, and other forms of awards 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2022 and December 31, 2021,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 There were 13,438 shares forfeited during the nine months ended September 30, 2022. There is no forfeiture rate applied to awards or options granted to non-employee directors or executive employees because their pre-vesting forfeitures are anticipated to be highly unlikely. As individual awards and options become fully vested, stock-based compensation expense is adjusted to recognize actual forfeitures.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restricted stock activity for the Company’s directors and officers and employees of the Manager as of September 30, 2022 and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98,440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Restricted stock compensation expense is based on the Company’s stock price at the date of the grant and is amortized over the vesting period. Forfeitures are recognized as they occur. The share-based compensation expense for the Company was $328,356 and $0 for the nine months ended September 30, 2022 and for the period from March 30, 2021 (inception) to September 30, 2021, respectively. The unamortized share-based compensation expense for the Company was approximately $1.0 million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EARNINGS PER SHARE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information sets forth the computations of basic earnings per common share for the three and nine months ended September 30, 2022, the three months ended September 30, 2021 and for the period from March 30, 2021 (inception) to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Period from</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30,</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(inception) to</w:t>
            </w:r>
          </w:p>
        </w:tc>
      </w:t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512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9,768,969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4,067,521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5,136,072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Divided by: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17,657,913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4,895,694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17,652,367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r>
      <w:tr>
        <w:trPr>
          <w:trHeight w:val="216"/>
        </w:trPr>
        <w:tc>
          <w:tcPr>
            <w:tcW w:w="5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17,752,290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4,895,694</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17,747,612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0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w:t>
            </w: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0.55</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0.83</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w:t>
            </w:r>
          </w:p>
        </w:tc>
      </w:tr>
      <w:tr>
        <w:trPr>
          <w:trHeight w:val="633"/>
        </w:trPr>
        <w:tc>
          <w:tcPr>
            <w:tcW w:w="5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11. INCOME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Company was $0 for the nine months ended September 30, 2022.</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 incurred no expense for United States federal excise tax. If it is determined that the Company’s estimated current year taxable income will be in excess of estimated dividend distributions (including capital gain dividend) for the current year from such income, the Company will accrue excise tax on estimated excess taxable income as such taxable income is earned. The annual expense is calculated in accordance with applicable tax regulations.</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does not have any unrecognized tax benefits and does not expect that to change 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DIVIDENDS AND DISTRIBUTIONS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740" w:type="dxa"/>
            <w:vAlign w:val="bottom"/>
          </w:tcPr>
          <w:p>
            <w:pPr>
              <w:spacing w:after="0"/>
              <w:rPr>
                <w:sz w:val="21"/>
                <w:szCs w:val="21"/>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Dividends</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r>
      <w:tr>
        <w:trPr>
          <w:trHeight w:val="23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10/14/2022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0"/>
                <w:szCs w:val="20"/>
                <w:color w:val="auto"/>
              </w:rPr>
            </w:pPr>
          </w:p>
        </w:tc>
      </w:tr>
      <w:tr>
        <w:trPr>
          <w:trHeight w:val="210"/>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cash dividend</w:t>
            </w: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October 27, 2022, one borrower with $30.0 million of outstanding principal in multiple tranches maturing in April and May of 2023 refinanced and consolidated the multiple tranches of debt into one loan maturing in October 2026.</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7, 2022, the Company’s wholly-owned financing subsidiary, CAL, entered into a Third Amended and Restated Loan and Security Agreement (the “Third Amendment”), whereby CAL exercised the existing accordion feature of the Revolving Loan to increase the aggregate commitment by $27.5 million, from $65 million to $92.5 million. No other material terms of the Revolving Loan were modified as a result of the execution of the Third Amendment. As of November 9, 2022, the Company has approximately $34.5 million of availability under the Revolving Loan.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spacing w:after="0" w:line="194"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and projected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the global economy, including disruptions to the supply chain;</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monitor and actively manage our loan portfolio, and implement our investment strategy;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operating results;</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initiatives of the federal or state governments and changes to government policies related to cannabis and the execution and impact of these actions, initiatives, and policies, including the fact that cannabis remains illegal under federal law;</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growth in and evolving market dynamics of the cannabis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cannabis cultivation and processing facilities;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public opinion regarding cannabis;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specific geographic regions;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trends and economic recoveries;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cash flows, if any, from our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financing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 and underwriting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of default or decreased recovery rates on our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any interest rate or other hedging strategies may or may not protect us from interest rate volatility;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impacts of such changes on our results of operations, cash flows, and the market value of our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and similar matters;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20" w:name="page21"/>
    <w:bookmarkEnd w:id="20"/>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or exemption from registration under the Investment Company Act;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(“REIT”) for U.S. federal income tax purposes;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stockholders in the future;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other risks, uncertainties and other factors we identify in our annual report on Form 10-K or this quarterly report on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648"/>
        <w:spacing w:after="0" w:line="273" w:lineRule="auto"/>
        <w:rPr>
          <w:sz w:val="20"/>
          <w:szCs w:val="20"/>
          <w:color w:val="auto"/>
        </w:rPr>
      </w:pPr>
      <w:r>
        <w:rPr>
          <w:rFonts w:ascii="Times New Roman" w:cs="Times New Roman" w:eastAsia="Times New Roman" w:hAnsi="Times New Roman"/>
          <w:sz w:val="17"/>
          <w:szCs w:val="17"/>
          <w:color w:val="auto"/>
        </w:rPr>
        <w:t>We are a commercial real estate finance company.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intend to grow the size of our portfolio by continuing the track record of our business and the business conducted by our Manager and its affiliates by making loans to leading operators and property owners in the cannabis industry. There is no assurance that we will achieve our investment objective.</w:t>
      </w:r>
    </w:p>
    <w:p>
      <w:pPr>
        <w:spacing w:after="0" w:line="17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Manager and its affiliates seek to originate real estate loans between $5 million and $200 million, generally with one- to five-year terms and amortization when terms exceed three years. We generally act as co-lenders in such transactions and intend to hold up to $30 million of the aggregate loan amount, with the remainder to be held by affiliates or third party co-investors. We may revise such concentration limits from time to time as our loan portfolio grows. Other investment vehicles managed by our Manager or affiliates of our Manager may co-invest with us or hold positions in a loan where we have also invested, including by means of splitting commitments, participating in loans or other means of syndicating loans. We will not engage in a co-investment transaction with an affiliate where the affiliate has a senior position to the loan held by us. To the extent that an affiliate provides financing to one of our borrowers, such loans will be working capital loans or loans that are subordinate to our loans. We may also serve as co-lenders in loans originated by third parties and, in the future, we may also acquire loans or loan participations. Loans that have a one to two year maturities are generally interest only loans.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our portfolio is comprised primarily of first mortgages to established multi-state or single-state cannabis operators or property owners. We consider cannabis operators to be established if they are state-licensed and are deemed to be operational and in good standing by the applicable state regulator. We do not own any stock, warrants to purchase stock or other forms of equity in any of our portfolio companies that are involved in the cannabis industry, and we will not take stock, warrants or equity in such issuers until permitted by applicable laws and regulations, including U.S. federal laws and regulations.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an externally managed Maryland corporation that elected to be taxed as a REIT under Section 856 of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continuing to satisfy numerous asset, income, and distribution tests, which in turn depend, in part, on our operating results. We also intend to operate our business in a manner that will permit us and our subsidiaries to maintain one or more exclusions or exemptions from registration under the Investment Company Act.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We operate as one operating segment and are primarily focused on financing senior secured loans and other types of loans for established state-licensed operators in the cannabis industry. These loans are generally held for investment and are substantially secured by real estate, equipment, licenses and other assets of the borrowers to the extent permitted by the applicable laws and the regulations governing such borrowers.</w:t>
      </w:r>
    </w:p>
    <w:p>
      <w:pPr>
        <w:spacing w:after="0" w:line="17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generate revenue primarily in the form of interest income on loans. As of September 30, 2022 and December 31, 2021, approximately 59.7% and 53.2%, respectively, of our portfolio was comprised of floating rate loans, and 40.3% and 46.8% of our portfolio was comprised of fixed rate loans, respectively. The floating rate loans described above are variable based upon the prime rate plus an applicable margin, and in many cases, a prime rate floor.</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prime rate was 3.25% for the period from January 1, 2022 through March 16, 2022, and increased to 3.50% effective March 17, 2022. It was increased to 4.00% effective May 5, 2022, increased to 4.75% effective June 16, 2022, increased to 5.50% effective July 28, 2022, and increased again to 6.25% effective September 22, 2022.</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and recognized upon repayment of the outstanding principal. We also generate revenue from original issue discounts (“OID”), which is also recognized as interest income through amortization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primary operating expenses are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spacing w:after="0" w:line="183"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and offering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valuation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payable to third parties relating to, or associated with, making loans and valuing loans (including third-party valuation firms);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associated with investor relations and marketing efforts (including attendance at investment conferences and similar events);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listing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taxes;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brokerage commissions;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proxy statements, stockholders’ reports and notices;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government filings, including periodic and current reports with the SEC.</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a Maryland corporation that elected to be taxed as a REIT under the Code, commencing with our taxable year ended December 31, 2021. We believe that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To qualify as a REIT, we must meet a number of organizational and operational requirements, including a requirement that we distribute annually to our stockholders at least 90% of our REIT taxable income prior to the deduction for dividends paid and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accrue excise tax on estimated excess taxable income as such taxable income is earned. The annual expense is calculated in accordance with applicable tax regulations. Excise tax expense is included in the line item, income tax expense.</w:t>
      </w:r>
    </w:p>
    <w:p>
      <w:pPr>
        <w:spacing w:after="0" w:line="19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September 30, 2022. Based on our evaluation, there is no reserve for any uncertain income tax positions. Accrued interest and penalties, if any, are included within other liabilities in the consolidated balance sheets.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Third Quarter of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Third Quarter of 2022</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On July 1, 2022, we closed one credit facility with a new borrower, which has an aggregate commitment of $9.0 million, $5.0 million of which was advanced at closing. On July 8, 2022, we sold a senior secured loan to an affiliate under common control. The selling price of approximately $6.7 million was approved by the audit committee of the Board. The fair value approximated the carrying value of the loan plus accrued and unpaid interest through July 8, 2022. On August 4, 2022, we assigned $10.0 million of unfunded commitment of a senior secured loan to an affiliate. On September 2, 2022, we advanced approximately $680 thousand in aggregate principal on an existing credit facility to one borrower.</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Updates to Our Loan Portfolio</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October 27, 2022, one borrower with $30.0 million of outstanding principal in multiple tranches maturing in April and May of 2023 refinanced and consolidated the multiple tranches of debt into one loan maturing in October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period from July 1, 2022 through September 30, 2022, we declared an ordinary cash dividend of $0.47 per share of our common stock, relating to the third quarter of 2022, which was paid on October 14, 2022 to stockholders of record as of the close of business on September 30, 2022. The total amount of the cash dividend payment was approximately $8.3 million.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payment of these dividends is not indicative of our ability to pay such dividends in the future.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September 30, 2022 and June 30, 2022</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13,795,097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11,850,028</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(861,348)</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(449,556)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12,933,749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11,400,472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1,347,421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1,247,561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1,076,798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777,212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306,885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1,045,665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348,785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743,670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84,891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122,525</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3,936,633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9,768,969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7,463,839</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9,768,969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7,463,839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980" w:right="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by approximately $1.9 million or 16% during the quarter ended September 30, 2022 compared to the quarter ended June 30, 2022. The increase was driven primarily by an increase in the prime rate from 4.75% as of June 30, 2022, to 6.25% as of September 30, 2022, impacting approximately 60% of the Company’s loans which bear a floating rate as well as new fundings of approximately $5.7 million in loan principal.</w:t>
      </w:r>
    </w:p>
    <w:p>
      <w:pPr>
        <w:spacing w:after="0" w:line="179" w:lineRule="exact"/>
        <w:rPr>
          <w:rFonts w:ascii="Times New Roman" w:cs="Times New Roman" w:eastAsia="Times New Roman" w:hAnsi="Times New Roman"/>
          <w:sz w:val="18"/>
          <w:szCs w:val="18"/>
          <w:color w:val="auto"/>
        </w:rPr>
      </w:pPr>
    </w:p>
    <w:p>
      <w:pPr>
        <w:jc w:val="both"/>
        <w:ind w:left="980" w:right="24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increased approximately $1.5 million or 13% during the comparative period. The increase was primarily attributable to the increase in interest income described above, and was offset by a corresponding increase in interest expense. During the third quarter of 2022, we borrowed an additional $8.0 million on the revolving credit facility, which also bears interest at the prime rate plus an applicable margin and was subject to the prime rate increases during the quarter.</w:t>
      </w:r>
    </w:p>
    <w:p>
      <w:pPr>
        <w:spacing w:after="0" w:line="179" w:lineRule="exact"/>
        <w:rPr>
          <w:rFonts w:ascii="Times New Roman" w:cs="Times New Roman" w:eastAsia="Times New Roman" w:hAnsi="Times New Roman"/>
          <w:sz w:val="18"/>
          <w:szCs w:val="18"/>
          <w:color w:val="auto"/>
        </w:rPr>
      </w:pPr>
    </w:p>
    <w:p>
      <w:pPr>
        <w:ind w:left="980" w:right="560" w:hanging="324"/>
        <w:spacing w:after="0" w:line="258"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base management and incentive fees payable to our Manager of approximately $1.3 million for the three months ended September 30, 2022, as compared to approximately $1.2 million for the three months ended June 30, 2022. The increase was primarily attributable to fewer origination fee offsets in the three months ended September 30, 2022 of approximately $193,000, compared to approximately $365,000 for the three months ended June 30, 2022, as well as an increase in weighted average equity as defined by the Management Agreement for the comparable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left="980" w:hanging="324"/>
        <w:spacing w:after="0" w:line="261"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and professional fees decreased by approximately $95,000, or 6%, for the three months ended September 30, 2022 as compared to the three months ended June 30, 2022. The decrease was primarily due to a decrease in audit, legal, investor relations and third-party consulting fees, offset in part by an increase in overhead reimbursements for costs incurred by the Manager on behalf of the Company.</w:t>
      </w:r>
    </w:p>
    <w:p>
      <w:pPr>
        <w:spacing w:after="0" w:line="179" w:lineRule="exact"/>
        <w:rPr>
          <w:rFonts w:ascii="Times New Roman" w:cs="Times New Roman" w:eastAsia="Times New Roman" w:hAnsi="Times New Roman"/>
          <w:sz w:val="18"/>
          <w:szCs w:val="18"/>
          <w:color w:val="auto"/>
        </w:rPr>
      </w:pPr>
    </w:p>
    <w:p>
      <w:pPr>
        <w:ind w:left="980" w:right="20" w:hanging="324"/>
        <w:spacing w:after="0" w:line="253"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decreased in the three months ended September 30, 2022 as compared to the three months ended June 30, 2022 primarily due to the decrease in origination activities and fewer advances to our existing borrowers. The declines in risk ratings shown in the following table from December 31, 2021 to September 30, 2022, are not due to any borrower specific credit issues relating to the borrowers, but rather, are primarily due to our quarterly re-evaluation of overall current macroeconomic conditions affecting our borrowers. The current expected credit loss reserve represents 44 basis points of our aggregate loan commitments held at carrying value of approximately $348.9 million and was bifurcated between (i) the current expected credit loss reserve (contra-asset) related to outstanding balances on loans held at carrying value of approximately $1.5 million and (ii) a liability for unfunded commitments of $53,908.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We continuously evaluate the credit quality of each loan by assessing the risk factors of each loan.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September 30, 2022 and period from March 30, 2021 (inception) to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from</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(inception)</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44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480" w:type="dxa"/>
            <w:vAlign w:val="bottom"/>
            <w:gridSpan w:val="2"/>
            <w:shd w:val="clear" w:color="auto" w:fill="CCEEFF"/>
          </w:tcPr>
          <w:p>
            <w:pPr>
              <w:ind w:left="4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35,478,178</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5,295,812</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(1,383,172)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34,095,006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5,253,894</w:t>
            </w: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tcPr>
          <w:p>
            <w:pPr>
              <w:spacing w:after="0"/>
              <w:rPr>
                <w:sz w:val="18"/>
                <w:szCs w:val="18"/>
                <w:color w:val="auto"/>
              </w:rPr>
            </w:pPr>
          </w:p>
        </w:tc>
        <w:tc>
          <w:tcPr>
            <w:tcW w:w="4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and incentive fees, net</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3,266,487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2,410,151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Organizational expense</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104,291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1,403,892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9,058,246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25,036,760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5,136,072</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25,036,760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5,136,072</w:t>
            </w:r>
          </w:p>
        </w:tc>
        <w:tc>
          <w:tcPr>
            <w:tcW w:w="0" w:type="dxa"/>
            <w:vAlign w:val="bottom"/>
          </w:tcPr>
          <w:p>
            <w:pPr>
              <w:spacing w:after="0"/>
              <w:rPr>
                <w:sz w:val="1"/>
                <w:szCs w:val="1"/>
                <w:color w:val="auto"/>
              </w:rPr>
            </w:pPr>
          </w:p>
        </w:tc>
      </w:tr>
      <w:tr>
        <w:trPr>
          <w:trHeight w:val="34"/>
        </w:trPr>
        <w:tc>
          <w:tcPr>
            <w:tcW w:w="4420" w:type="dxa"/>
            <w:vAlign w:val="bottom"/>
          </w:tcPr>
          <w:p>
            <w:pPr>
              <w:spacing w:after="0"/>
              <w:rPr>
                <w:sz w:val="2"/>
                <w:szCs w:val="2"/>
                <w:color w:val="auto"/>
              </w:rPr>
            </w:pPr>
          </w:p>
        </w:tc>
        <w:tc>
          <w:tcPr>
            <w:tcW w:w="4300" w:type="dxa"/>
            <w:vAlign w:val="bottom"/>
            <w:vMerge w:val="restart"/>
          </w:tcPr>
          <w:p>
            <w:pPr>
              <w:jc w:val="right"/>
              <w:ind w:right="291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44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5" w:name="page26"/>
    <w:bookmarkEnd w:id="25"/>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commenced operations on March 30, 2021 and, therefore, the comparative period for the three and nine months ended September 30, 2022 is from March 30, 2021 (inception) to September 30, 2021 (the “Prior Period” or “period ended September 30, 2021”).</w:t>
      </w:r>
    </w:p>
    <w:p>
      <w:pPr>
        <w:spacing w:after="0" w:line="162" w:lineRule="exact"/>
        <w:rPr>
          <w:sz w:val="20"/>
          <w:szCs w:val="20"/>
          <w:color w:val="auto"/>
        </w:rPr>
      </w:pPr>
    </w:p>
    <w:p>
      <w:pPr>
        <w:ind w:left="980" w:right="30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increased as we deployed a significant amount of capital subsequent to September 30, 2021 as a result of our initial public offering and higher interest rates on our floating rate loans held for investment, reflecting an increasing trend in interest income.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drew $53 million on the revolving credit facility during the nine months ended September 30, 2022 contributing to an increase in interest expense that previously included only amortization of deferred financing costs for the comparative prior year period.</w:t>
      </w:r>
    </w:p>
    <w:p>
      <w:pPr>
        <w:spacing w:after="0" w:line="161" w:lineRule="exact"/>
        <w:rPr>
          <w:rFonts w:ascii="Times New Roman" w:cs="Times New Roman" w:eastAsia="Times New Roman" w:hAnsi="Times New Roman"/>
          <w:sz w:val="18"/>
          <w:szCs w:val="18"/>
          <w:color w:val="auto"/>
        </w:rPr>
      </w:pPr>
    </w:p>
    <w:p>
      <w:pPr>
        <w:ind w:left="980" w:right="20" w:hanging="324"/>
        <w:spacing w:after="0" w:line="25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base management fees payable to our Manager for the nine months ended September 30, 2022 of approximately $3.3 million and $0 for the period ended September 30, 2021. Pursuant to a Fee Waiver Letter Agreements executed by our Manager, dated September 30, 2021, all base management fees that would have been payable to our Manager for the period from May 1, 2021 to September 30, 2021 were voluntarily waived and are not subject to recoupment at a later date. Our Manager has incurred general administrative expenses on our behalf and was reimbursed approximately $2.1 million for the nine months ended September 30, 2022. For the period ended September 30, 2021, all reimbursements to our Manager for general and administrative expenses were waived.</w:t>
      </w:r>
    </w:p>
    <w:p>
      <w:pPr>
        <w:spacing w:after="0" w:line="187"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current expected credit losses increased in the nine months ended September 30, 2022 as compared to the period ended September 30, 2021. The declines in risk ratings shown in the following table from December 31, 2021 to September 30, 2022, are not due to any borrower specific credit issues relating to the borrowers, but rather, are primarily due to our re-evaluation of overall current macroeconomic conditions affecting our borrowers. The current expected credit loss reserve represents 44 basis points of our aggregate loan commitments held at held at carrying value of approximately $348.9 million and was bifurcated between (i) the current expected credit loss reserve (contra-asset) related to outstanding balances on loans held at carrying value of approximately $1.5 million and (ii) a liability for unfunded commitments of $53,908.</w:t>
      </w:r>
    </w:p>
    <w:p>
      <w:pPr>
        <w:spacing w:after="0" w:line="188"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increased in the nine months ended September 30, 2022 as compared to the period ended September 30, 2021 primarily as a result of higher audit and consulting fees.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based compensation was issued in December 2021 following the completion of our initial public offering resulting in $328,356 in stock compensation expense for the nine months ended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our portfolio included 22 and 21 loans held for investment of approximately $331.1 million and $197.0 million of loans receivable, respectively. The aggregate originated commitment under these loans was approximately $348.9 million and $235.1 million and outstanding principal was approximately $334.5 million and $200.6 million as of September 30, 2022 and December 31, 2021, respectively. As of September 30, 2022 and December 31, 2021, our loan portfolio had a weighted-average yield-to-maturity internal rate of return (“YTM IRR”) of 18.3% and 18.6%,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payment-in-kind (“PIK”) interest, which is capitalized and added to the outstanding principal balance of the applicable loan, (ii) original issue discount (“OID”), (iii) amortization, (iv) unused fees, and (v) exit fees. Certain of our loans have extension fees, which are not included in our YTM IRR calculations, but may increase YTM IRR if such extension options are exercised by borrowers.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26" w:name="page27"/>
    <w:bookmarkEnd w:id="26"/>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2022 and December 31, 2021, approximately 59.7% and 53.2%, respectively, of its portfolio was comprised of floating rate loans that pay interest at the prime rate plus an applicable margin and were subject to a prime rate floor. The prime rate was 3.25% for the period from January 1, 2022 through March 16, 2022, increased to 3.5% effective March 17, 2022, increased to 4.0% effective May 5, 2022, increased again to 4.75% effective June 16, 2022, increased to 5.50% effective July 28, 2022, and increased again to 6.25% effective September 22, 2022. The below summarizes our portfolio as of September 30,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8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0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Our Loan</w:t>
            </w: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Future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Periodic</w:t>
            </w:r>
          </w:p>
        </w:tc>
        <w:tc>
          <w:tcPr>
            <w:tcW w:w="7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YTM</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w:t>
            </w:r>
          </w:p>
        </w:tc>
        <w:tc>
          <w:tcPr>
            <w:tcW w:w="80" w:type="dxa"/>
            <w:vAlign w:val="bottom"/>
          </w:tcPr>
          <w:p>
            <w:pPr>
              <w:spacing w:after="0"/>
              <w:rPr>
                <w:sz w:val="20"/>
                <w:szCs w:val="20"/>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Date (1)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Date (2)</w:t>
            </w:r>
          </w:p>
        </w:tc>
        <w:tc>
          <w:tcPr>
            <w:tcW w:w="14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Commitment (3)</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0"/>
                <w:szCs w:val="20"/>
                <w:color w:val="auto"/>
              </w:rPr>
            </w:pPr>
          </w:p>
        </w:tc>
        <w:tc>
          <w:tcPr>
            <w:tcW w:w="9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Fundings</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 (4)</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Payment (5)</w:t>
            </w:r>
          </w:p>
        </w:tc>
        <w:tc>
          <w:tcPr>
            <w:tcW w:w="7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IRR (6)</w:t>
            </w: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tcBorders>
              <w:right w:val="single" w:sz="8" w:color="auto"/>
            </w:tcBorders>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1</w:t>
            </w:r>
            <w:r>
              <w:rPr>
                <w:rFonts w:ascii="Times New Roman" w:cs="Times New Roman" w:eastAsia="Times New Roman" w:hAnsi="Times New Roman"/>
                <w:sz w:val="13"/>
                <w:szCs w:val="13"/>
                <w:b w:val="1"/>
                <w:bCs w:val="1"/>
                <w:color w:val="auto"/>
              </w:rPr>
              <w:t>(8)</w:t>
            </w:r>
          </w:p>
        </w:tc>
        <w:tc>
          <w:tcPr>
            <w:tcW w:w="80" w:type="dxa"/>
            <w:vAlign w:val="bottom"/>
            <w:vMerge w:val="continue"/>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7/2/2020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5/30/2023</w:t>
            </w:r>
          </w:p>
        </w:tc>
        <w:tc>
          <w:tcPr>
            <w:tcW w:w="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29,712,254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3/5/2021</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12/31/2024</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rPr>
              <w:t>P + 6.65%(7)(13)</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35,891,667</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36,646,551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36,464,426</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Cash, 3.25% PIK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3/25/2021</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11/29/2024</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5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13.91 Cash,</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20,105,628</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20,673,831</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20,229,374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2.59% PIK(12)</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56"/>
        </w:trPr>
        <w:tc>
          <w:tcPr>
            <w:tcW w:w="460" w:type="dxa"/>
            <w:vAlign w:val="bottom"/>
          </w:tcPr>
          <w:p>
            <w:pPr>
              <w:spacing w:after="0" w:line="256" w:lineRule="exact"/>
              <w:rPr>
                <w:sz w:val="20"/>
                <w:szCs w:val="20"/>
                <w:color w:val="auto"/>
              </w:rPr>
            </w:pPr>
            <w:r>
              <w:rPr>
                <w:rFonts w:ascii="Times New Roman" w:cs="Times New Roman" w:eastAsia="Times New Roman" w:hAnsi="Times New Roman"/>
                <w:sz w:val="29"/>
                <w:szCs w:val="29"/>
                <w:b w:val="1"/>
                <w:bCs w:val="1"/>
                <w:color w:val="auto"/>
                <w:vertAlign w:val="subscript"/>
              </w:rPr>
              <w:t>4</w:t>
            </w:r>
            <w:r>
              <w:rPr>
                <w:rFonts w:ascii="Times New Roman" w:cs="Times New Roman" w:eastAsia="Times New Roman" w:hAnsi="Times New Roman"/>
                <w:sz w:val="13"/>
                <w:szCs w:val="13"/>
                <w:b w:val="1"/>
                <w:bCs w:val="1"/>
                <w:color w:val="auto"/>
              </w:rPr>
              <w:t>(9)</w:t>
            </w:r>
          </w:p>
        </w:tc>
        <w:tc>
          <w:tcPr>
            <w:tcW w:w="8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4/19/2021</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12/31/2023</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11,909,539</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11,909,539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939,952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19.01%</w:t>
            </w:r>
          </w:p>
        </w:tc>
        <w:tc>
          <w:tcPr>
            <w:tcW w:w="80" w:type="dxa"/>
            <w:vAlign w:val="bottom"/>
          </w:tcPr>
          <w:p>
            <w:pPr>
              <w:spacing w:after="0"/>
              <w:rPr>
                <w:sz w:val="22"/>
                <w:szCs w:val="22"/>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4/19/2021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4/30/2023</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 + 12.25%(7)</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5/28/2021</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5/31/2025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8"/>
              </w:rPr>
              <w:t>P + 10.75%(7)</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13,263,665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13,263,665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Cash, 4% PIK(10)</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8/20/2021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2/20/2024</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4,443,750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4,438,192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 + 9.00%(7)</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8/24/2021</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6/30/2025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13% Cash,</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23,168,151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22,925,222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2,142,857</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 PIK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9/1/2021</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9/1/2024</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520" w:type="dxa"/>
            <w:vAlign w:val="bottom"/>
            <w:gridSpan w:val="2"/>
            <w:shd w:val="clear" w:color="auto" w:fill="CCEEFF"/>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P + 9.25%(7)</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9,554,960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9,433,374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2% PIK</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9/3/2021</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6/30/2024</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8"/>
              </w:rPr>
              <w:t>P + 10.75%(7)</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15,536,102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15,536,102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Cash, 3% PIK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9/20/2021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470,411</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313,607</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313,607</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9/30/2021</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9/30/2024</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P + 8.75%(7)</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32,479,495</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31,764,528</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Cash, 2% PIK</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13</w:t>
            </w: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11/8/2021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10/31/2024</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20,000,000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19,789,890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11/22/2021 11/22/2022</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10,577,513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 + 7.00%(7)</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12/27/2021 12/27/2026</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520" w:type="dxa"/>
            <w:vAlign w:val="bottom"/>
            <w:gridSpan w:val="2"/>
            <w:shd w:val="clear" w:color="auto" w:fill="CCEEFF"/>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15% Cash,</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 PIK</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16</w:t>
            </w:r>
          </w:p>
        </w:tc>
        <w:tc>
          <w:tcPr>
            <w:tcW w:w="80" w:type="dxa"/>
            <w:vAlign w:val="bottom"/>
          </w:tcPr>
          <w:p>
            <w:pPr>
              <w:spacing w:after="0"/>
              <w:rPr>
                <w:sz w:val="17"/>
                <w:szCs w:val="17"/>
                <w:color w:val="auto"/>
              </w:rPr>
            </w:pPr>
          </w:p>
        </w:tc>
        <w:tc>
          <w:tcPr>
            <w:tcW w:w="17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12/29/2021 12/29/2023</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10.50% Cash,</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3,739,861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3,683,765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 to 5% PIK(11)</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17</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12/30/2021 12/31/2024</w:t>
            </w: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7,500,000</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7,443,733</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5,500,000</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 + 9.25%(7)</w:t>
            </w:r>
          </w:p>
        </w:tc>
        <w:tc>
          <w:tcPr>
            <w:tcW w:w="10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I/O</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1/18/2022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1/31/2025</w:t>
            </w: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15,000,000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14,706,011</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8"/>
                <w:szCs w:val="18"/>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2/3/2022</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2/28/2025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520" w:type="dxa"/>
            <w:vAlign w:val="bottom"/>
            <w:gridSpan w:val="2"/>
            <w:shd w:val="clear" w:color="auto" w:fill="CCEEFF"/>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P + 8.25%(7)</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30,602,729</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30,130,650</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Cash, 3% PIK</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3/11/2022</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8/29/2025</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7"/>
              </w:rPr>
              <w:t>11% Cash,</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20,327,703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20,243,185</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 PIK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5/9/2022</w:t>
            </w:r>
          </w:p>
        </w:tc>
        <w:tc>
          <w:tcPr>
            <w:tcW w:w="8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5/30/2025</w:t>
            </w: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520" w:type="dxa"/>
            <w:vAlign w:val="bottom"/>
            <w:gridSpan w:val="2"/>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11% Cash,</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17,000,000</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17,204,978</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17,056,894</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 PIK</w:t>
            </w:r>
          </w:p>
        </w:tc>
        <w:tc>
          <w:tcPr>
            <w:tcW w:w="10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98"/>
        </w:trPr>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22</w:t>
            </w:r>
          </w:p>
        </w:tc>
        <w:tc>
          <w:tcPr>
            <w:tcW w:w="80" w:type="dxa"/>
            <w:vAlign w:val="bottom"/>
          </w:tcPr>
          <w:p>
            <w:pPr>
              <w:spacing w:after="0"/>
              <w:rPr>
                <w:sz w:val="17"/>
                <w:szCs w:val="17"/>
                <w:color w:val="auto"/>
              </w:rPr>
            </w:pPr>
          </w:p>
        </w:tc>
        <w:tc>
          <w:tcPr>
            <w:tcW w:w="8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7/1/2022</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6/30/2026</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9"/>
              </w:rPr>
              <w:t>P + 8.50%(7)</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9,000,000</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5,038,013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4,953,623</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Cash, 3% PIK</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P&amp;I</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Subtotal</w:t>
            </w:r>
          </w:p>
        </w:tc>
        <w:tc>
          <w:tcPr>
            <w:tcW w:w="8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940" w:type="dxa"/>
            <w:vAlign w:val="bottom"/>
            <w:tcBorders>
              <w:right w:val="single" w:sz="8" w:color="CCEEFF"/>
            </w:tcBorders>
            <w:shd w:val="clear" w:color="auto" w:fill="000000"/>
          </w:tcPr>
          <w:p>
            <w:pPr>
              <w:spacing w:after="0"/>
              <w:rPr>
                <w:sz w:val="2"/>
                <w:szCs w:val="2"/>
                <w:color w:val="auto"/>
              </w:rPr>
            </w:pPr>
          </w:p>
        </w:tc>
        <w:tc>
          <w:tcPr>
            <w:tcW w:w="14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vMerge w:val="restart"/>
            <w:shd w:val="clear" w:color="auto" w:fill="CCEEFF"/>
          </w:tcPr>
          <w:p>
            <w:pPr>
              <w:spacing w:after="0"/>
              <w:rPr>
                <w:sz w:val="2"/>
                <w:szCs w:val="2"/>
                <w:color w:val="auto"/>
              </w:rPr>
            </w:pPr>
          </w:p>
        </w:tc>
        <w:tc>
          <w:tcPr>
            <w:tcW w:w="10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Wtd Average</w:t>
            </w:r>
          </w:p>
        </w:tc>
        <w:tc>
          <w:tcPr>
            <w:tcW w:w="62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line="20" w:lineRule="exact"/>
              <w:rPr>
                <w:sz w:val="1"/>
                <w:szCs w:val="1"/>
                <w:color w:val="auto"/>
              </w:rPr>
            </w:pPr>
          </w:p>
        </w:tc>
      </w:tr>
      <w:tr>
        <w:trPr>
          <w:trHeight w:val="250"/>
        </w:trPr>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348,867,706</w:t>
            </w:r>
          </w:p>
        </w:tc>
        <w:tc>
          <w:tcPr>
            <w:tcW w:w="110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334,502,935</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331,075,547</w:t>
            </w:r>
          </w:p>
        </w:tc>
        <w:tc>
          <w:tcPr>
            <w:tcW w:w="8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vMerge w:val="continue"/>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18,482,809</w:t>
            </w:r>
          </w:p>
        </w:tc>
        <w:tc>
          <w:tcPr>
            <w:tcW w:w="1440" w:type="dxa"/>
            <w:vAlign w:val="bottom"/>
            <w:vMerge w:val="continue"/>
            <w:shd w:val="clear" w:color="auto" w:fill="CCEEFF"/>
          </w:tcPr>
          <w:p>
            <w:pPr>
              <w:spacing w:after="0"/>
              <w:rPr>
                <w:sz w:val="21"/>
                <w:szCs w:val="21"/>
                <w:color w:val="auto"/>
              </w:rPr>
            </w:pPr>
          </w:p>
        </w:tc>
        <w:tc>
          <w:tcPr>
            <w:tcW w:w="80" w:type="dxa"/>
            <w:vAlign w:val="bottom"/>
            <w:vMerge w:val="continue"/>
            <w:shd w:val="clear" w:color="auto" w:fill="CCEEFF"/>
          </w:tcPr>
          <w:p>
            <w:pPr>
              <w:spacing w:after="0"/>
              <w:rPr>
                <w:sz w:val="21"/>
                <w:szCs w:val="21"/>
                <w:color w:val="auto"/>
              </w:rPr>
            </w:pPr>
          </w:p>
        </w:tc>
        <w:tc>
          <w:tcPr>
            <w:tcW w:w="1080" w:type="dxa"/>
            <w:vAlign w:val="bottom"/>
            <w:gridSpan w:val="2"/>
            <w:vMerge w:val="continue"/>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right="400" w:hanging="512"/>
        <w:spacing w:after="0" w:line="261"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originated prior to April 1, 2021 were purchased from affiliated entities at fair value plus accrued interest on or subsequent to April 1, 2021.</w:t>
      </w: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loans have extension options from original maturity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Commitment excludes future amounts to be advanced at sole discretion of the lender.</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 = prime rate and depicts floating rate loans that pay interest at the prime rate plus a specific percentage; “PIK” = paid in kind interest.</w:t>
      </w:r>
    </w:p>
    <w:p>
      <w:pPr>
        <w:spacing w:after="0" w:line="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P&amp;I = principal and interest. I/O = interest only. P&amp;I loans may include interest only periods for a portion of the loan term.</w:t>
      </w:r>
    </w:p>
    <w:p>
      <w:pPr>
        <w:spacing w:after="0" w:line="9" w:lineRule="exact"/>
        <w:rPr>
          <w:rFonts w:ascii="Times New Roman" w:cs="Times New Roman" w:eastAsia="Times New Roman" w:hAnsi="Times New Roman"/>
          <w:sz w:val="18"/>
          <w:szCs w:val="18"/>
          <w:color w:val="auto"/>
        </w:rPr>
      </w:pPr>
    </w:p>
    <w:p>
      <w:pPr>
        <w:ind w:left="520" w:right="220" w:hanging="512"/>
        <w:spacing w:after="0" w:line="255"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w:t>
      </w:r>
    </w:p>
    <w:p>
      <w:pPr>
        <w:spacing w:after="0" w:line="185" w:lineRule="exact"/>
        <w:rPr>
          <w:rFonts w:ascii="Times New Roman" w:cs="Times New Roman" w:eastAsia="Times New Roman" w:hAnsi="Times New Roman"/>
          <w:sz w:val="18"/>
          <w:szCs w:val="18"/>
          <w:color w:val="auto"/>
        </w:rPr>
      </w:pPr>
    </w:p>
    <w:p>
      <w:pPr>
        <w:ind w:left="52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spacing w:after="0" w:line="2"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prime rate floor.</w:t>
      </w:r>
    </w:p>
    <w:p>
      <w:pPr>
        <w:spacing w:after="0" w:line="9" w:lineRule="exact"/>
        <w:rPr>
          <w:rFonts w:ascii="Times New Roman" w:cs="Times New Roman" w:eastAsia="Times New Roman" w:hAnsi="Times New Roman"/>
          <w:sz w:val="18"/>
          <w:szCs w:val="18"/>
          <w:color w:val="auto"/>
        </w:rPr>
      </w:pPr>
    </w:p>
    <w:p>
      <w:pPr>
        <w:ind w:left="520" w:right="38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#1 includes a $4.005 million initial advance which has an interest rate of 15.25%, a second advance of $15.995 million, which has an interest rate of 9.75%, and a third advance of $10.0 million, which has an interest rate of 8.5%. The statistics presented reflect the weighted average of the terms under all three advances for the total aggregate loan commitment.</w:t>
      </w:r>
    </w:p>
    <w:p>
      <w:pPr>
        <w:spacing w:after="0" w:line="1" w:lineRule="exact"/>
        <w:rPr>
          <w:rFonts w:ascii="Times New Roman" w:cs="Times New Roman" w:eastAsia="Times New Roman" w:hAnsi="Times New Roman"/>
          <w:sz w:val="18"/>
          <w:szCs w:val="18"/>
          <w:color w:val="auto"/>
        </w:rPr>
      </w:pPr>
    </w:p>
    <w:p>
      <w:pPr>
        <w:jc w:val="both"/>
        <w:ind w:left="520" w:right="30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#4 includes a $10.0 million advance, which has a base interest rate of 15.00%, and a second advance of $2.0 million, which has an interest rate of 39.00%.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not below 2% if borrower receives at least two consecutive quarters of positive cash flow after the closing date.</w:t>
      </w:r>
    </w:p>
    <w:p>
      <w:pPr>
        <w:spacing w:after="0" w:line="9" w:lineRule="exact"/>
        <w:rPr>
          <w:rFonts w:ascii="Times New Roman" w:cs="Times New Roman" w:eastAsia="Times New Roman" w:hAnsi="Times New Roman"/>
          <w:sz w:val="18"/>
          <w:szCs w:val="18"/>
          <w:color w:val="auto"/>
        </w:rPr>
      </w:pPr>
    </w:p>
    <w:p>
      <w:pPr>
        <w:ind w:left="520" w:right="300" w:hanging="512"/>
        <w:spacing w:after="0" w:line="250"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PIK is variable with an initial rate of five percent (5.00%) per annum, until borrower’s delivery of audited financial statements for the fiscal year ended December 31, 2021, at which time the PIK interest rate shall be adjusted to a rate of 1% to 5% contingent on the financial results of the borrower.</w:t>
      </w:r>
    </w:p>
    <w:p>
      <w:pPr>
        <w:spacing w:after="0" w:line="1" w:lineRule="exact"/>
        <w:rPr>
          <w:rFonts w:ascii="Times New Roman" w:cs="Times New Roman" w:eastAsia="Times New Roman" w:hAnsi="Times New Roman"/>
          <w:sz w:val="18"/>
          <w:szCs w:val="18"/>
          <w:color w:val="auto"/>
        </w:rPr>
      </w:pPr>
    </w:p>
    <w:p>
      <w:pPr>
        <w:ind w:left="580" w:right="60" w:hanging="572"/>
        <w:spacing w:after="0" w:line="250" w:lineRule="auto"/>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loan commitment to Loan #3 includes a $15.9 million initial advance, which has a base interest rate of 13.625%, 2.75% PIK and a second advance of $4.2 million, which has an interest rate of 15.00%, 2.00% PIK. The statistics presented reflect the weighted average of the terms under both advances for the total aggregate loan commitment.</w:t>
      </w:r>
    </w:p>
    <w:p>
      <w:pPr>
        <w:spacing w:after="0" w:line="1"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is subject to an interest rate cap.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loans held for investment as of September 30, 2022 and December 31,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 2022</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598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Discount</w:t>
            </w:r>
          </w:p>
        </w:tc>
        <w:tc>
          <w:tcPr>
            <w:tcW w:w="14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(Years) (2)</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334,502,935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331,075,547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(1,497,933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334,502,935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(3,427,388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329,577,614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right="20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and loan origination costs.</w:t>
      </w: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September 30,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980" w:type="dxa"/>
            <w:vAlign w:val="bottom"/>
          </w:tcPr>
          <w:p>
            <w:pPr>
              <w:spacing w:after="0"/>
              <w:rPr>
                <w:sz w:val="18"/>
                <w:szCs w:val="18"/>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Life</w:t>
            </w:r>
          </w:p>
        </w:tc>
      </w:tr>
      <w:tr>
        <w:trPr>
          <w:trHeight w:val="245"/>
        </w:trPr>
        <w:tc>
          <w:tcPr>
            <w:tcW w:w="5980" w:type="dxa"/>
            <w:vAlign w:val="bottom"/>
          </w:tcPr>
          <w:p>
            <w:pPr>
              <w:spacing w:after="0"/>
              <w:rPr>
                <w:sz w:val="21"/>
                <w:szCs w:val="21"/>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4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(Years) (2)</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Term Loans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200,632,056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(3,647,490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196,984,566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(134,542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held at carrying value,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right="200" w:hanging="332"/>
        <w:spacing w:after="0" w:line="261"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and loan origination costs</w:t>
      </w: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remaining life is calculated based on the carrying value of the loans as of December 31,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loans held for investment at carrying value as of and for the nine months ended September 30, 2022 as well as the period from March 30, 2021 (inception) to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1"/>
                <w:szCs w:val="21"/>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200,632,056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(3,647,490)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196,850,024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143,624,312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(2,180,593)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141,443,719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(6,892,654)</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(6,892,654)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2,139,972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2,139,972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(6,957,500)</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260,723</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(6,696,777)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4,096,721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4,096,721</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(1,363,391)</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(1,363,391)</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334,502,935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(3,427,388</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(1,497,933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329,577,614</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Issue</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Credit Loss</w:t>
            </w:r>
          </w:p>
        </w:tc>
        <w:tc>
          <w:tcPr>
            <w:tcW w:w="140" w:type="dxa"/>
            <w:vAlign w:val="bottom"/>
          </w:tcPr>
          <w:p>
            <w:pPr>
              <w:spacing w:after="0"/>
              <w:rPr>
                <w:sz w:val="18"/>
                <w:szCs w:val="18"/>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Principal (1)</w:t>
            </w:r>
          </w:p>
        </w:tc>
        <w:tc>
          <w:tcPr>
            <w:tcW w:w="160" w:type="dxa"/>
            <w:vAlign w:val="bottom"/>
          </w:tcPr>
          <w:p>
            <w:pPr>
              <w:spacing w:after="0"/>
              <w:rPr>
                <w:sz w:val="21"/>
                <w:szCs w:val="21"/>
                <w:color w:val="auto"/>
              </w:rPr>
            </w:pPr>
          </w:p>
        </w:tc>
        <w:tc>
          <w:tcPr>
            <w:tcW w:w="118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40" w:type="dxa"/>
            <w:vAlign w:val="bottom"/>
          </w:tcPr>
          <w:p>
            <w:pPr>
              <w:spacing w:after="0"/>
              <w:rPr>
                <w:sz w:val="21"/>
                <w:szCs w:val="21"/>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Value (1)</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30, 2021 (inception)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contributed</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32,589,907</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(613,391)</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31,976,516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fundings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105,952,844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(1,778,500)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104,174,344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(9,582,613)</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(9,582,613)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276,838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276,838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of loans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PIK Interest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278,079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278,079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129,238,217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(2,115,053</w:t>
            </w:r>
          </w:p>
        </w:tc>
        <w:tc>
          <w:tcPr>
            <w:tcW w:w="2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127,123,164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6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Carrying Value and the Outstanding Principal amount of the loans consists of unaccreted original issue discount, deferred loan fees and loan origination costs. Outstanding principal balance includes capitalized PIK interest, if applicable.</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 by case basis. Our Manager monitors and evaluates each of our loans held for investment and has maintained regular communications with borrowers regarding the potential impacts of the COVID-19 pandemic on our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CECL Reserve</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ASC 326, we record allowances for our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ASC 326 requires an entity to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spacing w:after="0" w:line="18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To estimate the historic loan losses relevant to our portfolio, we evaluate our historical loan performance, which includes zero realized loan losses since our inception of operations. Additionally, we analyzed our repayment history, noting we have limited “true” operating history, since the incorporation date of March 30, 2021. However, our Sponsor has had operations for the past two fiscal years and has made investments in similar loans that have similar characteristics, including interest rate, collateral coverage, guarantees, and prepayment/make whole provisions, which fall into the pools identified above.</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Given the similarity of the structuring of the credit agreements for the loans in our portfolio, management considered it appropriate to consider the past repayment history of loans originated by the Sponsor in determining the extent to which we should record a CECL Reserve.</w:t>
      </w:r>
    </w:p>
    <w:p>
      <w:pPr>
        <w:spacing w:after="0" w:line="181"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we review each loan on a quarterly basis and evaluate the borrower’s ability to pay the monthly interest and principal, if required, as well as the loan-to-value (LTV) ratio. In considering the potential current expected credit loss, the Manager primarily considers significant inputs to our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ratio type (fixed or floating) and IRR, loan-term, geographic location, and expected timing and amount of future loan fundings, (ii) performance against the underwritten business plan and our internal loan risk rating and (iii) a macro-economic forecast. Estimating the enterprise value of our borrowers in order to calculate LTV ratios is often a significant estimate. We rely primarily on comparable transactions to estimate enterprise value of our portfolio companies and supplement such analysis with a multiple-based approach to enterprise value to revenue multiples of publicly-traded comparable companies obtained from S&amp;P CapitalIQ as of the quarter end, to which we apply a private company discount based on our current borrower profile. These estimates may change in future periods based on available future macro-economic data and might result in a material change in our future estimates of expected credit losses for our loan portfolio.</w:t>
      </w:r>
    </w:p>
    <w:p>
      <w:pPr>
        <w:spacing w:after="0" w:line="19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Ratings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assess the risk factors of each loan, and assign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p>
      <w:pPr>
        <w:spacing w:after="0" w:line="176"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1020" w:hanging="1012"/>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Very 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020" w:hanging="1012"/>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20" w:hanging="1012"/>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Moderate/average risk</w:t>
      </w:r>
    </w:p>
    <w:p>
      <w:pPr>
        <w:spacing w:after="0" w:line="9" w:lineRule="exact"/>
        <w:rPr>
          <w:sz w:val="20"/>
          <w:szCs w:val="20"/>
          <w:color w:val="auto"/>
        </w:rPr>
      </w:pPr>
    </w:p>
    <w:p>
      <w:pPr>
        <w:ind w:left="1020" w:hanging="1012"/>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risk/potential for loss: a loan that has a risk of realizing a principal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020" w:hanging="1012"/>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Impaired/loss likely: a loan that has a high risk of realizing principal loss, has incurred principal loss or an impairment has been recorded</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risk ratings are primarily based on historical data and current conditions specific to each portfolio company, as well as consideration of future economic conditions and each borrower’s estimated ability to meet debt service requirements. The declines in risk ratings shown in the following table from December 31, 2021 to September 30, 2022, are not due to any borrower specific credit issues relating to the borrowers, but rather, are primarily due to our quarterly re-evaluation of overall current macroeconomic conditions affecting our borrowers. This decline in risk ratings did not have a significant effect on the level of the current expected credit loss reserve because the loans continued to perform as expected and the fair value of the underlying collateral exceeded the amounts outstanding under the loans.</w:t>
      </w:r>
    </w:p>
    <w:p>
      <w:pPr>
        <w:spacing w:after="0" w:line="18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carrying value, excluding the CECL Reserve, of the Company’s loans within each risk rating by year of origination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6"/>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As of September 30, 2022 (1)</w:t>
            </w: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20,542,981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29,712,254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50,255,235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93,424,139</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79,819,303</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173,243,442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30,130,650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77,446,220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107,576,870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123,554,789</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177,808,504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29,712,254</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331,075,547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Amounts are presented by loan origination year with subsequent advances shown in the original year of origination.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As of December 31, 2021 (1)</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135,076,307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32,242,114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167,908,805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29,075,761</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29,075,761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164,152,068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32,242,114</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590,384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196,984,566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2560" w:hanging="5532"/>
        <w:spacing w:after="0" w:line="783" w:lineRule="auto"/>
        <w:tabs>
          <w:tab w:leader="none" w:pos="33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presented by loan origination year with subsequent advances shown in the original year of origination.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Non-GAAP Measures and Key Financial Measures and Indicators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a commercial real estate finance company, we believe the key financial measures and indicators for our business are Distributable Earnings, Adjusted Distributable Earnings, book value per share, and dividends declared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 and Adjusted Distributable Earnings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spacing w:after="0" w:line="194"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spacing w:after="0" w:line="18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 and Adjusted Distributable Earnings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8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552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9,768,969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4,067,521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25,036,760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equity compensation expense</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84,891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328,356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138,549</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25,206</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379,644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41,918</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306,885</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1,403,892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520" w:type="dxa"/>
            <w:vAlign w:val="bottom"/>
            <w:vMerge w:val="continue"/>
          </w:tcPr>
          <w:p>
            <w:pPr>
              <w:spacing w:after="0"/>
              <w:rPr>
                <w:sz w:val="24"/>
                <w:szCs w:val="24"/>
                <w:color w:val="auto"/>
              </w:rPr>
            </w:pP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10,299,294</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4,092,727</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27,148,652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5,177,990</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Distributable Earnings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10,299,294</w:t>
            </w:r>
          </w:p>
        </w:tc>
        <w:tc>
          <w:tcPr>
            <w:tcW w:w="1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4,092,727</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27,148,652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5,177,990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 (in shares)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17,657,913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4,895,694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17,652,367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0.58</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0.84</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Diluted weighted average shares of common stock outstanding (in shares)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17,752,290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4,895,694</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17,747,612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3,658,310</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Distributable Earnings per Weighted Average Share</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0.58</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0.84</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633"/>
        </w:trPr>
        <w:tc>
          <w:tcPr>
            <w:tcW w:w="5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9"/>
              </w:rPr>
              <w:t>30</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Book Value Per Share</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book value per share of our common stock as of September 30, 2022 and December 31, 2021 was approximately $15.23 and $15.13,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We expect that our primary sources of financing will be, to the extent available to us, through (a) credit facilities and (b) public and private offerings of our equity and debt securities. In the future, we may utilize other sources of financing to the extent available to us. As the cannabis industry continues to evolve and to the extent that additional states legalize cannabis, the demand for capital continues to increase as operators seek to enter and build out new markets. We expect the principal amount of the loans we originate to increase and that we will need to raise additional equity and/or debt financing to increase our liquidity in the near future.</w:t>
      </w:r>
    </w:p>
    <w:p>
      <w:pPr>
        <w:spacing w:after="0" w:line="18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all of our cash was unrestricted and totaled approximately $9.3 million and $80.2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May 2021, in connection with our acquisition of our financing subsidiary, CAL, we were assigned a secured revolving credit facility (the “Revolving Loan”). The Revolving Loan had an aggregate borrowing base of up to $10,000,000 and bore interest, payable in cash in arrears, at a per annum rate equal to the greater of (x) Prime Rate plus 1.00% and (y) 4.75%. We incurred debt issuance costs of $100,000 related to the origination of the Revolving Loan, which were capitalized and are subsequently being amortized through maturity. The maturity date of the Revolving Loan was the earlier of (i) February 12, 2023 and (ii) the date on which the Revolving Loan is terminated pursuant to terms in the Revolving Loan agreement.</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On December 16, 2021, we amended the Revolving Loan (the “First Amendment”). The First Amendment increased the loan commitment from $10,000,000 to $45,000,000, decreased the interest rate, from the greater of the (1) Prime Rate plus 1.00% and (2) 4.75% to the greater of (1) the Prime Rate plus the applicable margin and (2) 3.25%. The applicable margin depends on the ratio of debt to equity of CAL and increases from 0% at a ratio of 0.25 to 1 to 1.25% at a ratio of 1.5 to 1. The First Amendment also extended the maturity date from February 12, 2023 to the earlier of (i) December 16, 2023 and (ii) the date on which the Revolving Loan is terminated pursuant to terms in the Revolving Loan agreement. We incurred debt issuance costs of $859,500 related to the First Amendment, which were capitalized and are subsequently being amortized through maturity.</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33" w:name="page34"/>
    <w:bookmarkEnd w:id="33"/>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May 12, 2022, we amended the Revolving Loan (the “Second Amendment”) which provides for an increase in the aggregate commitment from $45 million to $65 million. No other material terms of the Revolving Loan were modified as a result of the execution of the Second Amendment. As of September 30, 2022 and December 31, 2021, unamortized debt issuance costs related to the Revolving Loan and First and Second Amendments of $665,639 and $868,022, respectively, are recorded in other receivables and assets, net on the consolidated balance sheets.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November 7, 2022, we amended the Revolving Loan (the “Third Amendment”), whereby we exercised the existing accordion feature of the Revolving Loan to increase the aggregate commitment by $27.5 million, from $65 million to $92.5 million. No other material terms of the Revolving Loan were modified as a result of the execution of the Third Amendment.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Revolving Loan incurs unused fees at a rate of 0.25% per annum. During the nine month period ended September 30, 2022, we incurred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$11,833 in unused fees in connection with the Second Amendment. For the period from January 1, 2022 to September 30, 2022, we borrowed $53.0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 the Revolving Loan and incurred approximately $1.0 million in interest expense for the period then ended. In the future, we may use certain sources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financing to fund the origination or acquisition of our target investments, including credit facilities and other secured and unsecured forms of borrowing.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financings may be collateralized or non-collateralized and may involve one or more lenders. We expect that these facilities will typically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ranging from two to five years and may accrue interest at either fixed or floating rates.</w:t>
      </w:r>
    </w:p>
    <w:p>
      <w:pPr>
        <w:spacing w:after="0" w:line="207"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The First Amendment and the Second Amendment provide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To the best of our knowledge, as of September 30, 2022, we were in compliance in all material respects with the covenants with respect to the Revolving Loan.</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ended September 30, 2022, we borrowed $53.0 million against the Revolving Loan and had $53.0 million outstanding at September 30, 2022. For the period ended December 31, 2021 we did not borrow against the Revolving Loan and therefore had $0 outstanding under the Revolving Loan as of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seek to raise further equity capital and issue debt securities in order to fund our future investments in loans.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changes in cash for the nine months ended September 30, 2022 and the period March 30, 2021 (inception)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respectively: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Period from</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(inception) to</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25,036,760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5,136,072</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 and changes in operating</w:t>
            </w:r>
          </w:p>
        </w:tc>
        <w:tc>
          <w:tcPr>
            <w:tcW w:w="80" w:type="dxa"/>
            <w:vAlign w:val="bottom"/>
          </w:tcPr>
          <w:p>
            <w:pPr>
              <w:spacing w:after="0"/>
              <w:rPr>
                <w:sz w:val="17"/>
                <w:szCs w:val="17"/>
                <w:color w:val="auto"/>
              </w:rPr>
            </w:pPr>
          </w:p>
        </w:tc>
        <w:tc>
          <w:tcPr>
            <w:tcW w:w="126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(12,658,931)</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7,105,497</w:t>
            </w:r>
          </w:p>
        </w:tc>
        <w:tc>
          <w:tcPr>
            <w:tcW w:w="0" w:type="dxa"/>
            <w:vAlign w:val="bottom"/>
          </w:tcPr>
          <w:p>
            <w:pPr>
              <w:spacing w:after="0"/>
              <w:rPr>
                <w:sz w:val="1"/>
                <w:szCs w:val="1"/>
                <w:color w:val="auto"/>
              </w:rPr>
            </w:pPr>
          </w:p>
        </w:tc>
      </w:tr>
      <w:tr>
        <w:trPr>
          <w:trHeight w:val="22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and liabilities</w:t>
            </w:r>
          </w:p>
        </w:tc>
        <w:tc>
          <w:tcPr>
            <w:tcW w:w="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12,377,829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12,241,569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(120,724,572)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(94,591,731)</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37,429,747</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90,992,068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(70,916,996</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8,641,906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operating activities totaled approximately $12.4 million. For the nine months ended September 30, 2022, adjustments to net income related to operating activities primarily included accretion of deferred loan original issue discount and other discounts of approximately $2.1 million, PIK interest of approximately $4.1 million, provision for current expected credit losses of approximately $1.4 million, amortization of deferred financing costs relating to the revolving credit facility of $379,644, and stock-based compensation expense of $328,356. Additionally, other changes in operating assets and liabilities were approximately $8.5 million, of which approximately $9.9 million is attributable to interest reserves disbursed, a $529,544 increase in interest receivable, and a $172,699 increase in other receivables offset by a $545,127 increase in management fee payable and an approximately $1.6 million increase in accounts payable and other accrued expenses.</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period March 30, 2021 (inception) through September 30, 2021, net cash provided by operating activities total approximately $12.2 million. For the period March 30, 2021 (inception) through September 30, 2021, adjustments to net income related to operating activities primarily included accretion of deferred loan original issue discount and other discounts of approximately $277,000, PIK interest of approximately $278,000, and amortization of deferred financing costs relating to the revolving credit facility of approximately $42,000. Additionally, other changes in operating assets and liabilities were approximately $7.6 million, of which approximately $6.6 million is attributable to new interest reserves, a $517,026 increase in interest receivable, a $84,384 increase in other assets, a $13,868 increase in other receivables, a $800,000 decrease in escrow payable, and an approximately $843,000 increase in accounts payable and other accrued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investing activities totaled approximately $120.7 million. The net cash used in investing activities was primarily a result of the cash used for the origination and funding of loans held for investment of approximately $134.3 million, exceeding the cash received from the principal repayment of loans held for investment of approximately $6.9 million and approximately $6.7 million received from the sales of loans for the nine months ended September 30, 2022.</w:t>
      </w:r>
    </w:p>
    <w:p>
      <w:pPr>
        <w:spacing w:after="0" w:line="180"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During the period March 30, 2021 (inception) through September 30, 2021, net cash used in investing activities totaled approximately $94.6 million. The cash used in investing activities was primarily a result of the cash used for the origination and funding of loans held for investment of approximately $104.2 million, exceeding the cash received from principal repayment of loans held for investment of approximately $9.6 million for the period March 30, 2021 (inception) through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financing activities totaled approximately $37.4 million and related to drawdowns on the revolving credit facility of $53.0 million, approximately $4.5 million in proceeds received from the underwriters’ partial exercise of their over-allotment option, less approximately $19.9 million in dividends paid and offering costs relating to our initial public offering of approximately $24,000 and $177,261 in debt issuances costs paid,</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from March 30, 2021 (inception) through September 30, 2021, we received approximately $91.0 million in cash from financing activities related to proceeds received from the issuance of shares of our common stock of approximately $92.5 million offset by dividends paid of approximately $1.1 million and payment of deferred offering costs of approximately $485,000.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Leverage Policies</w:t>
      </w:r>
    </w:p>
    <w:p>
      <w:pPr>
        <w:spacing w:after="0" w:line="229"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Although we are not required to maintain any particular leverage ratio, we expect to employ prudent amounts of leverage and, when appropriate, to use debt as a means of providing additional funds for the acquisition of loans, to refinance existing debt or for general corporate purposes. Leverage is primarily used to provide capital for forward commitments until additional equity is raised or additional medium- to long-term financing is arranged. This policy is subject to change by management and our Board.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spacing w:after="0" w:line="1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nine months ended September 30,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Taxable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Return of</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Section 199A</w:t>
            </w:r>
          </w:p>
        </w:tc>
      </w:tr>
      <w:tr>
        <w:trPr>
          <w:trHeight w:val="245"/>
        </w:trPr>
        <w:tc>
          <w:tcPr>
            <w:tcW w:w="3740" w:type="dxa"/>
            <w:vAlign w:val="bottom"/>
          </w:tcPr>
          <w:p>
            <w:pPr>
              <w:spacing w:after="0"/>
              <w:rPr>
                <w:sz w:val="21"/>
                <w:szCs w:val="21"/>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Dividends</w:t>
            </w:r>
          </w:p>
        </w:tc>
      </w:tr>
      <w:tr>
        <w:trPr>
          <w:trHeight w:val="216"/>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3/31/2022</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6/30/2022</w:t>
            </w: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7/15/2022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r>
      <w:tr>
        <w:trPr>
          <w:trHeight w:val="23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Regular cash dividend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9/30/2022</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10/14/2022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shd w:val="clear" w:color="auto" w:fill="CCEEFF"/>
          </w:tcPr>
          <w:p>
            <w:pPr>
              <w:spacing w:after="0"/>
              <w:rPr>
                <w:sz w:val="20"/>
                <w:szCs w:val="20"/>
                <w:color w:val="auto"/>
              </w:rPr>
            </w:pPr>
          </w:p>
        </w:tc>
      </w:tr>
      <w:tr>
        <w:trPr>
          <w:trHeight w:val="210"/>
        </w:trPr>
        <w:tc>
          <w:tcPr>
            <w:tcW w:w="37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cash dividend</w:t>
            </w: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34"/>
        </w:trPr>
        <w:tc>
          <w:tcPr>
            <w:tcW w:w="3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 and Estimates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no significant changes in the application of our accounting policies or estimates from those presented in our annual report on Form 10-K. Refer to Note 2 to our consolidated financial statements for the nine months ended September 30, 2022, titled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for information on recent accounting pronouncements.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non-credit impaired loans to borrowers. Changes in market yields may change the fair value of certain of our loans. Generally, an increase in market yields may result in a decrease in the fair value of certain of our loans, however this is mitigated to the extent our loans bear interest at a floating rate. As of September 30, 2022, we had 13 floating-rate loans, representing approximately 59.7% of our loan portfolio based on aggregate outstanding principal balances, most of which are subject to a prime rate floor. We estimate that a hypothetical 100 basis points increase in the prime rate would result in an increase in annual interest income of approximately $1.8 million and a 100 basis points decrease in prime rate would result in a decrease in annual interest income of approximately $1.9 million. Our loans generally have a prime rate floor of 3.25%.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Market Interest Rates and Effect on Net Interest Income</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will be subject to interest rate risk in connection with our assets and our related financing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ind w:right="120" w:firstLine="648"/>
        <w:spacing w:after="0" w:line="276" w:lineRule="auto"/>
        <w:rPr>
          <w:sz w:val="20"/>
          <w:szCs w:val="20"/>
          <w:color w:val="auto"/>
        </w:rPr>
      </w:pPr>
      <w:r>
        <w:rPr>
          <w:rFonts w:ascii="Times New Roman" w:cs="Times New Roman" w:eastAsia="Times New Roman" w:hAnsi="Times New Roman"/>
          <w:sz w:val="17"/>
          <w:szCs w:val="17"/>
          <w:color w:val="auto"/>
        </w:rPr>
        <w:t>Our operating results will depend in large part on differences between the income earned on our assets and our cost of borrowing. The cost of our borrowings generally will be based on prevailing market interest rates. During a period of rising interest rates, our borrowing costs generally will increase</w:t>
      </w:r>
    </w:p>
    <w:p>
      <w:pPr>
        <w:spacing w:after="0" w:line="1" w:lineRule="exact"/>
        <w:rPr>
          <w:sz w:val="20"/>
          <w:szCs w:val="20"/>
          <w:color w:val="auto"/>
        </w:rPr>
      </w:pPr>
    </w:p>
    <w:p>
      <w:pPr>
        <w:ind w:firstLine="8"/>
        <w:spacing w:after="0" w:line="253" w:lineRule="auto"/>
        <w:tabs>
          <w:tab w:leader="none" w:pos="24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Cap Risk</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These factors could lower our net interest income or cause a net loss during periods of rising interest rates, which would harm our financial condition, cash flows, and results of operations. As of September 30, 2022, all of our floating rate loans have interest rate floors, and one loan is subject to an interest rate cap.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Mismatch Risk</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stockholders.</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We intend to capitalize on these opportunities and growing the size of our portfolio.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spacing w:after="0" w:line="180" w:lineRule="exact"/>
        <w:rPr>
          <w:sz w:val="20"/>
          <w:szCs w:val="20"/>
          <w:color w:val="auto"/>
        </w:rPr>
      </w:pPr>
    </w:p>
    <w:p>
      <w:pPr>
        <w:ind w:left="980" w:right="6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manage our portfolio through an interactive process with our Manager and generally service our self-originated loans through our Manager’s servicer;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7" w:name="page38"/>
    <w:bookmarkEnd w:id="37"/>
    <w:p>
      <w:pPr>
        <w:ind w:left="980" w:hanging="324"/>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in a mix of floating-and fixed-rate loans to mitigate the interest rate risk associated with the financing of our portfolio;</w:t>
      </w:r>
    </w:p>
    <w:p>
      <w:pPr>
        <w:spacing w:after="0" w:line="225"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spacing w:after="0" w:line="175" w:lineRule="exact"/>
        <w:rPr>
          <w:rFonts w:ascii="Times New Roman" w:cs="Times New Roman" w:eastAsia="Times New Roman" w:hAnsi="Times New Roman"/>
          <w:sz w:val="18"/>
          <w:szCs w:val="18"/>
          <w:color w:val="auto"/>
        </w:rPr>
      </w:pPr>
    </w:p>
    <w:p>
      <w:pPr>
        <w:ind w:left="980" w:right="440" w:hanging="324"/>
        <w:spacing w:after="0" w:line="261" w:lineRule="auto"/>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of Our Assets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generally hold our target investments as long-term loans; however, we may occasionally classify some of our loans as held for sale. We may carry our loans at fair value or carrying value in our balance sheet. As of September 30, 2022 and December 31, 2021, none of our loans held for investment were carried at fair value.</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evaluate our loans on a quarterly basis. We may use an independent third-party valuation firm to provide input in the valuation of certain of our unquoted investments, which we consider along with other various subjective and objective factors in making our evaluations.</w:t>
      </w:r>
    </w:p>
    <w:p>
      <w:pPr>
        <w:spacing w:after="0" w:line="162"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loans are typically valued using a yield analysis, which is typically performed for non-credit impaired loans to borrowers. To determine fair value using a yield analysis, a current price is imputed for the loan based 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may change the fair value of certain of our loans. Generally, an increase in market yields may result in a decrease in the fair value of certain of our loans, however this is mitigated to the extent our loans bear interest at a floating rate.</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spacing w:after="0" w:line="176"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September 30, 2022, 96% of our portfolio is fully secured by real estate and 4% has limited or no real estate collateral. Our portfolio on average had real estate collateral coverage of 1.9x as of September 30, 2022, and substantially all of our loans are secured by equity pledges of the borrower and all asset liens.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Manager or affiliates of our Manager have originated all of our loans and intend to continue to originate our loans, but we may in the future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Credit risk will also be addressed through our Manager’s on-going review, and loans will be monitored for variance from expected prepayments, defaults, severities, losses, and cash flow on a quarterly basis.</w:t>
      </w:r>
    </w:p>
    <w:p>
      <w:pPr>
        <w:spacing w:after="0" w:line="162" w:lineRule="exact"/>
        <w:rPr>
          <w:sz w:val="20"/>
          <w:szCs w:val="20"/>
          <w:color w:val="auto"/>
        </w:rPr>
      </w:pPr>
    </w:p>
    <w:p>
      <w:pPr>
        <w:ind w:right="180" w:firstLine="648"/>
        <w:spacing w:after="0" w:line="276" w:lineRule="auto"/>
        <w:rPr>
          <w:sz w:val="20"/>
          <w:szCs w:val="20"/>
          <w:color w:val="auto"/>
        </w:rPr>
      </w:pPr>
      <w:r>
        <w:rPr>
          <w:rFonts w:ascii="Times New Roman" w:cs="Times New Roman" w:eastAsia="Times New Roman" w:hAnsi="Times New Roman"/>
          <w:sz w:val="17"/>
          <w:szCs w:val="17"/>
          <w:color w:val="auto"/>
        </w:rPr>
        <w:t>Our loan portfolio as of September 30, 2022 and December 31, 2021, was concentrated with the top three borrowers representing approximately 29.8% and 34.6% of the funded principal and approximately 28.1% and 31.9% of the total commitments to borrowers, respectively, and approximately</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28.8% and 9.7% of the total interest income for the nine months ended September 30, 2022 and the period March 30, 2021 (inception) through September 30, 2021, respectively. The largest loan represented approximately 11.0% and 15.0% of the funded principal and approximately 10.3% and 12.8% of the total commitments as of September 30, 2022 and December 31, 2021,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resulting from macro-environmental or industry-specific factors may reduce the value of the collateral and the potential proceeds available to a borrower to repay the underlying loan or loans, as the case may be, which warrant an increase in the reserve for current expected credit losses or could also cause us to suffer losses on existing real estate secured loans.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CEO and Interim CFO, to allow timely decisions regarding required disclosures.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this quarterly report on Form 10-Q, our management, including the CEO and Interim CFO, evaluated the effectiveness of the design and operation of our disclosure controls and procedures as of September 30, 2022. Based on that evaluation, our CEO and Interim CFO have concluded that our disclosure controls and procedures were not effective at the reasonable assurance level as of September 30, 2022 because of the material weaknesses in our internal control over financial reporting that were previously reported in our Annual Report on Form 10-K for the year ended December 31, 2021 (the “2021 10-K”). Such material weakness relates to inadequate design and implementation of information technology general controls that prevent the information systems from providing appropriate segregation of duties, and delivery of complete and accurate information consistent with financial reporting objectives and current needs. Additionally, as previously reported in the 2021 10-K, a control deficiency in our internal control over financial reporting was identified which constitutes a material weakness relating to inadequate design and implementation of controls relating to the development of our allowance for current expected credit losses.</w:t>
      </w:r>
    </w:p>
    <w:p>
      <w:pPr>
        <w:spacing w:after="0" w:line="18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taken certain measures to address the material weakness related to information technology general controls described above, including hiring additional personnel, engaging an independent fund administrator, and designing and implementing formal user access controls. Additionally, we have engaged a third-party vendor and are in the process of implementing a new ERP system conducive to segregation of duties and a more robust control environment.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Additionally, we have taken measures to address the material weakness related to the Company’s development of its reserve for current expected credit losses. These measures include designing and implementing more robust procedures and controls over the preparation and review of risk ratings and the estimation of enterprise value of our borrowers, as well as over the preparation and review over the development of reasonable and supportable forecasts of the performance of our borrowers and the related loans.</w:t>
      </w:r>
    </w:p>
    <w:p>
      <w:pPr>
        <w:spacing w:after="0" w:line="180"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While we believe that the efforts taken to date have improved the effectiveness of our internal control over financial reporting, additional remediation efforts are ongoing and will require additional time before management is able to conclude that the design is effective to address the risks of material misstatement and that such controls are operating effectively through testing of such controls. We may conclude that additional measures are necessary to remediate the material weaknesses in our internal control over financial reporting, which may necessitate additional evaluation and implementation time.</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material weaknesses, the Company has concluded that the consolidated financial statements included in this report present fairly, in all material respects, the financial position of the Company as of September 30, 2022, and the results of its operations and its cash flows for the year then ended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September 30, 2022 that have materially affected, or that are reasonably likely to materially affect, our internal control over financial reporting.</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subject to various legal proceedings from time to time. We are not party to any material pending legal proceedings required to be disclosed pursuant to Item 103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2021, and in Part II, “Item 1A. Risk Factors” in our Quarterly Report on Form 10-Q for the quarters ended March 31, 2022 and June 30, 2022,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year ended December 31, 2021 and Quarterly Report on Form 10-Q for the quarters ended March 31, 2022 and June 30, 2022.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spacing w:after="0" w:line="184"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macroeconomic trends, including inflation and rising interest rates, may adversely affect our business, financial condition and results of operations.</w:t>
      </w:r>
    </w:p>
    <w:p>
      <w:pPr>
        <w:spacing w:after="0" w:line="159"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During the nine months ended September 30, 2022, inflation in the United States has accelerated and is currently expected to continue at an elevated level in the near-term. Rising inflation could have an adverse impact on any variable rate debt we may incur in the future, and our general and administrative expenses, as these costs could increase at a rate higher than our interest income and other revenue. The Federal Reserve has recently started raising interest rates to combat inflation and restore price stability and it is expected that rates will continue to rise throughout the remainder of 2022. To the extent our borrowing costs increase faster than the interest income earned from our floating-rate loans, such increases may adversely affect our cash flows.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10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Interim Chief Financial Officer pursuant to Section 302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5"/>
                <w:szCs w:val="15"/>
                <w:color w:val="auto"/>
              </w:rPr>
            </w:pPr>
          </w:p>
        </w:tc>
        <w:tc>
          <w:tcPr>
            <w:tcW w:w="101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Interim Chief Financial Officer pursuant to Section 906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8"/>
        </w:trPr>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8"/>
                <w:szCs w:val="18"/>
                <w:color w:val="auto"/>
              </w:rPr>
            </w:pP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4"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Furnished herewith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CHICAGO ATLANTIC REAL ESTATE FINANCE, INC.</w:t>
      </w:r>
    </w:p>
    <w:p>
      <w:pPr>
        <w:spacing w:after="0" w:line="241"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November 9, 2022</w:t>
      </w:r>
      <w:r>
        <w:rPr>
          <w:sz w:val="20"/>
          <w:szCs w:val="20"/>
          <w:color w:val="auto"/>
        </w:rPr>
        <w:tab/>
      </w: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Dated: November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Financial Officer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Cappell, Chief Executive Officer of Chicago Atlantic Real Estate Finance, Inc., certify that:</w:t>
      </w:r>
    </w:p>
    <w:p>
      <w:pPr>
        <w:spacing w:after="0" w:line="225"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Phillip Silverman, Interim Chief Financial Officer of Chicago Atlantic Real Estate Finance, Inc., certify that:</w:t>
      </w:r>
    </w:p>
    <w:p>
      <w:pPr>
        <w:spacing w:after="0" w:line="225"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Chicago Atlantic Real Estate Finance,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6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Financial Officer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(the “Report”) of Chicago Atlantic Real Estate Finance, Inc. (the “Registrant”), as filed with the Securities and Exchange Commission on the date hereof, I, Anthony Cappell, the Chief Executive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332"/>
        <w:spacing w:after="0" w:line="500" w:lineRule="auto"/>
        <w:tabs>
          <w:tab w:leader="none" w:pos="64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November 9, 2022</w:t>
      </w:r>
    </w:p>
    <w:p>
      <w:pPr>
        <w:spacing w:after="0" w:line="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Anthony Cappell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Anthony Cappell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1350)</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2022 (the “Report”) of Chicago Atlantic Real Estate Finance, Inc. (the “Registrant”), as filed with the Securities and Exchange Commission on the date hereof, I, Phillip Silverman, the Interim Chief Financial Officer of the Registrant, hereby certify, to the best of my knowledge, that:</w:t>
      </w:r>
    </w:p>
    <w:p>
      <w:pPr>
        <w:spacing w:after="0" w:line="176"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100" w:firstLine="332"/>
        <w:spacing w:after="0" w:line="500" w:lineRule="auto"/>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November 9, 2022</w:t>
      </w:r>
    </w:p>
    <w:p>
      <w:pPr>
        <w:spacing w:after="0" w:line="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Phillip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Phillip Silverman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Financial Officer and Treasurer</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lvl w:ilvl="1">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bullet"/>
      <w:start w:val="1"/>
    </w:lvl>
  </w:abstractNum>
  <w:abstractNum w:abstractNumId="5">
    <w:nsid w:val="71F32454"/>
    <w:multiLevelType w:val="hybridMultilevel"/>
    <w:lvl w:ilvl="0">
      <w:lvlJc w:val="left"/>
      <w:lvlText w:val="2"/>
      <w:numFmt w:val="bullet"/>
      <w:start w:val="1"/>
    </w:lvl>
  </w:abstractNum>
  <w:abstractNum w:abstractNumId="6">
    <w:nsid w:val="2CA88611"/>
    <w:multiLevelType w:val="hybridMultilevel"/>
    <w:lvl w:ilvl="0">
      <w:lvlJc w:val="left"/>
      <w:lvlText w:val="3"/>
      <w:numFmt w:val="bullet"/>
      <w:start w:val="1"/>
    </w:lvl>
  </w:abstractNum>
  <w:abstractNum w:abstractNumId="7">
    <w:nsid w:val="836C40E"/>
    <w:multiLevelType w:val="hybridMultilevel"/>
    <w:lvl w:ilvl="0">
      <w:lvlJc w:val="left"/>
      <w:lvlText w:val="4"/>
      <w:numFmt w:val="bullet"/>
      <w:start w:val="1"/>
    </w:lvl>
  </w:abstractNum>
  <w:abstractNum w:abstractNumId="8">
    <w:nsid w:val="2901D82"/>
    <w:multiLevelType w:val="hybridMultilevel"/>
    <w:lvl w:ilvl="0">
      <w:lvlJc w:val="left"/>
      <w:lvlText w:val="5"/>
      <w:numFmt w:val="bullet"/>
      <w:start w:val="1"/>
    </w:lvl>
  </w:abstractNum>
  <w:abstractNum w:abstractNumId="9">
    <w:nsid w:val="3A95F874"/>
    <w:multiLevelType w:val="hybridMultilevel"/>
    <w:lvl w:ilvl="0">
      <w:lvlJc w:val="left"/>
      <w:lvlText w:val="6"/>
      <w:numFmt w:val="bullet"/>
      <w:start w:val="1"/>
    </w:lvl>
  </w:abstractNum>
  <w:abstractNum w:abstractNumId="10">
    <w:nsid w:val="8138641"/>
    <w:multiLevelType w:val="hybridMultilevel"/>
    <w:lvl w:ilvl="0">
      <w:lvlJc w:val="left"/>
      <w:lvlText w:val="7"/>
      <w:numFmt w:val="bullet"/>
      <w:start w:val="1"/>
    </w:lvl>
  </w:abstractNum>
  <w:abstractNum w:abstractNumId="11">
    <w:nsid w:val="1E7FF521"/>
    <w:multiLevelType w:val="hybridMultilevel"/>
    <w:lvl w:ilvl="0">
      <w:lvlJc w:val="left"/>
      <w:lvlText w:val="8"/>
      <w:numFmt w:val="bullet"/>
      <w:start w:val="1"/>
    </w:lvl>
  </w:abstractNum>
  <w:abstractNum w:abstractNumId="12">
    <w:nsid w:val="7C3DBD3D"/>
    <w:multiLevelType w:val="hybridMultilevel"/>
    <w:lvl w:ilvl="0">
      <w:lvlJc w:val="left"/>
      <w:lvlText w:val="9"/>
      <w:numFmt w:val="bullet"/>
      <w:start w:val="1"/>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3"/>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2"/>
      <w:numFmt w:val="bullet"/>
      <w:start w:val="1"/>
    </w:lvl>
  </w:abstractNum>
  <w:abstractNum w:abstractNumId="18">
    <w:nsid w:val="614FD4A1"/>
    <w:multiLevelType w:val="hybridMultilevel"/>
    <w:lvl w:ilvl="0">
      <w:lvlJc w:val="left"/>
      <w:lvlText w:val="3"/>
      <w:numFmt w:val="bullet"/>
      <w:start w:val="1"/>
    </w:lvl>
  </w:abstractNum>
  <w:abstractNum w:abstractNumId="19">
    <w:nsid w:val="419AC241"/>
    <w:multiLevelType w:val="hybridMultilevel"/>
    <w:lvl w:ilvl="0">
      <w:lvlJc w:val="left"/>
      <w:lvlText w:val="4"/>
      <w:numFmt w:val="bullet"/>
      <w:start w:val="1"/>
    </w:lvl>
  </w:abstractNum>
  <w:abstractNum w:abstractNumId="20">
    <w:nsid w:val="5577F8E1"/>
    <w:multiLevelType w:val="hybridMultilevel"/>
    <w:lvl w:ilvl="0">
      <w:lvlJc w:val="left"/>
      <w:lvlText w:val="5"/>
      <w:numFmt w:val="bullet"/>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3"/>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bullet"/>
      <w:start w:val="1"/>
    </w:lvl>
  </w:abstractNum>
  <w:abstractNum w:abstractNumId="36">
    <w:nsid w:val="2A487CB0"/>
    <w:multiLevelType w:val="hybridMultilevel"/>
    <w:lvl w:ilvl="0">
      <w:lvlJc w:val="left"/>
      <w:lvlText w:val="2"/>
      <w:numFmt w:val="bullet"/>
      <w:start w:val="1"/>
    </w:lvl>
  </w:abstractNum>
  <w:abstractNum w:abstractNumId="37">
    <w:nsid w:val="1D4ED43B"/>
    <w:multiLevelType w:val="hybridMultilevel"/>
    <w:lvl w:ilvl="0">
      <w:lvlJc w:val="left"/>
      <w:lvlText w:val="3"/>
      <w:numFmt w:val="bullet"/>
      <w:start w:val="1"/>
    </w:lvl>
  </w:abstractNum>
  <w:abstractNum w:abstractNumId="38">
    <w:nsid w:val="725A06FB"/>
    <w:multiLevelType w:val="hybridMultilevel"/>
    <w:lvl w:ilvl="0">
      <w:lvlJc w:val="left"/>
      <w:lvlText w:val="4"/>
      <w:numFmt w:val="bullet"/>
      <w:start w:val="1"/>
    </w:lvl>
  </w:abstractNum>
  <w:abstractNum w:abstractNumId="39">
    <w:nsid w:val="2CD89A32"/>
    <w:multiLevelType w:val="hybridMultilevel"/>
    <w:lvl w:ilvl="0">
      <w:lvlJc w:val="left"/>
      <w:lvlText w:val="5"/>
      <w:numFmt w:val="bullet"/>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lowerLetter"/>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2022-11-09T06:07:10Z</dcterms:created>
  <dcterms:modified xsi:type="dcterms:W3CDTF">2022-11-09T06:07:10Z</dcterms:modified>
</cp:coreProperties>
</file>