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1140" w:hanging="208"/>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40" w:hanging="20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001-41123</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REAL ESTATE FINANCE, INC.</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500" w:type="dxa"/>
            <w:vAlign w:val="bottom"/>
          </w:tcPr>
          <w:p>
            <w:pPr>
              <w:spacing w:after="0"/>
              <w:rPr>
                <w:sz w:val="18"/>
                <w:szCs w:val="18"/>
                <w:color w:val="auto"/>
              </w:rPr>
            </w:pPr>
          </w:p>
        </w:tc>
      </w:tr>
      <w:tr>
        <w:trPr>
          <w:trHeight w:val="309"/>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22"/>
        </w:trPr>
        <w:tc>
          <w:tcPr>
            <w:tcW w:w="3920" w:type="dxa"/>
            <w:vAlign w:val="bottom"/>
            <w:gridSpan w:val="3"/>
          </w:tcPr>
          <w:p>
            <w:pPr>
              <w:ind w:left="1900"/>
              <w:spacing w:after="0" w:line="12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tcPr>
          <w:p>
            <w:pPr>
              <w:ind w:left="220"/>
              <w:spacing w:after="0" w:line="12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1"/>
        </w:trPr>
        <w:tc>
          <w:tcPr>
            <w:tcW w:w="3920" w:type="dxa"/>
            <w:vAlign w:val="bottom"/>
            <w:gridSpan w:val="3"/>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1680 Michigan Avenue, Suite 700</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15"/>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right"/>
              <w:ind w:right="2460"/>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85"/>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(Zip Code)</w:t>
            </w:r>
          </w:p>
        </w:tc>
      </w:tr>
      <w:tr>
        <w:trPr>
          <w:trHeight w:val="278"/>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809-7002</w:t>
            </w:r>
          </w:p>
        </w:tc>
      </w:tr>
      <w:tr>
        <w:trPr>
          <w:trHeight w:val="263"/>
        </w:trPr>
        <w:tc>
          <w:tcPr>
            <w:tcW w:w="7740" w:type="dxa"/>
            <w:vAlign w:val="bottom"/>
            <w:gridSpan w:val="8"/>
          </w:tcPr>
          <w:p>
            <w:pPr>
              <w:ind w:left="35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2"/>
                <w:szCs w:val="22"/>
                <w:color w:val="auto"/>
              </w:rPr>
            </w:pPr>
          </w:p>
        </w:tc>
      </w:tr>
      <w:tr>
        <w:trPr>
          <w:trHeight w:val="33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9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2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REFI</w:t>
            </w:r>
          </w:p>
        </w:tc>
        <w:tc>
          <w:tcPr>
            <w:tcW w:w="35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0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at August 4, 2025</w:t>
            </w:r>
          </w:p>
        </w:tc>
      </w:tr>
      <w:tr>
        <w:trPr>
          <w:trHeight w:val="209"/>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21,074,625</w:t>
            </w:r>
          </w:p>
        </w:tc>
      </w:tr>
      <w:tr>
        <w:trPr>
          <w:trHeight w:val="135"/>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81"/>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40" w:type="dxa"/>
            <w:vAlign w:val="bottom"/>
            <w:gridSpan w:val="11"/>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CHICAGO ATLANTIC REAL ESTATE FINANCE, INC.</w:t>
            </w:r>
          </w:p>
        </w:tc>
        <w:tc>
          <w:tcPr>
            <w:tcW w:w="194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4"/>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4"/>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94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Financial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rPr>
                <w:sz w:val="15"/>
                <w:szCs w:val="15"/>
                <w:color w:val="auto"/>
              </w:rPr>
            </w:pP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rPr>
                <w:sz w:val="15"/>
                <w:szCs w:val="15"/>
                <w:color w:val="auto"/>
              </w:rPr>
            </w:pP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7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373,990,760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364,238,847</w:t>
            </w:r>
          </w:p>
        </w:tc>
        <w:tc>
          <w:tcPr>
            <w:tcW w:w="12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held for investment - related party (Note 8)</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39,984,724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38,238,199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carrying value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413,975,484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(4,421,348)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(4,346,869)</w:t>
            </w:r>
          </w:p>
        </w:tc>
      </w:tr>
      <w:tr>
        <w:trPr>
          <w:trHeight w:val="209"/>
        </w:trPr>
        <w:tc>
          <w:tcPr>
            <w:tcW w:w="75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409,554,136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398,130,177</w:t>
            </w:r>
          </w:p>
        </w:tc>
        <w:tc>
          <w:tcPr>
            <w:tcW w:w="120" w:type="dxa"/>
            <w:vAlign w:val="bottom"/>
            <w:tcBorders>
              <w:top w:val="single" w:sz="8" w:color="CFF0FC"/>
            </w:tcBorders>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at fair value - related party (amortized cost of $5,500,000 and $5,500,000, respectively)</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35,562,084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26,400,448</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3,295,906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1,453,823</w:t>
            </w:r>
          </w:p>
        </w:tc>
        <w:tc>
          <w:tcPr>
            <w:tcW w:w="12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455,214,325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435,148,974</w:t>
            </w:r>
          </w:p>
        </w:tc>
        <w:tc>
          <w:tcPr>
            <w:tcW w:w="12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loan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55,000,000</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 net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49,215,015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49,096,250</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payable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9,905,074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1,872,082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1,355,598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2,285,035</w:t>
            </w:r>
          </w:p>
        </w:tc>
        <w:tc>
          <w:tcPr>
            <w:tcW w:w="12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reserve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12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 for investment purchased</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9,461,774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145,185,935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126,190,877</w:t>
            </w:r>
          </w:p>
        </w:tc>
        <w:tc>
          <w:tcPr>
            <w:tcW w:w="12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432"/>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75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shares authorized and 21,074,625 and</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20,829,228 shares issued and outstanding, respectively</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210,746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208,292</w:t>
            </w:r>
          </w:p>
        </w:tc>
        <w:tc>
          <w:tcPr>
            <w:tcW w:w="120" w:type="dxa"/>
            <w:vAlign w:val="bottom"/>
            <w:shd w:val="clear" w:color="auto" w:fill="CFF0FC"/>
          </w:tcPr>
          <w:p>
            <w:pPr>
              <w:spacing w:after="0"/>
              <w:rPr>
                <w:sz w:val="20"/>
                <w:szCs w:val="20"/>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321,366,160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318,886,768</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(11,548,516)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(10,136,963)</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310,028,390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308,958,097</w:t>
            </w:r>
          </w:p>
        </w:tc>
        <w:tc>
          <w:tcPr>
            <w:tcW w:w="120" w:type="dxa"/>
            <w:vAlign w:val="bottom"/>
            <w:tcBorders>
              <w:top w:val="single" w:sz="8" w:color="CFF0FC"/>
            </w:tcBorders>
          </w:tcPr>
          <w:p>
            <w:pPr>
              <w:spacing w:after="0"/>
              <w:rPr>
                <w:sz w:val="18"/>
                <w:szCs w:val="18"/>
                <w:color w:val="auto"/>
              </w:rPr>
            </w:pPr>
          </w:p>
        </w:tc>
      </w:tr>
      <w:tr>
        <w:trPr>
          <w:trHeight w:val="209"/>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455,214,325</w:t>
            </w:r>
          </w:p>
        </w:tc>
        <w:tc>
          <w:tcPr>
            <w:tcW w:w="18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435,148,974</w:t>
            </w:r>
          </w:p>
        </w:tc>
        <w:tc>
          <w:tcPr>
            <w:tcW w:w="120" w:type="dxa"/>
            <w:vAlign w:val="bottom"/>
            <w:shd w:val="clear" w:color="auto" w:fill="CFF0FC"/>
          </w:tcPr>
          <w:p>
            <w:pPr>
              <w:spacing w:after="0"/>
              <w:rPr>
                <w:sz w:val="22"/>
                <w:szCs w:val="22"/>
                <w:color w:val="auto"/>
              </w:rPr>
            </w:pPr>
          </w:p>
        </w:tc>
      </w:tr>
      <w:tr>
        <w:trPr>
          <w:trHeight w:val="845"/>
        </w:trPr>
        <w:tc>
          <w:tcPr>
            <w:tcW w:w="756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-5271135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-5271135</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-4988560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-4988560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-4157345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-4157345</wp:posOffset>
            </wp:positionV>
            <wp:extent cx="7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-2613660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-1499235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-1070610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16,502,035</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15,022,431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31,609,350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30,366,098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(2,077,048)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(1,838,932)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(4,142,430)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(3,942,982)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14,424,987</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13,183,499</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27,466,920</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26,423,116</w:t>
            </w:r>
          </w:p>
        </w:tc>
        <w:tc>
          <w:tcPr>
            <w:tcW w:w="120" w:type="dxa"/>
            <w:vAlign w:val="bottom"/>
            <w:tcBorders>
              <w:top w:val="single" w:sz="8" w:color="CFF0FC"/>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vMerge w:val="restart"/>
          </w:tcPr>
          <w:p>
            <w:pPr>
              <w:spacing w:after="0"/>
              <w:rPr>
                <w:sz w:val="18"/>
                <w:szCs w:val="18"/>
                <w:color w:val="auto"/>
              </w:rPr>
            </w:pPr>
          </w:p>
        </w:tc>
        <w:tc>
          <w:tcPr>
            <w:tcW w:w="4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1,932,957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3,668,490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3,529,621</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859,007</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1,147,290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(275,471)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5,712,612</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3,999,426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8,713,234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8,505,864</w:t>
            </w:r>
          </w:p>
        </w:tc>
        <w:tc>
          <w:tcPr>
            <w:tcW w:w="120" w:type="dxa"/>
            <w:vAlign w:val="bottom"/>
            <w:tcBorders>
              <w:top w:val="single" w:sz="8" w:color="CFF0FC"/>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8,877,375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18,918,686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8,877,375</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18,918,686</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80" w:type="dxa"/>
            <w:vAlign w:val="bottom"/>
            <w:vMerge w:val="restart"/>
          </w:tcPr>
          <w:p>
            <w:pPr>
              <w:spacing w:after="0"/>
              <w:rPr>
                <w:sz w:val="17"/>
                <w:szCs w:val="17"/>
                <w:color w:val="auto"/>
              </w:rPr>
            </w:pPr>
          </w:p>
        </w:tc>
        <w:tc>
          <w:tcPr>
            <w:tcW w:w="47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21,002,787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19,378,445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18,826,182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21,487,106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19,890,376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21,376,645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19,265,434</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-4139565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-4139565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-4139565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-4139565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-3025140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-3025140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-3025140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-3025140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-2167890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-2150745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-2167890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-2150745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-2167890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-2150745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-2167890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-2150745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2"/>
                <w:szCs w:val="22"/>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20,893,785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208,938</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320,486,840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(9,915,731)</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310,780,047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180,840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881,128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881,128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(605,086)</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(605,086)</w:t>
            </w:r>
          </w:p>
        </w:tc>
        <w:tc>
          <w:tcPr>
            <w:tcW w:w="0" w:type="dxa"/>
            <w:vAlign w:val="bottom"/>
          </w:tcPr>
          <w:p>
            <w:pPr>
              <w:spacing w:after="0"/>
              <w:rPr>
                <w:sz w:val="1"/>
                <w:szCs w:val="1"/>
                <w:color w:val="auto"/>
              </w:rPr>
            </w:pPr>
          </w:p>
        </w:tc>
      </w:tr>
      <w:tr>
        <w:trPr>
          <w:trHeight w:val="149"/>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(9,905,074)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(9,905,074)</w:t>
            </w:r>
          </w:p>
        </w:tc>
        <w:tc>
          <w:tcPr>
            <w:tcW w:w="0" w:type="dxa"/>
            <w:vAlign w:val="bottom"/>
          </w:tcPr>
          <w:p>
            <w:pPr>
              <w:spacing w:after="0"/>
              <w:rPr>
                <w:sz w:val="1"/>
                <w:szCs w:val="1"/>
                <w:color w:val="auto"/>
              </w:rPr>
            </w:pPr>
          </w:p>
        </w:tc>
      </w:tr>
      <w:tr>
        <w:trPr>
          <w:trHeight w:val="148"/>
        </w:trPr>
        <w:tc>
          <w:tcPr>
            <w:tcW w:w="404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8,877,375</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8,877,375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21,074,625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210,746</w:t>
            </w:r>
          </w:p>
        </w:tc>
        <w:tc>
          <w:tcPr>
            <w:tcW w:w="180" w:type="dxa"/>
            <w:vAlign w:val="bottom"/>
          </w:tcPr>
          <w:p>
            <w:pPr>
              <w:spacing w:after="0"/>
              <w:rPr>
                <w:sz w:val="12"/>
                <w:szCs w:val="12"/>
                <w:color w:val="auto"/>
              </w:rPr>
            </w:pPr>
          </w:p>
        </w:tc>
        <w:tc>
          <w:tcPr>
            <w:tcW w:w="2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321,366,160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(11,548,516)</w:t>
            </w:r>
          </w:p>
        </w:tc>
        <w:tc>
          <w:tcPr>
            <w:tcW w:w="80" w:type="dxa"/>
            <w:vAlign w:val="bottom"/>
          </w:tcPr>
          <w:p>
            <w:pPr>
              <w:spacing w:after="0"/>
              <w:rPr>
                <w:sz w:val="12"/>
                <w:szCs w:val="12"/>
                <w:color w:val="auto"/>
              </w:rPr>
            </w:pP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310,028,390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Borders>
              <w:bottom w:val="single" w:sz="8" w:color="auto"/>
            </w:tcBorders>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4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19,100,282</w:t>
            </w:r>
          </w:p>
        </w:tc>
        <w:tc>
          <w:tcPr>
            <w:tcW w:w="40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191,003</w:t>
            </w:r>
          </w:p>
        </w:tc>
        <w:tc>
          <w:tcPr>
            <w:tcW w:w="3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291,858,521</w:t>
            </w:r>
          </w:p>
        </w:tc>
        <w:tc>
          <w:tcPr>
            <w:tcW w:w="1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(6,088,747)</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285,960,777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410,360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4,104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6,228,908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6,233,012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4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113,816</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(1,138)</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836,333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836,333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14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(265,790)</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(265,790)</w:t>
            </w: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(9,223,500)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(9,223,500)</w:t>
            </w: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9,184,073</w:t>
            </w: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9,184,073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0" w:type="dxa"/>
            <w:vAlign w:val="bottom"/>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19,624,458</w:t>
            </w:r>
          </w:p>
        </w:tc>
        <w:tc>
          <w:tcPr>
            <w:tcW w:w="4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196,245</w:t>
            </w:r>
          </w:p>
        </w:tc>
        <w:tc>
          <w:tcPr>
            <w:tcW w:w="3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298,922,624</w:t>
            </w:r>
          </w:p>
        </w:tc>
        <w:tc>
          <w:tcPr>
            <w:tcW w:w="160" w:type="dxa"/>
            <w:vAlign w:val="bottom"/>
          </w:tcPr>
          <w:p>
            <w:pPr>
              <w:spacing w:after="0"/>
              <w:rPr>
                <w:sz w:val="12"/>
                <w:szCs w:val="12"/>
                <w:color w:val="auto"/>
              </w:rPr>
            </w:pP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(6,393,964)</w:t>
            </w:r>
          </w:p>
        </w:tc>
        <w:tc>
          <w:tcPr>
            <w:tcW w:w="2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292,724,905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20,829,228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208,292</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318,886,768</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(10,136,963)</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308,958,097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64,557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950,760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180,840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1,530,440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(605,086)</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(605,086)</w:t>
            </w: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(19,725,153)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(19,725,153)</w:t>
            </w: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18,918,686</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18,918,686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21,074,625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210,746</w:t>
            </w:r>
          </w:p>
        </w:tc>
        <w:tc>
          <w:tcPr>
            <w:tcW w:w="180" w:type="dxa"/>
            <w:vAlign w:val="bottom"/>
          </w:tcPr>
          <w:p>
            <w:pPr>
              <w:spacing w:after="0"/>
              <w:rPr>
                <w:sz w:val="12"/>
                <w:szCs w:val="12"/>
                <w:color w:val="auto"/>
              </w:rPr>
            </w:pPr>
          </w:p>
        </w:tc>
        <w:tc>
          <w:tcPr>
            <w:tcW w:w="2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321,366,160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(11,548,516)</w:t>
            </w:r>
          </w:p>
        </w:tc>
        <w:tc>
          <w:tcPr>
            <w:tcW w:w="80" w:type="dxa"/>
            <w:vAlign w:val="bottom"/>
          </w:tcPr>
          <w:p>
            <w:pPr>
              <w:spacing w:after="0"/>
              <w:rPr>
                <w:sz w:val="12"/>
                <w:szCs w:val="12"/>
                <w:color w:val="auto"/>
              </w:rPr>
            </w:pP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310,028,390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Borders>
              <w:bottom w:val="single" w:sz="8" w:color="auto"/>
            </w:tcBorders>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4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18,197,192</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181,972</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277,483,092</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(5,811,673)</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271,853,391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1,306,803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13,068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20,073,111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20,086,346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4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120,463</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1,367,626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14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(265,790)</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(265,790)</w:t>
            </w:r>
          </w:p>
        </w:tc>
        <w:tc>
          <w:tcPr>
            <w:tcW w:w="0" w:type="dxa"/>
            <w:vAlign w:val="bottom"/>
          </w:tcPr>
          <w:p>
            <w:pPr>
              <w:spacing w:after="0"/>
              <w:rPr>
                <w:sz w:val="1"/>
                <w:szCs w:val="1"/>
                <w:color w:val="auto"/>
              </w:rPr>
            </w:pPr>
          </w:p>
        </w:tc>
      </w:tr>
      <w:tr>
        <w:trPr>
          <w:trHeight w:val="148"/>
        </w:trPr>
        <w:tc>
          <w:tcPr>
            <w:tcW w:w="4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(18,230,744)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(18,230,744)</w:t>
            </w: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17,914,076</w:t>
            </w: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17,914,076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19,624,458</w:t>
            </w:r>
          </w:p>
        </w:tc>
        <w:tc>
          <w:tcPr>
            <w:tcW w:w="4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196,245</w:t>
            </w:r>
          </w:p>
        </w:tc>
        <w:tc>
          <w:tcPr>
            <w:tcW w:w="3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298,922,624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(6,393,964)</w:t>
            </w:r>
          </w:p>
        </w:tc>
        <w:tc>
          <w:tcPr>
            <w:tcW w:w="2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292,724,905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-4551045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-4551045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-4551045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-4551045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-3051175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-3051175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-3051175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-3051175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-1636395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-1636395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-1636395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-1636395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-128270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-128270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-128270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-128270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3"/>
        </w:trPr>
        <w:tc>
          <w:tcPr>
            <w:tcW w:w="7940" w:type="dxa"/>
            <w:vAlign w:val="bottom"/>
          </w:tcPr>
          <w:p>
            <w:pPr>
              <w:jc w:val="center"/>
              <w:ind w:left="3239"/>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20" w:type="dxa"/>
            <w:vAlign w:val="bottom"/>
          </w:tcPr>
          <w:p>
            <w:pPr>
              <w:spacing w:after="0"/>
              <w:rPr>
                <w:sz w:val="18"/>
                <w:szCs w:val="18"/>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18,918,686</w:t>
            </w:r>
          </w:p>
        </w:tc>
        <w:tc>
          <w:tcPr>
            <w:tcW w:w="280" w:type="dxa"/>
            <w:vAlign w:val="bottom"/>
          </w:tcPr>
          <w:p>
            <w:pPr>
              <w:spacing w:after="0"/>
              <w:rPr>
                <w:sz w:val="17"/>
                <w:szCs w:val="17"/>
                <w:color w:val="auto"/>
              </w:rPr>
            </w:pP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17,914,076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Accretion of deferred loan origination fees and other discounts</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(850,114)</w:t>
            </w: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(847,315)</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Paid-in-kind interest</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(3,116,093)</w:t>
            </w:r>
          </w:p>
        </w:tc>
        <w:tc>
          <w:tcPr>
            <w:tcW w:w="5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(5,802,004)</w:t>
            </w: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Provision for current expected credit losses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74,014</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unrealized (gain) loss on investments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(165,000)</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Realized gain on debt securities, at fair value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(72,428)</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220,458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1,530,440</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1,367,626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receivable</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(1,842,083)</w:t>
            </w: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(165,471)</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(65,505)</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reserve</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(1,076,943)</w:t>
            </w: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1,416,918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Related party payables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(171,321)</w:t>
            </w:r>
          </w:p>
        </w:tc>
        <w:tc>
          <w:tcPr>
            <w:tcW w:w="5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(101,115)</w:t>
            </w: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2,491,139</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(731,651)</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the redemption of debt securities, at fair value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(930,201)</w:t>
            </w: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(1,468,895)</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(928,972)</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14,088,505</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13,128,818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and fundings of loans held for investment</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(10,327,017)</w:t>
            </w: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(43,211,078)</w:t>
            </w:r>
          </w:p>
        </w:tc>
        <w:tc>
          <w:tcPr>
            <w:tcW w:w="0" w:type="dxa"/>
            <w:vAlign w:val="bottom"/>
          </w:tcPr>
          <w:p>
            <w:pPr>
              <w:spacing w:after="0"/>
              <w:rPr>
                <w:sz w:val="1"/>
                <w:szCs w:val="1"/>
                <w:color w:val="auto"/>
              </w:rPr>
            </w:pPr>
          </w:p>
        </w:tc>
      </w:tr>
      <w:tr>
        <w:trPr>
          <w:trHeight w:val="203"/>
        </w:trPr>
        <w:tc>
          <w:tcPr>
            <w:tcW w:w="79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Principal repayment of loans held for investment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12,279,060</w:t>
            </w:r>
          </w:p>
        </w:tc>
        <w:tc>
          <w:tcPr>
            <w:tcW w:w="28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21,638,340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1,952,043</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(21,572,738)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1,033,474</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20,753,235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borrowings on revolving loan</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56,900,000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 of borrowings on revolving loan</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(40,700,000)</w:t>
            </w: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(33,250,000)</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(24,030,318)</w:t>
            </w:r>
          </w:p>
        </w:tc>
        <w:tc>
          <w:tcPr>
            <w:tcW w:w="5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(23,106,453)</w:t>
            </w: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(113,129)</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(82,068)</w:t>
            </w:r>
          </w:p>
        </w:tc>
        <w:tc>
          <w:tcPr>
            <w:tcW w:w="5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(666,890)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financing activities</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(6,878,912)</w:t>
            </w: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7,616,763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9,161,636</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(827,157)</w:t>
            </w:r>
          </w:p>
        </w:tc>
        <w:tc>
          <w:tcPr>
            <w:tcW w:w="0" w:type="dxa"/>
            <w:vAlign w:val="bottom"/>
          </w:tcPr>
          <w:p>
            <w:pPr>
              <w:spacing w:after="0"/>
              <w:rPr>
                <w:sz w:val="1"/>
                <w:szCs w:val="1"/>
                <w:color w:val="auto"/>
              </w:rPr>
            </w:pPr>
          </w:p>
        </w:tc>
      </w:tr>
      <w:tr>
        <w:trPr>
          <w:trHeight w:val="205"/>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26,400,448</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7,898,040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35,562,084</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7,070,883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reserve withheld from funding of loans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280" w:type="dxa"/>
            <w:vAlign w:val="bottom"/>
          </w:tcPr>
          <w:p>
            <w:pPr>
              <w:spacing w:after="0"/>
              <w:rPr>
                <w:sz w:val="17"/>
                <w:szCs w:val="17"/>
                <w:color w:val="auto"/>
              </w:rPr>
            </w:pP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OID withheld from funding of loans held for investment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1,048,270</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161,080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declared and not yet paid</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9,905,074</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9,256,736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Payable for investment purchased</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9,461,774</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4,779,632</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3,649,153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-3548380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-3037840</wp:posOffset>
            </wp:positionV>
            <wp:extent cx="939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-3037840</wp:posOffset>
            </wp:positionV>
            <wp:extent cx="939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-1713865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-1319530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We also lend to and invest in companies or properties that are not related to the cannabis industry if they provide return characteristics consistent with our investment objective.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in October 2021, by and among the Company and the Manager (the "Management Agreement"). The Management Agreement had a three-year initial term that expired on April 30, 2024. After the initial term, the management agreement is automatically renewed for one-year periods unless the Company or the Manager elects not to renew in accordance with the terms of the Management Agreement. On April 30, 2025, the Management Agreement was most recently automatically renewed. The Manager conducts substantially all of the Company’s operations and provides asset management services for its real estate investments. For its services, the Manager is entitled to earn management fees and incentive compensation, both defined in and in accordance with the terms of the Management Agreement (Note 8). All of the Company’s investment decisions are made by the investment committee of the Manager, subject to oversight by the Company’s board of directors (the “Board”). The Manager is wholly-owned by Chicago Atlantic Group, LP. (the “Sponsor”).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2024. In the opinion of the Company, all normal recurring adjustments have been made that are necessary to the fair statement of the results of operations and financial position as of and for the periods presented. Operating results for the three and six months ended June 30, 2025 are not necessarily indicative of the results that may be expected for the year ending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held with financial institutions may at times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 and represented $35.6 million and $26.4 million of total cash and cash equivalents as of June 30, 2025 and December 31,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from loans is accrued based on the outstanding principal amount and the contractual terms of each loan. Loan origination fees and costs, and other discounts or premiums (collectively, “OID”) are recorded as an adjustment to the amortized cost basis of the loan and are accreted or amortized to interest income over the initial loan term as a yield adjustment using a method which approximates the effective interest method. Delayed draw loans may earn interest or unused fees on the undrawn portion of the loan, which is recognized as interest income in the period earned.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Company’s loans contain a paid-in-kind interest income provision (“PIK interest”). The PIK interest, computed at the contractual rate specified in the applicable loan agreement, is added to the principal balance of the loan, rather than being paid in cash, and is generally collected upon repayment of the outstanding principal. Recognition of PIK interest includes assessments of collectability and may discontinue accrual of interest income, including PIK interest, when there is reasonable doubt that the interest income will be collected. To the extent required to maintain the Company’s status as a REIT, and/or to avoid incurring an excise tax, accrued income such as this may need to be distributed to stockholders in the form of dividends for the year earned, even though the Company has not yet collected the cash.</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90 days or more or when there is reasonable doubt about the full recovery of principal and interest. Accrued and unpaid interest is generally reversed against interest income in the period the loan is placed on non-accrual status when management expects such amounts to be uncollectible . Interest payments received on non-accrual loans may be recognized as income or applied to principal depending upon management’s judgment regarding the borrower’s ability to make pending principal and interest payments. Non-accrual loans are restored to accrual status when principal and interest payments are brought current, the borrower demonstrates sustained repayment performance, or the loan becomes well secured and is in the process of collection.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fees, including prepayment fees and exit or success fees, are recognized as interest income when received. From time to time, the Company may also receive fees for amending, underwriting, syndicating, arranging, or other types of fees (collectively "Structuring Fees") in the course of origination of its investments. To the extent such fees are not deemed to be yield enhancements and are not paid to all lenders in the syndication, such Structuring Fees are recognized in interest income when received.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and Unrealized Gains and Losses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Realized gains or losses are measured by the difference between the net proceeds from the repayment or sale and the amortized and/or accreted cost basis of the investment using the specific identification method without regard to unrealized gains or losses previously recognized, and include loans charged off during the period, net of recoveries. An unrealized gain arises when the fair value of the loan portfolio exceeds its cost and an unrealized loss arises when the fair value of the loan portfolio is less than its cost. The change in unrealized gains or losses primarily reflect the change in loan values, including the reversal of previously recorded unrealized gains or losses when gains or losses are realized.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Maryland corporation and has elected to be taxed as a REIT under the Code, commencing with its taxable year 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December 31, 2021. The Company believes that it has qualified as a REIT and that its method of operation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 To qualify as a REIT, the Company must meet a number of organizational and operational requirements, including various income, asset, and distribution tests.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Tests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our REIT qualification,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investments relating to real property or mortgages on real property, including interest income derived from mortgage loans secured by real property (including certain types of mortgage-backed securities), rents from real property, dividends received from other REITs, and gains from the sale of designated real estate assets, as well as,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Tests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close of each calendar quarter, we must also satisfy five tests relating to the nature of our assets. First, at least 75% of the value of our total assets must be represented by some combination of designated real estate assets, cash, cash items, U.S. Government securities and, under some circumstances, stock or debt instruments purchased with new capital. Second, the value of any one issuer’s securities that we own may not exceed 5% of the value of our total assets. Third, we may not own more than 10% of any one issuer’s outstanding securities, as measured by either value (the "10% of value asset test") or voting power. The 5% and 10% asset tests do not apply to securities that qualify under the 75% asset test or to securities of a TRS and qualified REIT subsidiaries, and the 10% of value asset test does not apply to "straight debt" having specified characteristics and to certain other securities. Fourth, the aggregate value of all securities of TRSs that we hold may not exceed 20% of the value of our total assets. 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Tests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required to distribute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(“FASB”) ASC Topic 740,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for the taxable years ended December 31, 2024 and 2023. Based on the Company’s evaluation, there is no reserve for any uncertain income tax positions. Accrued interest and penalties, if any, are included within other liabilities in the consolidated balance sheets and within income tax expense on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color w:val="040C28"/>
        </w:rPr>
        <w:t>Accounting Standards Update ("ASU"),</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improves the transparency of income tax disclosures related to rate reconciliation and income taxes.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2023-09 is effective for annual periods beginning after December 15, 2024. The Company concluded that the application of this guidance did not have any material impact on its consolidated financial statements.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("ASC 2024-03"), which requires disaggregated disclosures of certain costs and expenses, including purchases of inventory, employee compensation, depreciation, amortization and depletion, within relevant income statement captions. ASU 2024-03 is effective for fiscal years beginning after December 15, 2026, and interim periods with fiscal years beginning after December 15, 2027. Early adoption and retrospective application is permitted. The Company is currently evaluating the impact of this guidance on the Company's future consolidated financial statements.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originates senior secured loans that it has the intent and ability to hold until maturity or payoff. Such loans are classified as held for investment and are reported on the consolidated balance sheets at amortized cost. The following tables present summarized information regarding our loans held for investment by interest rate type as of June 30, 2025 and December 31,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June 30, 2025</w:t>
            </w: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1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166,213,408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(708,502)</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165,504,906</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250,204,740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(1,734,162)</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248,470,578</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416,418,148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(2,442,664)</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413,975,484</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601"/>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1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149,771,871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(545,081)</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254,949,683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(1,699,427)</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402,477,046</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-1156335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-1139190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-1156335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-1139190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-1156335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-1139190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-1156335</wp:posOffset>
            </wp:positionV>
            <wp:extent cx="128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-1139190</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aggregate portfolio of loans held for investment, net of the current expected credit loss reserve as of June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(1)</w:t>
            </w:r>
          </w:p>
        </w:tc>
        <w:tc>
          <w:tcPr>
            <w:tcW w:w="120" w:type="dxa"/>
            <w:vAlign w:val="bottom"/>
          </w:tcPr>
          <w:p>
            <w:pPr>
              <w:spacing w:after="0"/>
              <w:rPr>
                <w:sz w:val="20"/>
                <w:szCs w:val="20"/>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416,418,148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(2,442,664)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413,975,484</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(4,421,348)</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416,418,148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(2,442,664)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409,554,136</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3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(1)</w:t>
            </w:r>
          </w:p>
        </w:tc>
        <w:tc>
          <w:tcPr>
            <w:tcW w:w="120" w:type="dxa"/>
            <w:vAlign w:val="bottom"/>
          </w:tcPr>
          <w:p>
            <w:pPr>
              <w:spacing w:after="0"/>
              <w:rPr>
                <w:sz w:val="20"/>
                <w:szCs w:val="20"/>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404,721,554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(2,244,508)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402,477,046</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(4,346,869)</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629"/>
        </w:trPr>
        <w:tc>
          <w:tcPr>
            <w:tcW w:w="364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-2082165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-2065020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-2082165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-2065020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-2082165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-2065020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-933450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-916305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-933450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-916305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-933450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-916305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 w:name="page11"/>
    <w:bookmarkEnd w:id="10"/>
    <w:p>
      <w:pPr>
        <w:ind w:right="440" w:firstLine="8"/>
        <w:spacing w:after="0" w:line="498" w:lineRule="auto"/>
        <w:tabs>
          <w:tab w:leader="none" w:pos="3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June 30, 2025 and December 31, 2024, respectively. The following tables present changes in loans held at carrying value as of and for the six months ended June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20,859,561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(12,279,060)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(12,279,060)</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(74,479)</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(74,479)</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4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416,418,148</w:t>
            </w:r>
          </w:p>
        </w:tc>
        <w:tc>
          <w:tcPr>
            <w:tcW w:w="3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(2,442,664)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(4,421,348)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409,554,136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(2,104,695)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43,372,158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(161,080)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43,211,078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(21,638,340)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(21,638,340)</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(107,900)</w:t>
            </w: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383,281,127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(1,418,460)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(5,080,547)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376,782,120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-2133600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-2133600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-2133600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June 30, 2025,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Initial Funding</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80" w:type="dxa"/>
            <w:vAlign w:val="bottom"/>
          </w:tcPr>
          <w:p>
            <w:pPr>
              <w:spacing w:after="0"/>
              <w:rPr>
                <w:sz w:val="11"/>
                <w:szCs w:val="11"/>
                <w:color w:val="auto"/>
              </w:rPr>
            </w:pPr>
          </w:p>
        </w:tc>
        <w:tc>
          <w:tcPr>
            <w:tcW w:w="6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Original Issue</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20" w:type="dxa"/>
            <w:vAlign w:val="bottom"/>
          </w:tcPr>
          <w:p>
            <w:pPr>
              <w:spacing w:after="0"/>
              <w:rPr>
                <w:sz w:val="11"/>
                <w:szCs w:val="1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Percent of Loans</w:t>
            </w:r>
          </w:p>
        </w:tc>
        <w:tc>
          <w:tcPr>
            <w:tcW w:w="100" w:type="dxa"/>
            <w:vAlign w:val="bottom"/>
          </w:tcPr>
          <w:p>
            <w:pPr>
              <w:spacing w:after="0"/>
              <w:rPr>
                <w:sz w:val="11"/>
                <w:szCs w:val="11"/>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Future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Periodic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YTM</w:t>
            </w: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held</w:t>
            </w: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Loan</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Location(s)</w:t>
            </w:r>
          </w:p>
        </w:tc>
        <w:tc>
          <w:tcPr>
            <w:tcW w:w="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Date (1)</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Date (2)</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Premium/(Discount)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for investment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Fundings</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Interest Rate (3)</w:t>
            </w: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Payment (4)</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10/27/2022</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10/30/2026</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19,186,876</w:t>
            </w:r>
          </w:p>
        </w:tc>
        <w:tc>
          <w:tcPr>
            <w:tcW w:w="12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(191,080)</w:t>
            </w:r>
          </w:p>
        </w:tc>
        <w:tc>
          <w:tcPr>
            <w:tcW w:w="12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18,995,796</w:t>
            </w:r>
          </w:p>
        </w:tc>
        <w:tc>
          <w:tcPr>
            <w:tcW w:w="120" w:type="dxa"/>
            <w:vAlign w:val="bottom"/>
          </w:tcPr>
          <w:p>
            <w:pPr>
              <w:spacing w:after="0"/>
              <w:rPr>
                <w:sz w:val="10"/>
                <w:szCs w:val="10"/>
                <w:color w:val="auto"/>
              </w:rPr>
            </w:pPr>
          </w:p>
        </w:tc>
        <w:tc>
          <w:tcPr>
            <w:tcW w:w="10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P+6.5% Cash (8)</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17.1%</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Michigan</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12/31/2021</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27,110,506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(19,285)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27,091,221</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P+3% Cash (13)</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17.3%</w:t>
            </w:r>
          </w:p>
        </w:tc>
        <w:tc>
          <w:tcPr>
            <w:tcW w:w="0" w:type="dxa"/>
            <w:vAlign w:val="bottom"/>
          </w:tcPr>
          <w:p>
            <w:pPr>
              <w:spacing w:after="0"/>
              <w:rPr>
                <w:sz w:val="1"/>
                <w:szCs w:val="1"/>
                <w:color w:val="auto"/>
              </w:rPr>
            </w:pPr>
          </w:p>
        </w:tc>
      </w:tr>
      <w:tr>
        <w:trPr>
          <w:trHeight w:val="108"/>
        </w:trPr>
        <w:tc>
          <w:tcPr>
            <w:tcW w:w="4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3</w:t>
            </w:r>
          </w:p>
        </w:tc>
        <w:tc>
          <w:tcPr>
            <w:tcW w:w="98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11/18/2021</w:t>
            </w:r>
          </w:p>
        </w:tc>
        <w:tc>
          <w:tcPr>
            <w:tcW w:w="94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1/29/2027</w:t>
            </w:r>
          </w:p>
        </w:tc>
        <w:tc>
          <w:tcPr>
            <w:tcW w:w="8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21,523,183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1"/>
                <w:szCs w:val="11"/>
                <w:color w:val="auto"/>
              </w:rPr>
              <w:t>(398,115)</w:t>
            </w:r>
          </w:p>
        </w:tc>
        <w:tc>
          <w:tcPr>
            <w:tcW w:w="10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21,125,068</w:t>
            </w:r>
          </w:p>
        </w:tc>
        <w:tc>
          <w:tcPr>
            <w:tcW w:w="120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5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w w:val="98"/>
              </w:rPr>
              <w:t>P+10.375% Cash, 2.75% PIK (11)</w:t>
            </w:r>
          </w:p>
        </w:tc>
        <w:tc>
          <w:tcPr>
            <w:tcW w:w="6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23.5%</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(14)(15)(21)</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6/17/2026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11.91% Cash</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17.0%</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Michigan</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8/20/2021</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1/30/2026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4,958,672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(1,537)</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4,957,135</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P+6.5% Cash (13)(20)</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17.2%</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7</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 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6/30/2025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6/30/2028</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33,130,667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(537,735)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32,592,932</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3,000,000</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P+5.75% Cash (9)</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15.6%</w:t>
            </w:r>
          </w:p>
        </w:tc>
        <w:tc>
          <w:tcPr>
            <w:tcW w:w="0" w:type="dxa"/>
            <w:vAlign w:val="bottom"/>
          </w:tcPr>
          <w:p>
            <w:pPr>
              <w:spacing w:after="0"/>
              <w:rPr>
                <w:sz w:val="1"/>
                <w:szCs w:val="1"/>
                <w:color w:val="auto"/>
              </w:rPr>
            </w:pPr>
          </w:p>
        </w:tc>
      </w:tr>
      <w:tr>
        <w:trPr>
          <w:trHeight w:val="121"/>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West Virginia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8/30/2024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10%</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15.0%</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Pennsylvania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3/31/2025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3/31/2028</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17,926,987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(108,037)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17,818,950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9% Cash (16)</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9.7%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11/8/2021</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10/31/2027</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14,807,687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(95,856)</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14,711,831</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P+7% Cash, 2% PIK (10)</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19.6%</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Florida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1/29/2027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9,557,500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(127,753)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9,429,747</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16.75% Cash</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26.7%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Ohio</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2/3/2022</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46,168,399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(227,963)</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45,940,436</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P+1.75% Cash, 5% PIK (9)(17)</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16.7%</w:t>
            </w: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Florida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3/11/2022</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18,061,526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(10,511)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18,051,015</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11%</w:t>
            </w:r>
          </w:p>
        </w:tc>
        <w:tc>
          <w:tcPr>
            <w:tcW w:w="13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5% PIK</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16.5%</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Missouri</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5/9/2022</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11/28/2025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21,104,965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(34,683)</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21,070,282</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11%</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2% PIK (21)</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14.7%</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7/1/2022</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7/29/2026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6,325,417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(19,981)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6,305,436</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P+7% Cash, 2% PIK (9)</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23.3%</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Arizona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3/27/2023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3/31/2026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(9,307)</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1,490,693</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P+7.5% Cash (12)</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18.7%</w:t>
            </w: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Oregon</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9/27/2022</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9/27/2026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460,000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P+10.5% Cash (7)</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21.7%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New York</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7/1/2023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6/29/2036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23,580,998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23,580,998</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15%</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16.6%</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Nebraska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8/15/2023</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6/30/2027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17,400,000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P+6.5% Cash (18)</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10/11/2023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10/9/2026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1,897,729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1,897,729</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11.4% Cash, 1.5% PIK (21)</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14.7%</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Missouri, 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12/19/2023</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18,400,000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(95,257)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18,304,743</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P+7.75% Cash (13)</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18.7%</w:t>
            </w:r>
          </w:p>
        </w:tc>
        <w:tc>
          <w:tcPr>
            <w:tcW w:w="0" w:type="dxa"/>
            <w:vAlign w:val="bottom"/>
          </w:tcPr>
          <w:p>
            <w:pPr>
              <w:spacing w:after="0"/>
              <w:rPr>
                <w:sz w:val="1"/>
                <w:szCs w:val="1"/>
                <w:color w:val="auto"/>
              </w:rPr>
            </w:pPr>
          </w:p>
        </w:tc>
      </w:tr>
      <w:tr>
        <w:trPr>
          <w:trHeight w:val="121"/>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California, Illinois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5/3/2023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5/3/2026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6,680,000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6,680,000</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P+8.75% Cash (10)</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18.3%</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Nevada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4/15/2024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8/15/2027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5,750,000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(21,717)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5,728,283</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P+6.5% Cash (12)(21)</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16.1%</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Minnesota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5/20/2024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5/28/2027</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(3,294)</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1,040,706</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12%</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(14)(21)</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13.3%</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6/17/2024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5/29/2026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10,000,000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11.91% Cash</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12.8%</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California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8/23/2024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8/23/2027</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24,624,213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24,624,213</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12%</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3% PIK</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16.3%</w:t>
            </w: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10/28/2024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1/1/2027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26,570,000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(94,816)</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26,475,184</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1,030,000</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P+6.25% Cash (10)</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15.4%</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11/26/2024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11/24/2028</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20,120,309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(340,507)</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19,779,802</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10,000,000</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12%</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 PIK (19)</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15.2%</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38a</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12/13/2024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12/12/2025</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2,065,000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(52,726)</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2,012,274</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2,065,000</w:t>
            </w:r>
          </w:p>
        </w:tc>
        <w:tc>
          <w:tcPr>
            <w:tcW w:w="32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10%</w:t>
            </w:r>
          </w:p>
        </w:tc>
        <w:tc>
          <w:tcPr>
            <w:tcW w:w="13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(19)</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15.6%</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38b</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1/15/2025</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12/12/2025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(23,994)</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816,006</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10%</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(19)</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15.6%</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7/28/2028</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233,333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(21,513)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211,820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SOFR +10.25% Cash (6)</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19.4%</w:t>
            </w:r>
          </w:p>
        </w:tc>
        <w:tc>
          <w:tcPr>
            <w:tcW w:w="0" w:type="dxa"/>
            <w:vAlign w:val="bottom"/>
          </w:tcPr>
          <w:p>
            <w:pPr>
              <w:spacing w:after="0"/>
              <w:rPr>
                <w:sz w:val="1"/>
                <w:szCs w:val="1"/>
                <w:color w:val="auto"/>
              </w:rPr>
            </w:pPr>
          </w:p>
        </w:tc>
      </w:tr>
      <w:tr>
        <w:trPr>
          <w:trHeight w:val="140"/>
        </w:trPr>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41</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Ohio</w:t>
            </w: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3/1/2025</w:t>
            </w:r>
          </w:p>
        </w:tc>
        <w:tc>
          <w:tcPr>
            <w:tcW w:w="9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3/13/2027</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271,429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(6,997)</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264,432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14.5% Cash</w:t>
            </w: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16.1%</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restart"/>
          </w:tcPr>
          <w:p>
            <w:pPr>
              <w:ind w:left="560"/>
              <w:spacing w:after="0"/>
              <w:rPr>
                <w:sz w:val="20"/>
                <w:szCs w:val="20"/>
                <w:color w:val="auto"/>
              </w:rPr>
            </w:pPr>
            <w:r>
              <w:rPr>
                <w:rFonts w:ascii="Times New Roman" w:cs="Times New Roman" w:eastAsia="Times New Roman" w:hAnsi="Times New Roman"/>
                <w:sz w:val="11"/>
                <w:szCs w:val="11"/>
                <w:color w:val="auto"/>
                <w:w w:val="98"/>
              </w:rPr>
              <w:t>Subtotal</w:t>
            </w: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416,418,148</w:t>
            </w:r>
          </w:p>
        </w:tc>
        <w:tc>
          <w:tcPr>
            <w:tcW w:w="120" w:type="dxa"/>
            <w:vAlign w:val="bottom"/>
            <w:vMerge w:val="continue"/>
          </w:tcPr>
          <w:p>
            <w:pPr>
              <w:spacing w:after="0"/>
              <w:rPr>
                <w:sz w:val="10"/>
                <w:szCs w:val="10"/>
                <w:color w:val="auto"/>
              </w:rPr>
            </w:pPr>
          </w:p>
        </w:tc>
        <w:tc>
          <w:tcPr>
            <w:tcW w:w="1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(2,442,664)</w:t>
            </w:r>
          </w:p>
        </w:tc>
        <w:tc>
          <w:tcPr>
            <w:tcW w:w="120" w:type="dxa"/>
            <w:vAlign w:val="bottom"/>
            <w:vMerge w:val="continue"/>
          </w:tcPr>
          <w:p>
            <w:pPr>
              <w:spacing w:after="0"/>
              <w:rPr>
                <w:sz w:val="10"/>
                <w:szCs w:val="10"/>
                <w:color w:val="auto"/>
              </w:rPr>
            </w:pPr>
          </w:p>
        </w:tc>
        <w:tc>
          <w:tcPr>
            <w:tcW w:w="1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413,975,484</w:t>
            </w:r>
          </w:p>
        </w:tc>
        <w:tc>
          <w:tcPr>
            <w:tcW w:w="120" w:type="dxa"/>
            <w:vAlign w:val="bottom"/>
            <w:vMerge w:val="continue"/>
          </w:tcPr>
          <w:p>
            <w:pPr>
              <w:spacing w:after="0"/>
              <w:rPr>
                <w:sz w:val="10"/>
                <w:szCs w:val="10"/>
                <w:color w:val="auto"/>
              </w:rPr>
            </w:pPr>
          </w:p>
        </w:tc>
        <w:tc>
          <w:tcPr>
            <w:tcW w:w="1080" w:type="dxa"/>
            <w:vAlign w:val="bottom"/>
            <w:gridSpan w:val="2"/>
          </w:tcPr>
          <w:p>
            <w:pPr>
              <w:jc w:val="right"/>
              <w:ind w:right="20"/>
              <w:spacing w:after="0" w:line="102" w:lineRule="exact"/>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16,595,000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16.8%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numbering in the table above is maintained from origination for purposes of comparability and may not be sequential due to maturities, payoffs, or refinancings.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"SOFR"= Secured Overnight Financing Rate. "P" and "SOFR" represent floating rate loans that pay interest at the designed benchmark rate plus an applicable spread; "SOFR" loans are typically indexed to 30-day, 90-day or 180-day rates (1 month, 3 month, or 6 month, respectively); "PIK" = paid-in-kind interest.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 The frequency of loan payments may be monthly or quarterly as required by the respective credit agreement governing such loan.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SOFR floor of 4.00%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 w:name="page13"/>
    <w:bookmarkEnd w:id="12"/>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of Loan #3 and Loan #33 are affiliates of Vireo Growth, Inc., a related party. The aggregate principal balance of these loans is included on the consolidated balance sheet as loans held for investment - related party. See Note 8 for further details.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outstanding of Loan #3 is comprised of two tranches. The first tranche has a principal balance of approximately $16.9 million, bears a floating interest rate of prime plus 10.375% cash and 2.75% PIK and has a maturity date of January 29, 2027. The second tranche has a principal balance of approximately $4.4 million, bears an interest rate of 15.00% cash and 2.00% PIK, and a maturity date of May 29, 2026. The statistics presented reflect the weighted average of the rate terms under both tranches for the total aggregate loan principal, however only the maturity date for the first tranche has been presented in the table above.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is comprised of two tranches, a $14.5 million first lien judgment loan (the "Judgment Loan") and a $2.0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8 for additional information.</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8).</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June 30, 2025, applied interest rate is Prime Rate + 6.50%.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#37 and Loan #38 bear unused fees on the unfunded commitment of 0.75% and 1.50% per annum, respectively.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#6 was placed on non-accrual on May 9, 2025 and all accrued interest after April 1, 2025 was reversed at that time. This loan remains on non-accrual as of June 30,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repaid in full with all accrued interest and fees during the subsequent period from July 1, 2025 to August 7, 2025 (Note 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by amortized cost, excluding the CECL reserve, as of June 30,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90+ Days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Accrual(2)(3)</w:t>
            </w:r>
          </w:p>
        </w:tc>
        <w:tc>
          <w:tcPr>
            <w:tcW w:w="100" w:type="dxa"/>
            <w:vAlign w:val="bottom"/>
          </w:tcPr>
          <w:p>
            <w:pPr>
              <w:spacing w:after="0"/>
              <w:rPr>
                <w:sz w:val="18"/>
                <w:szCs w:val="18"/>
                <w:color w:val="auto"/>
              </w:rPr>
            </w:pP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Term 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413,975,484</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413,975,484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22,776,085</w:t>
            </w:r>
          </w:p>
        </w:tc>
      </w:tr>
      <w:tr>
        <w:trPr>
          <w:trHeight w:val="20"/>
        </w:trPr>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413,975,484</w:t>
            </w:r>
          </w:p>
        </w:tc>
        <w:tc>
          <w:tcPr>
            <w:tcW w:w="24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413,975,484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22,776,085</w:t>
            </w: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90+ Days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Past Due (2)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8"/>
                <w:szCs w:val="18"/>
                <w:color w:val="auto"/>
              </w:rPr>
            </w:pP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Senior Term 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386,074,558</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16,402,488</w:t>
            </w:r>
          </w:p>
        </w:tc>
      </w:tr>
      <w:tr>
        <w:trPr>
          <w:trHeight w:val="20"/>
        </w:trPr>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386,074,558</w:t>
            </w:r>
          </w:p>
        </w:tc>
        <w:tc>
          <w:tcPr>
            <w:tcW w:w="24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1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1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16,402,488</w:t>
            </w: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-1259840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-1259840</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-1259840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-1259840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-1259840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-1259840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-162560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-162560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-162560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-162560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-162560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ind w:left="5540" w:right="4240" w:hanging="5532"/>
        <w:spacing w:after="0" w:line="532" w:lineRule="auto"/>
        <w:tabs>
          <w:tab w:leader="none" w:pos="3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for which principal repayment is 1-30 days past due are included in the current loans.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38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90 days past due as of December 31, 2024. See Note 8 for further details.</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#6 was placed on non-accrual on May 9, 2025 and remains on non-accrual as of June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there were two and one loans placed on non-accrual status.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described in Note 8, Loan #9 was placed on non-accrual status as of May 1, 2023 and has a carrying value of approximately $17.8 million and $16.4 million as of both June 30, 2025 and December 31, 2024. Loan #9 carried a reserve for current expected credit losses of approximately $0.5 million and $1.2 million as of June 30, 2025 and December 31, 2024, respectively.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#6 was placed on non-accrual status as of May 9, 2025 and had an outstanding principal balance and carrying value of approximately $4.9 million as of June 30, 2025. A Default Notice was sent to the borrower on May 9, 2025 specifying certain events of default including the non-payment of interest and principal. Management has begun the process to exercise its rights and remedies under the loan documents.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76"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40" w:hanging="113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113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140" w:hanging="113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June 30, 2025 and December 31, 2024 consider borrower specific credit history and performance and reflect a quarterly re-evaluation of overall current macroeconomic conditions affecting the Company’s borrowers, specifically those designated as held for investment.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carrying value, excluding the current expected credit loss reserve (the “CECL Reserve”),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loans within each risk rating category by year of origination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Risk Rating</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As of June 30, 2025(1)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624"/>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3"/>
                <w:szCs w:val="13"/>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6,768,989</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1,897,729</w:t>
            </w: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21,530,282</w:t>
            </w:r>
          </w:p>
        </w:tc>
        <w:tc>
          <w:tcPr>
            <w:tcW w:w="100" w:type="dxa"/>
            <w:vAlign w:val="bottom"/>
          </w:tcPr>
          <w:p>
            <w:pPr>
              <w:spacing w:after="0"/>
              <w:rPr>
                <w:sz w:val="13"/>
                <w:szCs w:val="13"/>
                <w:color w:val="auto"/>
              </w:rPr>
            </w:pPr>
          </w:p>
        </w:tc>
        <w:tc>
          <w:tcPr>
            <w:tcW w:w="400" w:type="dxa"/>
            <w:vAlign w:val="bottom"/>
            <w:tcBorders>
              <w:top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21,125,068</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51,322,068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33,620,758</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53,111,671</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67,456,434</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43,352,247</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197,541,110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9,694,179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28,271,745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45,940,436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41,803,052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125,709,412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17,818,950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16,626,809</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4,957,135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39,402,894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61,133,887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104,779,214</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69,354,163</w:t>
            </w:r>
          </w:p>
        </w:tc>
        <w:tc>
          <w:tcPr>
            <w:tcW w:w="500" w:type="dxa"/>
            <w:vAlign w:val="bottom"/>
            <w:gridSpan w:val="2"/>
            <w:shd w:val="clear" w:color="auto" w:fill="CFF0FC"/>
          </w:tcPr>
          <w:p>
            <w:pPr>
              <w:jc w:val="right"/>
              <w:ind w:right="265"/>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110,822,965</w:t>
            </w:r>
          </w:p>
        </w:tc>
        <w:tc>
          <w:tcPr>
            <w:tcW w:w="500" w:type="dxa"/>
            <w:vAlign w:val="bottom"/>
            <w:gridSpan w:val="2"/>
            <w:shd w:val="clear" w:color="auto" w:fill="CFF0FC"/>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67,885,255</w:t>
            </w:r>
          </w:p>
        </w:tc>
        <w:tc>
          <w:tcPr>
            <w:tcW w:w="480" w:type="dxa"/>
            <w:vAlign w:val="bottom"/>
            <w:gridSpan w:val="2"/>
            <w:shd w:val="clear" w:color="auto" w:fill="CFF0FC"/>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413,975,484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-24765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-8255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 of December 31, 2024(1)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400" w:type="dxa"/>
            <w:vAlign w:val="bottom"/>
          </w:tcPr>
          <w:p>
            <w:pPr>
              <w:spacing w:after="0"/>
              <w:rPr>
                <w:sz w:val="17"/>
                <w:szCs w:val="17"/>
                <w:color w:val="auto"/>
              </w:rPr>
            </w:pPr>
          </w:p>
        </w:tc>
        <w:tc>
          <w:tcPr>
            <w:tcW w:w="13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1,111,224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41,045,793</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42,737,017</w:t>
            </w:r>
          </w:p>
        </w:tc>
        <w:tc>
          <w:tcPr>
            <w:tcW w:w="100" w:type="dxa"/>
            <w:vAlign w:val="bottom"/>
          </w:tcPr>
          <w:p>
            <w:pPr>
              <w:spacing w:after="0"/>
              <w:rPr>
                <w:sz w:val="17"/>
                <w:szCs w:val="17"/>
                <w:color w:val="auto"/>
              </w:rPr>
            </w:pPr>
          </w:p>
        </w:tc>
      </w:tr>
      <w:tr>
        <w:trPr>
          <w:trHeight w:val="203"/>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63,823,279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64,896,824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90,874,764</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24,239,380</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243,834,247</w:t>
            </w:r>
          </w:p>
        </w:tc>
        <w:tc>
          <w:tcPr>
            <w:tcW w:w="100" w:type="dxa"/>
            <w:vAlign w:val="bottom"/>
            <w:shd w:val="clear" w:color="auto" w:fill="CFF0FC"/>
          </w:tcPr>
          <w:p>
            <w:pPr>
              <w:spacing w:after="0"/>
              <w:rPr>
                <w:sz w:val="17"/>
                <w:szCs w:val="17"/>
                <w:color w:val="auto"/>
              </w:rPr>
            </w:pP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34,653,247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2,466,705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27,110,506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13,687,904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77,918,362</w:t>
            </w:r>
          </w:p>
        </w:tc>
        <w:tc>
          <w:tcPr>
            <w:tcW w:w="100" w:type="dxa"/>
            <w:vAlign w:val="bottom"/>
          </w:tcPr>
          <w:p>
            <w:pPr>
              <w:spacing w:after="0"/>
              <w:rPr>
                <w:sz w:val="17"/>
                <w:szCs w:val="17"/>
                <w:color w:val="auto"/>
              </w:rPr>
            </w:pPr>
          </w:p>
        </w:tc>
      </w:tr>
      <w:tr>
        <w:trPr>
          <w:trHeight w:val="202"/>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27,987,420</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37,987,420</w:t>
            </w:r>
          </w:p>
        </w:tc>
        <w:tc>
          <w:tcPr>
            <w:tcW w:w="100" w:type="dxa"/>
            <w:vAlign w:val="bottom"/>
            <w:shd w:val="clear" w:color="auto" w:fill="CFF0FC"/>
          </w:tcPr>
          <w:p>
            <w:pPr>
              <w:spacing w:after="0"/>
              <w:rPr>
                <w:sz w:val="17"/>
                <w:szCs w:val="17"/>
                <w:color w:val="auto"/>
              </w:rPr>
            </w:pP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109,587,750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67,943,529</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159,031,063</w:t>
            </w:r>
          </w:p>
        </w:tc>
        <w:tc>
          <w:tcPr>
            <w:tcW w:w="1380" w:type="dxa"/>
            <w:vAlign w:val="bottom"/>
            <w:gridSpan w:val="2"/>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65,914,704</w:t>
            </w:r>
          </w:p>
        </w:tc>
        <w:tc>
          <w:tcPr>
            <w:tcW w:w="58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100" w:type="dxa"/>
            <w:vAlign w:val="bottom"/>
            <w:shd w:val="clear" w:color="auto" w:fill="CFF0FC"/>
          </w:tcPr>
          <w:p>
            <w:pPr>
              <w:spacing w:after="0"/>
              <w:rPr>
                <w:sz w:val="18"/>
                <w:szCs w:val="18"/>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Amounts are presented by loan origination year with subsequent advances shown in the original year of origination.</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June 30, 2025 and December 31, 2024:</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June 30, 2025(1)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1.0x – 1.25x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1.50x – 1.75x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1.75x – 2.0x</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&gt; 2.0x</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86,414,228</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24,624,213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43,036,087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9,532,649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1,897,729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165,504,906</w:t>
            </w:r>
          </w:p>
        </w:tc>
        <w:tc>
          <w:tcPr>
            <w:tcW w:w="120" w:type="dxa"/>
            <w:vAlign w:val="bottom"/>
            <w:shd w:val="clear" w:color="auto" w:fill="CFF0FC"/>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132,976,850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6,305,436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32,592,932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26,475,184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49,908,356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248,470,578</w:t>
            </w:r>
          </w:p>
        </w:tc>
        <w:tc>
          <w:tcPr>
            <w:tcW w:w="120" w:type="dxa"/>
            <w:vAlign w:val="bottom"/>
          </w:tcPr>
          <w:p>
            <w:pPr>
              <w:spacing w:after="0"/>
              <w:rPr>
                <w:sz w:val="18"/>
                <w:szCs w:val="18"/>
                <w:color w:val="auto"/>
              </w:rPr>
            </w:pPr>
          </w:p>
        </w:tc>
      </w:tr>
      <w:tr>
        <w:trPr>
          <w:trHeight w:val="229"/>
        </w:trPr>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219,391,078</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30,929,649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43,247,907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42,125,581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26,475,184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51,806,085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413,975,484</w:t>
            </w:r>
          </w:p>
        </w:tc>
        <w:tc>
          <w:tcPr>
            <w:tcW w:w="120" w:type="dxa"/>
            <w:vAlign w:val="bottom"/>
            <w:shd w:val="clear" w:color="auto" w:fill="CFF0FC"/>
          </w:tcPr>
          <w:p>
            <w:pPr>
              <w:spacing w:after="0"/>
              <w:rPr>
                <w:sz w:val="19"/>
                <w:szCs w:val="19"/>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December 31, 2024(1)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1.0x – 1.25x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1.50x – 1.75x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1.75x – 2.0x</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&gt; 2.0x</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45,029,665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48,900,184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43,750,558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9,603,167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1,943,216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120" w:type="dxa"/>
            <w:vAlign w:val="bottom"/>
            <w:shd w:val="clear" w:color="auto" w:fill="CFF0FC"/>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155,364,941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24,885,063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50,048,629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120" w:type="dxa"/>
            <w:vAlign w:val="bottom"/>
          </w:tcPr>
          <w:p>
            <w:pPr>
              <w:spacing w:after="0"/>
              <w:rPr>
                <w:sz w:val="18"/>
                <w:szCs w:val="18"/>
                <w:color w:val="auto"/>
              </w:rPr>
            </w:pPr>
          </w:p>
        </w:tc>
      </w:tr>
      <w:tr>
        <w:trPr>
          <w:trHeight w:val="230"/>
        </w:trPr>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200,394,606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65,302,672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50,299,693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9,603,167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24,885,063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51,991,845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120" w:type="dxa"/>
            <w:vAlign w:val="bottom"/>
            <w:shd w:val="clear" w:color="auto" w:fill="CFF0FC"/>
          </w:tcPr>
          <w:p>
            <w:pPr>
              <w:spacing w:after="0"/>
              <w:rPr>
                <w:sz w:val="19"/>
                <w:szCs w:val="19"/>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20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is calculated based upon most recent third party appraised values. The Company generally obtains a new appraisal of all material real estate collateral at least once annually.</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Geography concentration of our loans held for investment is also a significant credit quality indicator. As of June 30, 2025 and December 31, 2024, our borrowers have operations in the jurisdictions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16"/>
                <w:szCs w:val="16"/>
                <w:color w:val="auto"/>
              </w:rPr>
            </w:pPr>
          </w:p>
        </w:tc>
      </w:tr>
      <w:tr>
        <w:trPr>
          <w:trHeight w:val="196"/>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660" w:type="dxa"/>
            <w:vAlign w:val="bottom"/>
            <w:gridSpan w:val="2"/>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50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Our Loan</w:t>
            </w:r>
          </w:p>
        </w:tc>
      </w:tr>
      <w:tr>
        <w:trPr>
          <w:trHeight w:val="258"/>
        </w:trPr>
        <w:tc>
          <w:tcPr>
            <w:tcW w:w="1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7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340" w:type="dxa"/>
            <w:vAlign w:val="bottom"/>
          </w:tcPr>
          <w:p>
            <w:pPr>
              <w:spacing w:after="0"/>
              <w:rPr>
                <w:sz w:val="22"/>
                <w:szCs w:val="22"/>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60" w:type="dxa"/>
            <w:vAlign w:val="bottom"/>
          </w:tcPr>
          <w:p>
            <w:pPr>
              <w:spacing w:after="0"/>
              <w:rPr>
                <w:sz w:val="22"/>
                <w:szCs w:val="22"/>
                <w:color w:val="auto"/>
              </w:rPr>
            </w:pPr>
          </w:p>
        </w:tc>
      </w:tr>
      <w:tr>
        <w:trPr>
          <w:trHeight w:val="20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70,614,725</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55,958,079</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63,487,510</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60,065,707</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44,968,576</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42,712,285</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37,113,862</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35,727,045</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36,073,052</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38,208,259</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32,069,178</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32,068,629</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25,163,960</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28,023,340</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25,008,065</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26,057,479</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23,580,998</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25,093,595</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22,188,184</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21,835,901</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17,400,000</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8,491,943</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5,750,001</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6,000,000</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2,770,760</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2,756,870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1,124,460</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1,116,000</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612,874</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580,000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2,626,423</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8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1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416,418,148</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404,721,554</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-153670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-153670</wp:posOffset>
            </wp:positionV>
            <wp:extent cx="1028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-153670</wp:posOffset>
            </wp:positionV>
            <wp:extent cx="1028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balance of the loans not secured by real estate collateral are included in the jurisdiction representing the principal place of business.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may be evaluated as a separate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including benchmark interest rate fluctuations. The Company also considers loan-specific qualitative factors which may include; among other factors;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five fiscal years and have made investments in similar loans that have similar characteristics including interest rate, collateral coverage, guarantees, and prepayment/make whole provisions, which fall into the pools identified above, and may be considered by management in determining the extent to which a CECL Reserve shall be recorded.</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June 30, 2025, to which the Manager may apply a private company discount based on the Company’s current borrower profile.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 period ended June 30, 2025, the Company's CECL Reserve increased by approximately $0.1 million. On a relative size basis, the CECL reserve represented 1.07% and 1.06% of principal our loans held for investment as of both June 30, 2025 and December 31, 2024, respectively; however, the Company noted approximately $51.3 million of principal of loans held for investment were fully repaid during the subsequent period from June 30, 2025 through August 7, 2025 and for these loans, management applied a $0 CECL reserve. These loans are included in risk rating "1" in the tables above. Accordingly, adjusted for these full repayments, the CECL reserve as of June 30, 2025 represents approximately 1.23% of the principal of loans held of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the CECL reserve corresponds to risk rating changes within of our portfolio of loans held for investment during the comparative three-month period from March 31, 2025 to June 30, 2025, primarily due to Loan #6 being placed on non-accrual status and the continued non-accrual of Loan #9. The carrying value of loans held for investment risk rated "4" increased from approximately $21.6 million or 5.4% as of March 31, 2025 to $39.4 million or 9.5% as of June 30, 2025.</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without historical loss data.</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six months ended June 30, 2025 and 2024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45,572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4,392,441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74,014</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4,421,348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45,107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4,466,455</w:t>
            </w:r>
          </w:p>
        </w:tc>
      </w:tr>
      <w:tr>
        <w:trPr>
          <w:trHeight w:val="412"/>
        </w:trPr>
        <w:tc>
          <w:tcPr>
            <w:tcW w:w="522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FF0FC"/>
            </w:tcBorders>
          </w:tcPr>
          <w:p>
            <w:pPr>
              <w:spacing w:after="0"/>
              <w:rPr>
                <w:sz w:val="24"/>
                <w:szCs w:val="24"/>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4,975,739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104,808</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5,080,547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5,080,547</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-753745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-736600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-753745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-736600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from the amortized cost basis of the related loans held for investment in determining the CECL Reserve, as any uncollectible accrued interest receivable is generally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loans on non-accrual as of June 30, 2025, the Company generally ceased accruing interest on the first date of delinquency, based on expectation of its ability to collect all amounts then due from the borrower. As it relates to Loan #6, accrued interest for the period from April 1, 2025 through May 9, 2025, the date the loan was placed on non-accrual, was reversed. Management believes it is more likely than not that the remaining outstanding interest receivable prior to such date remains collectible.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AT FAIR VALUE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Company's portfolio included one loan held at fair value. The aggregate commitment under this loan was approximately $11.5 million and outstanding principal was $5.5 million as of both June 30, 2025 and December 31, 2024. As of June 30, 2025, there is $6.0 million of unfunded commitments related to the loan held at fair value, and the loan was current on all interest and principal payments due. This loan was repaid in full on July 8, 2025. See Note 16 for additional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held at fair value as of June 30, 2025 was originated to a related party (Note 8), and is included within Loans, at fair value - related party on the consolidated balance sheets. See Note 13 for additional information on fair value measurement.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loan held at fair value as of June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Loan</w:t>
            </w:r>
          </w:p>
        </w:tc>
        <w:tc>
          <w:tcPr>
            <w:tcW w:w="20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line="258" w:lineRule="exact"/>
              <w:rPr>
                <w:sz w:val="20"/>
                <w:szCs w:val="20"/>
                <w:color w:val="auto"/>
              </w:rPr>
            </w:pPr>
            <w:r>
              <w:rPr>
                <w:rFonts w:ascii="Times New Roman" w:cs="Times New Roman" w:eastAsia="Times New Roman" w:hAnsi="Times New Roman"/>
                <w:sz w:val="18"/>
                <w:szCs w:val="18"/>
                <w:b w:val="1"/>
                <w:bCs w:val="1"/>
                <w:color w:val="auto"/>
                <w:w w:val="92"/>
              </w:rPr>
              <w:t xml:space="preserve">Funding </w:t>
            </w:r>
            <w:r>
              <w:rPr>
                <w:rFonts w:ascii="Times New Roman" w:cs="Times New Roman" w:eastAsia="Times New Roman" w:hAnsi="Times New Roman"/>
                <w:sz w:val="24"/>
                <w:szCs w:val="24"/>
                <w:b w:val="1"/>
                <w:bCs w:val="1"/>
                <w:color w:val="auto"/>
                <w:w w:val="92"/>
                <w:vertAlign w:val="superscript"/>
              </w:rPr>
              <w:t>(1)</w:t>
            </w:r>
          </w:p>
        </w:tc>
        <w:tc>
          <w:tcPr>
            <w:tcW w:w="100" w:type="dxa"/>
            <w:vAlign w:val="bottom"/>
          </w:tcPr>
          <w:p>
            <w:pPr>
              <w:spacing w:after="0"/>
              <w:rPr>
                <w:sz w:val="22"/>
                <w:szCs w:val="22"/>
                <w:color w:val="auto"/>
              </w:rPr>
            </w:pPr>
          </w:p>
        </w:tc>
        <w:tc>
          <w:tcPr>
            <w:tcW w:w="1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209"/>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39</w:t>
            </w:r>
          </w:p>
        </w:tc>
        <w:tc>
          <w:tcPr>
            <w:tcW w:w="2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Minnesota</w:t>
            </w:r>
          </w:p>
        </w:tc>
        <w:tc>
          <w:tcPr>
            <w:tcW w:w="164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6/26/2026</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4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10.5% Cash</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20" w:type="dxa"/>
            <w:vAlign w:val="bottom"/>
            <w:vMerge w:val="continue"/>
          </w:tcPr>
          <w:p>
            <w:pPr>
              <w:spacing w:after="0"/>
              <w:rPr>
                <w:sz w:val="18"/>
                <w:szCs w:val="18"/>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20" w:hanging="50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was repaid in full with all accrued interest and fees during the subsequent period from July 1, 2025 to August 7, 2025 (Note 16).</w:t>
      </w:r>
    </w:p>
    <w:p>
      <w:pPr>
        <w:spacing w:after="0" w:line="39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RECEIVABLE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interest receivable of approximately $3.3 million and $1.5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by class as of June 30, 2025, and December 31,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Pr>
          <w:p>
            <w:pPr>
              <w:spacing w:after="0"/>
              <w:rPr>
                <w:sz w:val="16"/>
                <w:szCs w:val="16"/>
                <w:color w:val="auto"/>
              </w:rPr>
            </w:pPr>
          </w:p>
        </w:tc>
        <w:tc>
          <w:tcPr>
            <w:tcW w:w="1060" w:type="dxa"/>
            <w:vAlign w:val="bottom"/>
            <w:gridSpan w:val="2"/>
          </w:tcPr>
          <w:p>
            <w:pPr>
              <w:jc w:val="center"/>
              <w:ind w:right="4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00" w:type="dxa"/>
            <w:vAlign w:val="bottom"/>
          </w:tcPr>
          <w:p>
            <w:pPr>
              <w:spacing w:after="0"/>
              <w:rPr>
                <w:sz w:val="16"/>
                <w:szCs w:val="16"/>
                <w:color w:val="auto"/>
              </w:rPr>
            </w:pPr>
          </w:p>
        </w:tc>
        <w:tc>
          <w:tcPr>
            <w:tcW w:w="88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6"/>
                <w:szCs w:val="16"/>
                <w:color w:val="auto"/>
              </w:rPr>
            </w:pPr>
          </w:p>
        </w:tc>
        <w:tc>
          <w:tcPr>
            <w:tcW w:w="110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6"/>
                <w:szCs w:val="16"/>
                <w:color w:val="auto"/>
              </w:rPr>
            </w:pPr>
          </w:p>
        </w:tc>
        <w:tc>
          <w:tcPr>
            <w:tcW w:w="10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c>
          <w:tcPr>
            <w:tcW w:w="102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b w:val="1"/>
                <w:bCs w:val="1"/>
                <w:color w:val="auto"/>
              </w:rPr>
              <w:t>Non-</w:t>
            </w:r>
          </w:p>
        </w:tc>
      </w:tr>
      <w:tr>
        <w:trPr>
          <w:trHeight w:val="270"/>
        </w:trPr>
        <w:tc>
          <w:tcPr>
            <w:tcW w:w="23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3"/>
                <w:szCs w:val="23"/>
                <w:color w:val="auto"/>
              </w:rPr>
            </w:pPr>
          </w:p>
        </w:tc>
        <w:tc>
          <w:tcPr>
            <w:tcW w:w="1020" w:type="dxa"/>
            <w:vAlign w:val="bottom"/>
            <w:tcBorders>
              <w:bottom w:val="single" w:sz="8" w:color="auto"/>
            </w:tcBorders>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 xml:space="preserve">Past Due </w:t>
            </w:r>
            <w:r>
              <w:rPr>
                <w:rFonts w:ascii="Times New Roman" w:cs="Times New Roman" w:eastAsia="Times New Roman" w:hAnsi="Times New Roman"/>
                <w:sz w:val="24"/>
                <w:szCs w:val="24"/>
                <w:b w:val="1"/>
                <w:bCs w:val="1"/>
                <w:color w:val="auto"/>
                <w:w w:val="93"/>
                <w:vertAlign w:val="superscript"/>
              </w:rPr>
              <w:t>(1)</w:t>
            </w:r>
          </w:p>
        </w:tc>
        <w:tc>
          <w:tcPr>
            <w:tcW w:w="240" w:type="dxa"/>
            <w:vAlign w:val="bottom"/>
          </w:tcPr>
          <w:p>
            <w:pPr>
              <w:spacing w:after="0"/>
              <w:rPr>
                <w:sz w:val="23"/>
                <w:szCs w:val="23"/>
                <w:color w:val="auto"/>
              </w:rPr>
            </w:pPr>
          </w:p>
        </w:tc>
        <w:tc>
          <w:tcPr>
            <w:tcW w:w="1080" w:type="dxa"/>
            <w:vAlign w:val="bottom"/>
            <w:tcBorders>
              <w:bottom w:val="single" w:sz="8" w:color="auto"/>
            </w:tcBorders>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Past Due </w:t>
            </w:r>
            <w:r>
              <w:rPr>
                <w:rFonts w:ascii="Times New Roman" w:cs="Times New Roman" w:eastAsia="Times New Roman" w:hAnsi="Times New Roman"/>
                <w:sz w:val="24"/>
                <w:szCs w:val="24"/>
                <w:b w:val="1"/>
                <w:bCs w:val="1"/>
                <w:color w:val="auto"/>
                <w:w w:val="95"/>
                <w:vertAlign w:val="superscript"/>
              </w:rPr>
              <w:t>(1)</w:t>
            </w: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Accrual </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3"/>
                <w:szCs w:val="23"/>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2,965,906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165,000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330,000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3,295,906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185,957</w:t>
            </w:r>
          </w:p>
        </w:tc>
      </w:tr>
      <w:tr>
        <w:trPr>
          <w:trHeight w:val="20"/>
        </w:trPr>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2,965,906</w:t>
            </w:r>
          </w:p>
        </w:tc>
        <w:tc>
          <w:tcPr>
            <w:tcW w:w="24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165,000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165,000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330,000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3,295,906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185,957</w:t>
            </w: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-170815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-170815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designated as past due relate to Loan # 4 and #34, which are included in risk rating "4" within the table in Note 3.</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55" w:val="left"/>
        </w:tabs>
        <w:numPr>
          <w:ilvl w:val="0"/>
          <w:numId w:val="17"/>
        </w:numPr>
        <w:rPr>
          <w:rFonts w:ascii="Times New Roman" w:cs="Times New Roman" w:eastAsia="Times New Roman" w:hAnsi="Times New Roman"/>
          <w:sz w:val="18"/>
          <w:szCs w:val="18"/>
          <w:color w:val="2B333D"/>
        </w:rPr>
      </w:pPr>
      <w:r>
        <w:rPr>
          <w:rFonts w:ascii="Times New Roman" w:cs="Times New Roman" w:eastAsia="Times New Roman" w:hAnsi="Times New Roman"/>
          <w:sz w:val="18"/>
          <w:szCs w:val="18"/>
          <w:color w:val="auto"/>
        </w:rPr>
        <w:t>Loan #6 was placed on non-accrual on May 9, 2025 and all accrued interest after April 1, 2025 was reversed. This Loan remains on non-accrual as of June 30, 2025. Management believes it is more likely than not that the remaining outstanding interest receivable prior to such date remains collectible.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6"/>
                <w:szCs w:val="16"/>
                <w:color w:val="auto"/>
              </w:rPr>
            </w:pPr>
          </w:p>
        </w:tc>
        <w:tc>
          <w:tcPr>
            <w:tcW w:w="900" w:type="dxa"/>
            <w:vAlign w:val="bottom"/>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00" w:type="dxa"/>
            <w:vAlign w:val="bottom"/>
          </w:tcPr>
          <w:p>
            <w:pPr>
              <w:spacing w:after="0"/>
              <w:rPr>
                <w:sz w:val="20"/>
                <w:szCs w:val="20"/>
                <w:color w:val="auto"/>
              </w:rPr>
            </w:pPr>
          </w:p>
        </w:tc>
      </w:tr>
      <w:tr>
        <w:trPr>
          <w:trHeight w:val="20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1,388,058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65,765</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65,765</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1,453,823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1,388,058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65,765</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65,765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1,453,823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-170815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-170815</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INTEREST RESERVE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four loans and one loan, respectively, that included a prepaid interest reserve.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June 30, 2025 and December 31,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reserves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1,074,889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New reserves</w:t>
            </w:r>
          </w:p>
        </w:tc>
        <w:tc>
          <w:tcPr>
            <w:tcW w:w="22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22,500</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4,194,597</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disbursed</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(1,076,943)</w:t>
            </w: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(3,971,608)</w:t>
            </w:r>
          </w:p>
        </w:tc>
      </w:tr>
      <w:tr>
        <w:trPr>
          <w:trHeight w:val="210"/>
        </w:trPr>
        <w:tc>
          <w:tcPr>
            <w:tcW w:w="7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reserve</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243,435</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1,297,878</w:t>
            </w:r>
          </w:p>
        </w:tc>
        <w:tc>
          <w:tcPr>
            <w:tcW w:w="100" w:type="dxa"/>
            <w:vAlign w:val="bottom"/>
            <w:tcBorders>
              <w:top w:val="single" w:sz="8" w:color="CFF0FC"/>
            </w:tcBorders>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in connection with the Company’s acquisition of its wholly-owned financing subsidiary, CAL, the Company was assigned a secured revolving credit facility (the “Revolving Loan”). As of December 31, 2023, the Revolving Loan had an interest rate equal to the greater of (1) the Prime Rate plus the applicable margin and (2) 3.25%. The applicable margin is derived from a floating rate grid based upon the ratio of debt to book equity of CAL and increases from 0% at a ratio of 0.25 to 1 to 1.25% at a ratio of 1.5 to 1. The Revolving Loan had an aggregate commitment of $100.0 million, and a maturity date of the earlier of (i) December 16, 2024 and (ii) the date on which the Revolving Loan is terminated pursuant to the terms of the Revolving Loan agreement.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26, 2024, CAL entered into the First Amendment to the Fifth Amendment and Restatement. The amendment increased the current loan commitment from $100.0 million to $105.0 million. No other material terms were modified as a result of the execution of this amendment.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2024, CAL entered into the Sixth Amended and Restated Loan and Security Agreement (the "Sixth Amendment"). The Sixth Amendment increased the current loan commitment from $105.0 million to $110.0 million. No other material terms were modified as a result of the execution of this amendment.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Revolving Loan has aggregate commitments of $110.0 million, which may be increased to $150.0 million pursuant to its accordion feature, and has a maturity date of June 30, 2026. The Revolving Loan bears interest, payable in cash in arrears, at a per annum rate equal to the greater of (1) the Prime Rate plus the applicable margin and (2) 3.25%. The applicable margin is derived from a floating rate grid based upon the ratio of debt to equity of CAL and increases from 0% at a ratio of 0.25 to 1 to 1.25% at a ratio of 1.5 to 1. The interest rate in effect as of June 30, 2025 is 7.50%.</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 (Note 16).</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June 30, 2025, the Company is in compliance with all financial covenants with respect to the Revolving Loan.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unamortized debt issuance costs related to the Revolving Loan, including all amendments and amendments and restatements thereto, as applicable, of $203,382 and $305,075, respectively, are recorded in other receivables and assets, net on the consolidated balance sheets.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had net borrowings and repayments of $16.2 million against the Revolving Loan. As of June 30, 2025, the Company had $38.8 million available under the Revolving Loan. Additionally, as of June 30, 2025, $163.4 million of the Company's loan portfolio, at principal, is pledged as collateral in the borrowing base of the Revolving Loan.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the Unsecured Notes, which were capitalized and offset against the outstanding face value of the Unsecured Notes within the line item Notes Payable, net on the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an investment-grade credit rating. As of June 30, 2025, the Company is in compliance with all financial covenants with respect to the Unsecured Notes.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Notes Payable</w:t>
            </w:r>
          </w:p>
        </w:tc>
      </w:tr>
      <w:tr>
        <w:trPr>
          <w:trHeight w:val="209"/>
        </w:trPr>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debt issuance costs included in notes payable</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(784,985)</w:t>
            </w:r>
          </w:p>
        </w:tc>
      </w:tr>
      <w:tr>
        <w:trPr>
          <w:trHeight w:val="209"/>
        </w:trPr>
        <w:tc>
          <w:tcPr>
            <w:tcW w:w="8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49,215,015</w:t>
            </w:r>
          </w:p>
        </w:tc>
        <w:tc>
          <w:tcPr>
            <w:tcW w:w="100" w:type="dxa"/>
            <w:vAlign w:val="bottom"/>
            <w:tcBorders>
              <w:top w:val="single" w:sz="8" w:color="CFF0FC"/>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three and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2025</w:t>
            </w:r>
          </w:p>
        </w:tc>
        <w:tc>
          <w:tcPr>
            <w:tcW w:w="100" w:type="dxa"/>
            <w:vAlign w:val="bottom"/>
          </w:tcPr>
          <w:p>
            <w:pPr>
              <w:spacing w:after="0"/>
              <w:rPr>
                <w:sz w:val="20"/>
                <w:szCs w:val="20"/>
                <w:color w:val="auto"/>
              </w:rPr>
            </w:pPr>
          </w:p>
        </w:tc>
      </w:tr>
      <w:tr>
        <w:trPr>
          <w:trHeight w:val="187"/>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Revolving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r>
      <w:tr>
        <w:trPr>
          <w:trHeight w:val="238"/>
        </w:trPr>
        <w:tc>
          <w:tcPr>
            <w:tcW w:w="30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1,121,918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802,208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1,924,126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2,243,836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1,592,620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3,836,456</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Unused fee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85,516</w:t>
            </w:r>
          </w:p>
        </w:tc>
        <w:tc>
          <w:tcPr>
            <w:tcW w:w="100" w:type="dxa"/>
            <w:vAlign w:val="bottom"/>
          </w:tcPr>
          <w:p>
            <w:pPr>
              <w:spacing w:after="0"/>
              <w:rPr>
                <w:sz w:val="18"/>
                <w:szCs w:val="18"/>
                <w:color w:val="auto"/>
              </w:rPr>
            </w:pPr>
          </w:p>
        </w:tc>
      </w:tr>
      <w:tr>
        <w:trPr>
          <w:trHeight w:val="216"/>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50,846</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110,148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118,766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101,692</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1,181,220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895,828</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2,362,602</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1,779,828</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4,142,430</w:t>
            </w:r>
          </w:p>
        </w:tc>
        <w:tc>
          <w:tcPr>
            <w:tcW w:w="1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2024</w:t>
            </w:r>
          </w:p>
        </w:tc>
        <w:tc>
          <w:tcPr>
            <w:tcW w:w="100" w:type="dxa"/>
            <w:vAlign w:val="bottom"/>
          </w:tcPr>
          <w:p>
            <w:pPr>
              <w:spacing w:after="0"/>
              <w:rPr>
                <w:sz w:val="24"/>
                <w:szCs w:val="24"/>
                <w:color w:val="auto"/>
              </w:rPr>
            </w:pPr>
          </w:p>
        </w:tc>
      </w:tr>
      <w:tr>
        <w:trPr>
          <w:trHeight w:val="187"/>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Revolving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r>
      <w:tr>
        <w:trPr>
          <w:trHeight w:val="238"/>
        </w:trPr>
        <w:tc>
          <w:tcPr>
            <w:tcW w:w="30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1,733,412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1,733,412</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3,740,462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3,740,462</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Unused fee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00" w:type="dxa"/>
            <w:vAlign w:val="bottom"/>
          </w:tcPr>
          <w:p>
            <w:pPr>
              <w:spacing w:after="0"/>
              <w:rPr>
                <w:sz w:val="18"/>
                <w:szCs w:val="18"/>
                <w:color w:val="auto"/>
              </w:rPr>
            </w:pPr>
          </w:p>
        </w:tc>
      </w:tr>
      <w:tr>
        <w:trPr>
          <w:trHeight w:val="216"/>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1,838,932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1,838,932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3,942,982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3,942,982</w:t>
            </w:r>
          </w:p>
        </w:tc>
        <w:tc>
          <w:tcPr>
            <w:tcW w:w="1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-1319530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-1319530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-1319530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-1319530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-1319530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term of our Management Agreement continued until May 1, 2024. After the initial term, our Management Agreement is automatically renewed every year for an additional one-year period, unless we or our Manager elect not to renew. Our Management Agreement may be terminated by us or our Manager under certain specified circumstances. On April 30, 2024 and 2025, the Management Agreement was automatically renewed.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six months ended June 30, 2025, the Base Management Fee payable was reduced by Outside Fees in the amount of $133,046 and $136,617,</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For the three and six months ended June 30, 2024, the Base Management Fee payable was reduced by Outside Fees in the amount of $15,500 and $31,571, respectively.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months ended June 30, 2025 and 2024 was $0.8 million and $0.7 million, respectively. Incentive compensation for the six months ended June 30, 2025 and 2024 was $1.4 million and $1.4 million, respectively.</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related party fees and expenses incurred by the Company for the three and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r>
      <w:tr>
        <w:trPr>
          <w:trHeight w:val="210"/>
        </w:trPr>
        <w:tc>
          <w:tcPr>
            <w:tcW w:w="5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earned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1,224,052</w:t>
            </w:r>
          </w:p>
        </w:tc>
        <w:tc>
          <w:tcPr>
            <w:tcW w:w="160" w:type="dxa"/>
            <w:vAlign w:val="bottom"/>
          </w:tcPr>
          <w:p>
            <w:pPr>
              <w:spacing w:after="0"/>
              <w:rPr>
                <w:sz w:val="18"/>
                <w:szCs w:val="18"/>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1,107,613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2,436,848</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2,181,922</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Outside Fees earned</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(133,046)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(136,617)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(31,571)</w:t>
            </w:r>
          </w:p>
        </w:tc>
      </w:tr>
      <w:tr>
        <w:trPr>
          <w:trHeight w:val="210"/>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Base management fees, net</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1,091,006</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1,092,113</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2,300,231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2,150,351</w:t>
            </w:r>
          </w:p>
        </w:tc>
        <w:tc>
          <w:tcPr>
            <w:tcW w:w="100" w:type="dxa"/>
            <w:vAlign w:val="bottom"/>
            <w:tcBorders>
              <w:top w:val="single" w:sz="8" w:color="CFF0FC"/>
            </w:tcBorders>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841,951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682,767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1,368,259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1,379,270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3,529,621</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1,155,787</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1,106,965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2,304,556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2,344,755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3,088,744</w:t>
            </w:r>
          </w:p>
        </w:tc>
        <w:tc>
          <w:tcPr>
            <w:tcW w:w="160" w:type="dxa"/>
            <w:vAlign w:val="bottom"/>
          </w:tcPr>
          <w:p>
            <w:pPr>
              <w:spacing w:after="0"/>
              <w:rPr>
                <w:sz w:val="18"/>
                <w:szCs w:val="18"/>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2,881,845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5,973,046</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5,874,376</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-736600</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-736600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-736600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-454025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-454025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-454025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payable to the Manager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Management fees payable</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1,091,006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payable</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841,951</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1,937,487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1,932,957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1,872,082</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3,805,039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-454025</wp:posOffset>
            </wp:positionV>
            <wp:extent cx="768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-454025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payables line item of the consolidated balance sheets as of June 30, 2025 and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June 30, 2025 and December 31, 2024, 15 and 19 of the Company’s loans were co-invested by affiliates of the Company.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There were no sales of Assigned Rights for the three and six months ended June 30,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 – related party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#3 and Loan #33</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borrowers of Loan #3 and Loan #33 are affiliates of Vireo Growth, Inc. ("Vireo"). In December 2024, John Mazarakis, who serves as our Executive Chairman of the Board, was appointed to serve as Chief Executive Officer and Co-Executive Chairman of the Board of Vireo. Certain affiliated investment funds that are managed by entities under common control with our Manager, and for which Mr. Mazarakis can exercise significant influence, own approximately 35% of Vireo's Subordinate Voting Shares, causing the Company to classify transactions with Vireo to be related party transactions. The aggregate principal balance of these loans is included on the consolidated balance sheets within loans held for investment - related party (Note 3). Loan #3 and Loan #33 were repaid in full during the period subsequent to June 30, 2025 (Note 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#9</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 through commencement of foreclosure proceedings. Loan #9 is co-invested by the Company and an affiliated investment fund under common control with the Manager (collectively with the Company, the "Lenders").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Agent subsequently pursued a Uniform Commercial Code Article 9 sale (“UCC sale”) of the membership interests of the borrower’s subsidiaries which were pledged as collateral. On August 10, 2023, the Agent was the highest bidder in a public auction of the membership interests and took ownership of the membership interests.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Agent was granted a summary judgment (the "Judgment") against the borrower credit parties and related individuals in the amount of approximately $14.5 million. The Judgment received in favor of the Agent was incremental to the equity acquired in the UCC sale. The enforcement of such Judgment and UCC sale was conditional upon the recognition and affiliation of members of the Agent by the Pennsylvania Department of Health (“PA DOH”), which was uncertain as of December 31, 2024.</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Court of Common Pleas in Snyder County, Pennsylvania granted an order in favor of the Agent, whereby members of the Agent would be duly recognized as owner-operators of the subject assets. The order was conditional upon the satisfactory completion of change of ownership and other cannabis owner-operator affiliation forms, as required by the PA DOH. In February 2025, upon approval by the PA DOH, members of the Agent satisfied the conditions imposed by PA DOH and assumed full control of the facilities and operations of the business.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2025, following completion of the foreclosure proceedings, the Company extinguished the original term loan, previously identified as Loan #9, and the Agent distributed the assets acquired from the foreclosure to the Lenders pursuant to an Agreement Among Lenders by and between the Agent and Lenders (the "AAL"). Pursuant to the AAL, the affiliated co-lender received rights to the membership interests acquired in the UCC sale and intends to engage third-parties, as necessary, and is currently in the process of restoring the business to a fully operational status. Further pursuant to the AAL, in satisfaction of the original loan, the Company now holds two loans with an aggregate principal balance of approximately $16.5 million, comprised of a $14.5 million first lien judgment loan (the "Judgment Loan") and a $2.0 million second lien term loan (the "Term Loan"), which had an aggregate fair value of approximately $16.5 million, resulting in a gain on extinguishment of approximately $66 thousand. The fair value of each of the Judgment Loan and Term Loan was determined by the Manager's investment committee using Level 3 inputs under the discounted cash flow method.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The Judgment Loan bears interest at a statutory rate of 9.0% pursuant to Illinois law, and will remain outstanding until paid by the borrower. The Term Loan bears interest at a contractual rate of 9.0% and has a maturity of March 31, 2028. The assets securing the original loan, which included mortgaged cultivation real estate in Pennsylvania and operations related thereto, continue to secure the Judgment Loan and the Term Loan. Accordingly, by virtue of the relationship between the Company, as holder of the Judgment Loan and the Term Loan, and the affiliated co-lender, as new owner of the membership interests of the original borrower credit parties, Loan #9 remains a related party loan. For comparability to previously issued financial statements, management will continue to reference the Judgment Loan and the Term Loan, collectively, as Loan #9, as shown in Note 3.</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the borrower opened its three dispensary locations, all of which were previously non-operational and expect improved financial performance as a result; however; given the history of non-payment resulting from these locations being non-operational, management will closely monitor and evaluate the financial and cash flow performance of the now operational assets, before restoring Loan #9 to accrual status. Accordingly, Loan #9 remains on non-accrual status as of June 30, 2025. The Company intends to hold both the Judgment Loan and the Term Loan until maturity or payoff, as applicable, and therefore has classified these assets as loans held for investment - related party as of June 30, 2025, with a carrying value of $17.8 million and a CECL reserve of approximately $0.5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at fair value - related party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2024, the Company originated a loan to a subsidiary of Vireo, collateralized by real estate assets in Minnesota. The loan has a principal balance and carrying value of $5.5 million and a carrying value of approximately $5.5 million and $5.3 million as of June 30, 2025 and December 31, 2024, respectively. The Company elected to record the investment at fair value under the fair value option as described in Note 4. Loan #39 was repaid in full during the period subsequent to June 30, 2025 (Note 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June 30, 2025 and December 31, 2024, the Company had unfunded commitments on existing loans of $16.6 million and $20.9 million, respectively.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as of June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2029</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2030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18"/>
                <w:szCs w:val="18"/>
                <w:color w:val="auto"/>
              </w:rPr>
            </w:pPr>
          </w:p>
        </w:tc>
      </w:tr>
      <w:tr>
        <w:trPr>
          <w:trHeight w:val="19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Undrawn commitments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16,595,000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16,595,000</w:t>
            </w: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16,595,000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16,595,000</w:t>
            </w:r>
          </w:p>
        </w:tc>
        <w:tc>
          <w:tcPr>
            <w:tcW w:w="7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-161925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-161925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-161925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-161925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-161925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-161925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June 30, 2025, the Company is not aware of any legal claims that could materially impact its business, financial condition, or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maximum number of shares of the Company’s common stock that may be delivered pursuant to awards under the 2021 Plan (the “Share Limit”) equals 8.50% of the issued and outstanding shares of the Company’s common stock on a fully-diluted basis following the completion of the initial public offering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6,469 and 0 shares forfeited during the six months ended June 30, 2025 and 2024, respectively. As individual awards and options become fully vested, stock-based compensation expense is adjusted to recognize actual forfeitures.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June 30, 2025 and December 31, 2024 of $13.96 and $15.42, respectively, the aggregate intrinsic value of our restricted stock awards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09"/>
        </w:trPr>
        <w:tc>
          <w:tcPr>
            <w:tcW w:w="3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20" w:type="dxa"/>
            <w:vAlign w:val="bottom"/>
          </w:tcPr>
          <w:p>
            <w:pPr>
              <w:spacing w:after="0"/>
              <w:rPr>
                <w:sz w:val="18"/>
                <w:szCs w:val="18"/>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0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5,739,668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5,495,954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6,342,292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3,182,441</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during the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3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3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Unvested Restricted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38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411,303</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55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(180,840)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62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36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411,151</w:t>
            </w:r>
          </w:p>
        </w:tc>
        <w:tc>
          <w:tcPr>
            <w:tcW w:w="1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21"/>
                <w:szCs w:val="21"/>
                <w:color w:val="auto"/>
              </w:rPr>
            </w:pPr>
          </w:p>
        </w:tc>
      </w:tr>
      <w:tr>
        <w:trPr>
          <w:trHeight w:val="628"/>
        </w:trPr>
        <w:tc>
          <w:tcPr>
            <w:tcW w:w="388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690"/>
              <w:spacing w:after="0"/>
              <w:rPr>
                <w:sz w:val="20"/>
                <w:szCs w:val="20"/>
                <w:color w:val="auto"/>
              </w:rPr>
            </w:pPr>
            <w:r>
              <w:rPr>
                <w:rFonts w:ascii="Times New Roman" w:cs="Times New Roman" w:eastAsia="Times New Roman" w:hAnsi="Times New Roman"/>
                <w:sz w:val="18"/>
                <w:szCs w:val="18"/>
                <w:color w:val="auto"/>
              </w:rPr>
              <w:t>22</w:t>
            </w:r>
          </w:p>
        </w:tc>
        <w:tc>
          <w:tcPr>
            <w:tcW w:w="1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768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Unvested Restricted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7680" w:type="dxa"/>
            <w:vAlign w:val="bottom"/>
          </w:tcPr>
          <w:p>
            <w:pPr>
              <w:spacing w:after="0"/>
              <w:rPr>
                <w:sz w:val="20"/>
                <w:szCs w:val="20"/>
                <w:color w:val="auto"/>
              </w:rPr>
            </w:pPr>
          </w:p>
        </w:tc>
        <w:tc>
          <w:tcPr>
            <w:tcW w:w="16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0"/>
                <w:szCs w:val="20"/>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366,647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(120,463)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FF0FC"/>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The share-based compensation expense for the Company was $1.5 million and $1.4 million for the six months ended June 30, 2025 and 2024, respectively. The unamortized share-based compensation expense, net for the Company was approximately $5.5 million and $6.1 million as of June 30, 2025 and 2024, respectively, which the Company expects to recognize over the remaining weighted-average term of 1.9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18, 2025, the Company amended its ATM Program and entered into new At-the-Market Sales Agreements (the “2025 Sales Agreement”) with BTIG, LLC, Oppenheimer &amp; Co. Inc., ATB Capital Markets USA, Inc. and A.G.P./Alliance Global Partners LLC (each a “Sales Agent” and together the “Sales Agents”). Under the terms of the 2025 Sales Agreement, the maximum offering size was increased from $75.0 million to $100.0 million and the commissions paid to the Sales Agents was reduced from a maximum of 3.0% to a maximum of 2.0%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sold an aggregate of 0 and 64,557 shares, respectively, of the Company’s common stock under the Sales Agreement. The weighted average sales price during the three and six months ended June 30, 2025 was $0 and $16.01 per share, generating net proceeds of approximately $0 and $1.0 million, respectively.</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sold an aggregate of 410,360 and 1,306,803 shares, respectively, of the Company’s common stock under the Sales Agreement. The weighted average sales price during the three and six months ended June 30, 2024 was $15.76 and $15.88 per share, generating net proceeds of approximately $6.3 million and $20.2 million,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2024, the shares of common stock sold pursuant to the registered direct offering in February 2023 and under the ATM Program are the only offerings that have been initiated under the Shelf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three and six months ended June 30,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80" w:type="dxa"/>
            <w:vAlign w:val="bottom"/>
          </w:tcPr>
          <w:p>
            <w:pPr>
              <w:spacing w:after="0"/>
              <w:rPr>
                <w:sz w:val="18"/>
                <w:szCs w:val="18"/>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191"/>
        </w:trPr>
        <w:tc>
          <w:tcPr>
            <w:tcW w:w="50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17,914,07</w:t>
            </w:r>
          </w:p>
        </w:tc>
        <w:tc>
          <w:tcPr>
            <w:tcW w:w="100" w:type="dxa"/>
            <w:vAlign w:val="bottom"/>
            <w:shd w:val="clear" w:color="auto" w:fill="CFF0FC"/>
          </w:tcPr>
          <w:p>
            <w:pPr>
              <w:spacing w:after="0"/>
              <w:rPr>
                <w:sz w:val="16"/>
                <w:szCs w:val="16"/>
                <w:color w:val="auto"/>
              </w:rPr>
            </w:pPr>
          </w:p>
        </w:tc>
      </w:tr>
      <w:tr>
        <w:trPr>
          <w:trHeight w:val="234"/>
        </w:trPr>
        <w:tc>
          <w:tcPr>
            <w:tcW w:w="50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8,877,375</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9,184,073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18,918,686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Divided by: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19,378,44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18,826,18</w:t>
            </w:r>
          </w:p>
        </w:tc>
        <w:tc>
          <w:tcPr>
            <w:tcW w:w="100" w:type="dxa"/>
            <w:vAlign w:val="bottom"/>
            <w:shd w:val="clear" w:color="auto" w:fill="CFF0FC"/>
          </w:tcPr>
          <w:p>
            <w:pPr>
              <w:spacing w:after="0"/>
              <w:rPr>
                <w:sz w:val="17"/>
                <w:szCs w:val="17"/>
                <w:color w:val="auto"/>
              </w:rPr>
            </w:pPr>
          </w:p>
        </w:tc>
      </w:tr>
      <w:tr>
        <w:trPr>
          <w:trHeight w:val="234"/>
        </w:trPr>
        <w:tc>
          <w:tcPr>
            <w:tcW w:w="50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21,002,787</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20,931,025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98"/>
        </w:trPr>
        <w:tc>
          <w:tcPr>
            <w:tcW w:w="50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19,890,37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19,265,43</w:t>
            </w:r>
          </w:p>
        </w:tc>
        <w:tc>
          <w:tcPr>
            <w:tcW w:w="10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21,487,106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21,376,645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10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tcPr>
          <w:p>
            <w:pPr>
              <w:spacing w:after="0"/>
              <w:rPr>
                <w:sz w:val="20"/>
                <w:szCs w:val="20"/>
                <w:color w:val="auto"/>
              </w:rPr>
            </w:pPr>
          </w:p>
        </w:tc>
      </w:tr>
      <w:tr>
        <w:trPr>
          <w:trHeight w:val="626"/>
        </w:trPr>
        <w:tc>
          <w:tcPr>
            <w:tcW w:w="5080" w:type="dxa"/>
            <w:vAlign w:val="bottom"/>
          </w:tcPr>
          <w:p>
            <w:pPr>
              <w:spacing w:after="0"/>
              <w:rPr>
                <w:sz w:val="24"/>
                <w:szCs w:val="24"/>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anti-dilutive shares excluded from the computations of earnings per common share for the three and six months ended June 30,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2025 and 2024, we did not incur excise tax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Company does not have any material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Loans, at fair value - related party</w:t>
            </w:r>
          </w:p>
        </w:tc>
        <w:tc>
          <w:tcPr>
            <w:tcW w:w="26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00" w:type="dxa"/>
            <w:vAlign w:val="bottom"/>
          </w:tcPr>
          <w:p>
            <w:pPr>
              <w:spacing w:after="0"/>
              <w:rPr>
                <w:sz w:val="20"/>
                <w:szCs w:val="20"/>
                <w:color w:val="auto"/>
              </w:rPr>
            </w:pPr>
          </w:p>
        </w:tc>
      </w:tr>
      <w:tr>
        <w:trPr>
          <w:trHeight w:val="414"/>
        </w:trPr>
        <w:tc>
          <w:tcPr>
            <w:tcW w:w="4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Loans, at fair value - related party</w:t>
            </w:r>
          </w:p>
        </w:tc>
        <w:tc>
          <w:tcPr>
            <w:tcW w:w="26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tcPr>
          <w:p>
            <w:pPr>
              <w:spacing w:after="0"/>
              <w:rPr>
                <w:sz w:val="20"/>
                <w:szCs w:val="20"/>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loans classified in Level 3 of the fair value hierarchy during the six months ended June 30, 2025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out of Level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into Level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For the six months</w:t>
            </w:r>
          </w:p>
        </w:tc>
      </w:tr>
      <w:tr>
        <w:trPr>
          <w:trHeight w:val="238"/>
        </w:trPr>
        <w:tc>
          <w:tcPr>
            <w:tcW w:w="140" w:type="dxa"/>
            <w:vAlign w:val="bottom"/>
          </w:tcPr>
          <w:p>
            <w:pPr>
              <w:spacing w:after="0"/>
              <w:rPr>
                <w:sz w:val="20"/>
                <w:szCs w:val="20"/>
                <w:color w:val="auto"/>
              </w:rPr>
            </w:pPr>
          </w:p>
        </w:tc>
        <w:tc>
          <w:tcPr>
            <w:tcW w:w="2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 June 30, 2025</w:t>
            </w:r>
          </w:p>
        </w:tc>
      </w:tr>
      <w:tr>
        <w:trPr>
          <w:trHeight w:val="196"/>
        </w:trPr>
        <w:tc>
          <w:tcPr>
            <w:tcW w:w="14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Loans, at fair value - related party</w:t>
            </w:r>
          </w:p>
        </w:tc>
        <w:tc>
          <w:tcPr>
            <w:tcW w:w="60" w:type="dxa"/>
            <w:vAlign w:val="bottom"/>
          </w:tcPr>
          <w:p>
            <w:pPr>
              <w:spacing w:after="0"/>
              <w:rPr>
                <w:sz w:val="17"/>
                <w:szCs w:val="17"/>
                <w:color w:val="auto"/>
              </w:rPr>
            </w:pP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5,500,000</w:t>
            </w:r>
          </w:p>
        </w:tc>
        <w:tc>
          <w:tcPr>
            <w:tcW w:w="6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(5,500,000)</w:t>
            </w:r>
          </w:p>
        </w:tc>
      </w:tr>
      <w:tr>
        <w:trPr>
          <w:trHeight w:val="234"/>
        </w:trPr>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09"/>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-582295</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-307975</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80"/>
          </w:cols>
          <w:pgMar w:left="320" w:top="981" w:right="339" w:bottom="1440" w:gutter="0" w:footer="0" w:header="0"/>
        </w:sectPr>
      </w:pP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Loan #39 was transferred from Level 3 to Level 2 due to the availability of observable market data. T</w:t>
      </w:r>
      <w:r>
        <w:rPr>
          <w:rFonts w:ascii="Times New Roman" w:cs="Times New Roman" w:eastAsia="Times New Roman" w:hAnsi="Times New Roman"/>
          <w:sz w:val="18"/>
          <w:szCs w:val="18"/>
          <w:color w:val="1D1C1D"/>
        </w:rPr>
        <w: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value was based on the price at which the loan was repaid during the period subsequent to June 30, 2025 </w:t>
      </w:r>
      <w:r>
        <w:rPr>
          <w:rFonts w:ascii="Times New Roman" w:cs="Times New Roman" w:eastAsia="Times New Roman" w:hAnsi="Times New Roman"/>
          <w:sz w:val="18"/>
          <w:szCs w:val="18"/>
          <w:color w:val="000000"/>
        </w:rPr>
        <w:t>(Note 16).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carrying values and fair values of the Company’s financial assets and liabilities recorded at amortized cost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3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3960" w:type="dxa"/>
            <w:vAlign w:val="bottom"/>
          </w:tcPr>
          <w:p>
            <w:pPr>
              <w:spacing w:after="0"/>
              <w:rPr>
                <w:sz w:val="18"/>
                <w:szCs w:val="18"/>
                <w:color w:val="auto"/>
              </w:rPr>
            </w:pPr>
          </w:p>
        </w:tc>
        <w:tc>
          <w:tcPr>
            <w:tcW w:w="10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r>
      <w:tr>
        <w:trPr>
          <w:trHeight w:val="199"/>
        </w:trPr>
        <w:tc>
          <w:tcPr>
            <w:tcW w:w="5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413,975,484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413,473,042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399,771,293</w:t>
            </w:r>
          </w:p>
        </w:tc>
        <w:tc>
          <w:tcPr>
            <w:tcW w:w="100" w:type="dxa"/>
            <w:vAlign w:val="bottom"/>
          </w:tcPr>
          <w:p>
            <w:pPr>
              <w:spacing w:after="0"/>
              <w:rPr>
                <w:sz w:val="17"/>
                <w:szCs w:val="17"/>
                <w:color w:val="auto"/>
              </w:rPr>
            </w:pPr>
          </w:p>
        </w:tc>
      </w:tr>
      <w:tr>
        <w:trPr>
          <w:trHeight w:val="203"/>
        </w:trPr>
        <w:tc>
          <w:tcPr>
            <w:tcW w:w="5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35,562,084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35,562,084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26,400,448</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26,400,448</w:t>
            </w:r>
          </w:p>
        </w:tc>
        <w:tc>
          <w:tcPr>
            <w:tcW w:w="100" w:type="dxa"/>
            <w:vAlign w:val="bottom"/>
            <w:shd w:val="clear" w:color="auto" w:fill="CFF0FC"/>
          </w:tcPr>
          <w:p>
            <w:pPr>
              <w:spacing w:after="0"/>
              <w:rPr>
                <w:sz w:val="17"/>
                <w:szCs w:val="17"/>
                <w:color w:val="auto"/>
              </w:rPr>
            </w:pPr>
          </w:p>
        </w:tc>
      </w:tr>
      <w:tr>
        <w:trPr>
          <w:trHeight w:val="202"/>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receivable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3,295,906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3,295,906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1,453,823</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1,453,823</w:t>
            </w:r>
          </w:p>
        </w:tc>
        <w:tc>
          <w:tcPr>
            <w:tcW w:w="100" w:type="dxa"/>
            <w:vAlign w:val="bottom"/>
          </w:tcPr>
          <w:p>
            <w:pPr>
              <w:spacing w:after="0"/>
              <w:rPr>
                <w:sz w:val="17"/>
                <w:szCs w:val="17"/>
                <w:color w:val="auto"/>
              </w:rPr>
            </w:pPr>
          </w:p>
        </w:tc>
      </w:tr>
      <w:tr>
        <w:trPr>
          <w:trHeight w:val="203"/>
        </w:trPr>
        <w:tc>
          <w:tcPr>
            <w:tcW w:w="5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422,999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422,999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459,187</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459,187</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3,370,339</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3,370,339</w:t>
            </w:r>
          </w:p>
        </w:tc>
        <w:tc>
          <w:tcPr>
            <w:tcW w:w="100" w:type="dxa"/>
            <w:vAlign w:val="bottom"/>
          </w:tcPr>
          <w:p>
            <w:pPr>
              <w:spacing w:after="0"/>
              <w:rPr>
                <w:sz w:val="17"/>
                <w:szCs w:val="17"/>
                <w:color w:val="auto"/>
              </w:rPr>
            </w:pPr>
          </w:p>
        </w:tc>
      </w:tr>
      <w:tr>
        <w:trPr>
          <w:trHeight w:val="203"/>
        </w:trPr>
        <w:tc>
          <w:tcPr>
            <w:tcW w:w="39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Revolving loan</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71,200,000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70,996,618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55,000,000</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54,694,925</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Notes payable, net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49,215,015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49,383,526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49,096,250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49,306,996</w:t>
            </w:r>
          </w:p>
        </w:tc>
        <w:tc>
          <w:tcPr>
            <w:tcW w:w="100" w:type="dxa"/>
            <w:vAlign w:val="bottom"/>
          </w:tcPr>
          <w:p>
            <w:pPr>
              <w:spacing w:after="0"/>
              <w:rPr>
                <w:sz w:val="17"/>
                <w:szCs w:val="17"/>
                <w:color w:val="auto"/>
              </w:rPr>
            </w:pPr>
          </w:p>
        </w:tc>
      </w:tr>
      <w:tr>
        <w:trPr>
          <w:trHeight w:val="203"/>
        </w:trPr>
        <w:tc>
          <w:tcPr>
            <w:tcW w:w="5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1,355,598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1,355,598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2,285,035</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2,285,035</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reserve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1,297,878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1,297,878</w:t>
            </w:r>
          </w:p>
        </w:tc>
        <w:tc>
          <w:tcPr>
            <w:tcW w:w="100" w:type="dxa"/>
            <w:vAlign w:val="bottom"/>
          </w:tcPr>
          <w:p>
            <w:pPr>
              <w:spacing w:after="0"/>
              <w:rPr>
                <w:sz w:val="17"/>
                <w:szCs w:val="17"/>
                <w:color w:val="auto"/>
              </w:rPr>
            </w:pPr>
          </w:p>
        </w:tc>
      </w:tr>
      <w:tr>
        <w:trPr>
          <w:trHeight w:val="203"/>
        </w:trPr>
        <w:tc>
          <w:tcPr>
            <w:tcW w:w="5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1,932,957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1,932,957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2,863,158</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2,863,158</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Related party payables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1,872,082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1,872,082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2,043,403</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2,043,403</w:t>
            </w:r>
          </w:p>
        </w:tc>
        <w:tc>
          <w:tcPr>
            <w:tcW w:w="100" w:type="dxa"/>
            <w:vAlign w:val="bottom"/>
          </w:tcPr>
          <w:p>
            <w:pPr>
              <w:spacing w:after="0"/>
              <w:rPr>
                <w:sz w:val="17"/>
                <w:szCs w:val="17"/>
                <w:color w:val="auto"/>
              </w:rPr>
            </w:pPr>
          </w:p>
        </w:tc>
      </w:tr>
      <w:tr>
        <w:trPr>
          <w:trHeight w:val="203"/>
        </w:trPr>
        <w:tc>
          <w:tcPr>
            <w:tcW w:w="50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Investments payable</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9,461,774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9,461,774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10"/>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Dividend payable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9,905,074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9,905,074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13,605,153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13,605,153</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loans are held for investment and are substantially secured by real estate, equipment, licenses and other assets of the borrowers to the extent permitted by the applicable laws and the regulations governing such borrowers. The aggregate fair value of the Company’s portfolio of loans held for investment was $413,473,042 and $399,771,293, with gross unrecognized holding losses of $0.5 million and $2.7 million as of June 30, 2025 and December 31, 2024,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six months ended June 30,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Section 199A</w:t>
            </w: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1260" w:type="dxa"/>
            <w:vAlign w:val="bottom"/>
            <w:gridSpan w:val="3"/>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4/15/2025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6/30/2025</w:t>
            </w:r>
          </w:p>
        </w:tc>
        <w:tc>
          <w:tcPr>
            <w:tcW w:w="12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7/15/2025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8"/>
                <w:szCs w:val="18"/>
                <w:color w:val="auto"/>
              </w:rPr>
            </w:pPr>
          </w:p>
        </w:tc>
        <w:tc>
          <w:tcPr>
            <w:tcW w:w="3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8"/>
                <w:szCs w:val="18"/>
                <w:color w:val="auto"/>
              </w:rPr>
            </w:pPr>
          </w:p>
        </w:tc>
        <w:tc>
          <w:tcPr>
            <w:tcW w:w="13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c>
          <w:tcPr>
            <w:tcW w:w="0" w:type="dxa"/>
            <w:vAlign w:val="bottom"/>
          </w:tcPr>
          <w:p>
            <w:pPr>
              <w:spacing w:after="0"/>
              <w:rPr>
                <w:sz w:val="1"/>
                <w:szCs w:val="1"/>
                <w:color w:val="auto"/>
              </w:rPr>
            </w:pPr>
          </w:p>
        </w:tc>
      </w:tr>
      <w:tr>
        <w:trPr>
          <w:trHeight w:val="238"/>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0" w:type="dxa"/>
            <w:vAlign w:val="bottom"/>
          </w:tcPr>
          <w:p>
            <w:pPr>
              <w:spacing w:after="0"/>
              <w:rPr>
                <w:sz w:val="1"/>
                <w:szCs w:val="1"/>
                <w:color w:val="auto"/>
              </w:rPr>
            </w:pPr>
          </w:p>
        </w:tc>
      </w:tr>
      <w:tr>
        <w:trPr>
          <w:trHeight w:val="209"/>
        </w:trPr>
        <w:tc>
          <w:tcPr>
            <w:tcW w:w="21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3/28/2024</w:t>
            </w: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4/15/2024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Pr>
          <w:p>
            <w:pPr>
              <w:spacing w:after="0"/>
              <w:rPr>
                <w:sz w:val="18"/>
                <w:szCs w:val="18"/>
                <w:color w:val="auto"/>
              </w:rPr>
            </w:pPr>
          </w:p>
        </w:tc>
        <w:tc>
          <w:tcPr>
            <w:tcW w:w="240" w:type="dxa"/>
            <w:vAlign w:val="bottom"/>
            <w:tcBorders>
              <w:top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8"/>
              </w:rPr>
              <w:t>6/28/2024</w:t>
            </w:r>
          </w:p>
        </w:tc>
        <w:tc>
          <w:tcPr>
            <w:tcW w:w="126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7/15/2024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0.94</w:t>
            </w:r>
          </w:p>
        </w:tc>
        <w:tc>
          <w:tcPr>
            <w:tcW w:w="2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-1165225</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-1148080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-1310640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-1165225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-1148080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-1310640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-1165225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-1148080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-1310640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Company operates through a single operating and reporting segment with an investment objective to generate both current income and capital appreciation through its investments in loans. The management approach considers the internal organization and reporting used by the Company’s Co-Chief Executive Officers, the Chief Financial Officer, and the President which comprise the chief operating decision maker (“CODM”) for making decisions, allocating resources and assessing performance. The CODM assesses the performance and makes operating decisions of the Company on a consolidated basis primarily based on the Company’s net income as presented on the accompanying consolidated statements of income. In addition to other factors and metrics, the CODM utilizes net income as a key determinant of the amount of dividends to be distributed to the Company's stockholders.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Company’s operations comprise of a single reporting segment, the segment assets are reflected on the accompanying consolidated balance sheets as “total assets” and the significant segment expenses are listed on the accompanying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from July 1, 2025 to August 7, 2025, the Company advanced approximately $4.0 million to existing borrowers and received $0.5 million in scheduled principal repayments.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from July 1, 2025 to August 7, 2025, the Company received principal repayments totaling $56.8 million, relating to the full repayment of Loans #3, #20, #29, #32, #33 and #39. In connection with the repayments prior to maturity, the Company recognized $1.0 million in prepayment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from July 1, 2025 to August 7, 2025, the Company had net repayments on the Revolving Loan of $58.8 million. As of August 7, 2025, remaining availability on the Revolving Loan is $97.6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 (Note 16).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15, 2025, the Company paid its regular quarterly dividend of $0.47 per common share relating to the second quarter of 2025 to stockholders of record as of the close of business on June 30, 2025. The total amount of the cash dividend payment was approximately $9.9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ind w:right="380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5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184"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760" w:right="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and economic conditions, including inflation and tariffs, which may have an adverse impact on our portfolio companies and commercial real estate in general;</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(“REIT”) for U.S. federal income tax purposes;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4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loans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4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June 30, 2025 and December 31, 2024, 34.9% and 50.0%,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6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our portfolio is comprised primarily of first mortgages to established multi-state or single-state cannabis operators or property owners. We consider cannabis operators to be established if they are state-licensed and are deemed to be operational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June 30, 2025 and December 31, 2024, approximately 60.1% and 62.1%, respectively, of our portfolio of loans held for investment portfolio was comprised of floating rate loans, and 39.9% and 37.9% of our total portfolio was comprised of fixed rate loans, respectively. The floating rate loans described above are variable based upon the Prime Rate plus an applicable margin, and in many cases, a Prime Rate floor. We have one floating rate loan, which comprises approximately 0.1% of the aggregate portfolio outstanding principal that bears a rate based on SOFR.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below table reflects the changes in the Prime Rate since January 1, 2024:</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60" w:type="dxa"/>
            <w:vAlign w:val="bottom"/>
          </w:tcPr>
          <w:p>
            <w:pPr>
              <w:spacing w:after="0"/>
              <w:rPr>
                <w:sz w:val="24"/>
                <w:szCs w:val="24"/>
                <w:color w:val="auto"/>
              </w:rPr>
            </w:pPr>
          </w:p>
        </w:tc>
        <w:tc>
          <w:tcPr>
            <w:tcW w:w="1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4"/>
                <w:szCs w:val="24"/>
                <w:b w:val="1"/>
                <w:bCs w:val="1"/>
                <w:color w:val="auto"/>
                <w:vertAlign w:val="superscript"/>
              </w:rPr>
              <w:t>(1)</w:t>
            </w:r>
          </w:p>
        </w:tc>
        <w:tc>
          <w:tcPr>
            <w:tcW w:w="180" w:type="dxa"/>
            <w:vAlign w:val="bottom"/>
          </w:tcPr>
          <w:p>
            <w:pPr>
              <w:spacing w:after="0"/>
              <w:rPr>
                <w:sz w:val="24"/>
                <w:szCs w:val="24"/>
                <w:color w:val="auto"/>
              </w:rPr>
            </w:pPr>
          </w:p>
        </w:tc>
      </w:tr>
      <w:tr>
        <w:trPr>
          <w:trHeight w:val="210"/>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19, 2024</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2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19, 2024</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Rate obtained from the Wall Street Journal’s “Bonds, Rates &amp; Yields” table.</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7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 party valuation firms);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audit fees and expenses from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3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2025, we did not incur excise tax expense.</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June 30, 2025.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3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is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20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4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June 30, 2025, 60.1% of our portfolio of loans held for investment are floating rate loans, based on total principal outstanding have interest Prime rate floors as summarized below:</w:t>
      </w:r>
    </w:p>
    <w:p>
      <w:pPr>
        <w:spacing w:after="0" w:line="34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 June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right"/>
              <w:ind w:right="790"/>
              <w:spacing w:after="0" w:line="188"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4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Rate Floor</w:t>
            </w:r>
          </w:p>
        </w:tc>
        <w:tc>
          <w:tcPr>
            <w:tcW w:w="320" w:type="dxa"/>
            <w:vAlign w:val="bottom"/>
            <w:gridSpan w:val="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420" w:type="dxa"/>
            <w:vAlign w:val="bottom"/>
          </w:tcPr>
          <w:p>
            <w:pPr>
              <w:spacing w:after="0"/>
              <w:rPr>
                <w:sz w:val="20"/>
                <w:szCs w:val="20"/>
                <w:color w:val="auto"/>
              </w:rPr>
            </w:pPr>
          </w:p>
        </w:tc>
        <w:tc>
          <w:tcPr>
            <w:tcW w:w="2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Percentage of Portfolio</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8.50%</w:t>
            </w:r>
          </w:p>
        </w:tc>
        <w:tc>
          <w:tcPr>
            <w:tcW w:w="4540" w:type="dxa"/>
            <w:vAlign w:val="bottom"/>
            <w:gridSpan w:val="4"/>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50,469,178</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8.00%</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7,250,000</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7.75%</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21,523,183</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7.50%</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48,057,687</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7.00%</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85,624,483</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6.25%</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19,186,876</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5.50%</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4.00%</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233,333</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0.00%</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Fixed-rate</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166,213,408</w:t>
            </w:r>
          </w:p>
        </w:tc>
        <w:tc>
          <w:tcPr>
            <w:tcW w:w="420" w:type="dxa"/>
            <w:vAlign w:val="bottom"/>
          </w:tcPr>
          <w:p>
            <w:pPr>
              <w:spacing w:after="0"/>
              <w:rPr>
                <w:sz w:val="18"/>
                <w:szCs w:val="18"/>
                <w:color w:val="auto"/>
              </w:rPr>
            </w:pPr>
          </w:p>
        </w:tc>
        <w:tc>
          <w:tcPr>
            <w:tcW w:w="2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0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tcPr>
          <w:p>
            <w:pPr>
              <w:spacing w:after="0"/>
              <w:rPr>
                <w:sz w:val="18"/>
                <w:szCs w:val="18"/>
                <w:color w:val="auto"/>
              </w:rPr>
            </w:pPr>
          </w:p>
        </w:tc>
        <w:tc>
          <w:tcPr>
            <w:tcW w:w="404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416,418,148</w:t>
            </w:r>
          </w:p>
        </w:tc>
        <w:tc>
          <w:tcPr>
            <w:tcW w:w="420" w:type="dxa"/>
            <w:vAlign w:val="bottom"/>
            <w:vMerge w:val="continue"/>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including the Secured Overnight Financing Rate ("SOFR"). Accordingly, any increase in the Prime Rate or SOFR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4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continue to capitalize on these opportunities and growing the size of our portfolio.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Second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Second Quarter of 2025</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June 2025, we entered into an amendment to Loan #16, which extended the maturity date to January 29, 2027. No other terms of the loan were modified in connection with this amendment.</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June 2025, Loan #7 was refinanced, which extended the maturity date from June 30, 2025 to June 30, 2028. In addition, the Company made a $13 million commitment add-on.</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May 9, 2025, Loan #6 was placed on non-accrual and remains on non-accrual as of June 30, 2025. A Default Notice was sent to the borrower on May 9, 2025 specifying certain events of default such as outstanding tax liens and recent non-payment of interest and principal. Management has begun the process to exercise its rights and remedies under the loan documents.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period from July 1, 2025 to August 7, 2025, the Company advanced approximately $4.0 million to existing borrowers and received $0.5 million in scheduled principal repayments.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period from July 1, 2025 to August 7, 2025, the Company received principal repayments totaling $56.8 million, relating to the full repayment of Loans #3, #20, #29, #32, #33 and #39. In connection with the repayments prior to maturity, the Company recognized $1.0 million in prepayment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we declared an ordinary cash dividend of $0.47 per share of our common stock, relating to the second quarter of 2025, which was paid on July 15, 2025 to stockholders of record as of the close of business on June 30, 2025. The total amount of the cash dividend payment was approximately $9.9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payment of this dividend is not indicative of our ability to pay such dividends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16,502,035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15,022,431</w:t>
            </w: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(2,077,048)</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(1,838,932)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(238,116)</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2"/>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14,424,987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13,183,499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1,241,488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194"/>
        </w:trPr>
        <w:tc>
          <w:tcPr>
            <w:tcW w:w="4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1,932,957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1,271,124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1,254,535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fees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836,333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(275,471)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r>
      <w:tr>
        <w:trPr>
          <w:trHeight w:val="20"/>
        </w:trPr>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5,712,612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3,999,426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1,713,186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8,877,375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(306,698)</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3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8,877,375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9,184,073</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(306,698)</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-1842770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-1842770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-1842770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-1842770</wp:posOffset>
            </wp:positionV>
            <wp:extent cx="1289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-591185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-591185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-591185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-591185</wp:posOffset>
            </wp:positionV>
            <wp:extent cx="1289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-299720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-299720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-299720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-299720</wp:posOffset>
            </wp:positionV>
            <wp:extent cx="1289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760" w:hanging="378"/>
        <w:spacing w:after="0" w:line="26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approximately $1.5 million, or 10%, during the quarter ended June 30, 2025, compared to the quarter ended June 30, 2024. The increase in interest income was driven primarily by fee income of $1.5 million for the three months ended June 30, 2025, as compared to $0.1 million for the three months ended June 30, 2024. The fee income primarily related to the refinancing of Loan #7 which had an original maturity date of June 30, 2025 and recognition of a success fee of $1.0 million.</w:t>
      </w:r>
    </w:p>
    <w:p>
      <w:pPr>
        <w:spacing w:after="0" w:line="13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by approximately $0.2 million, or 13%, over the comparative period. The increase was due to the interest on the Notes Payable, which were not included in the interest expense for the three months ended June 30, 2024, which contributed to approximately $1.2 million of the interest expense for the three months ended June 30, 2025. This increase was offset by 100 basis point prime rate decline and a decrease in the weighted average outstanding balance on the Revolving Loan, which was approximately $42.3 million and $78.4 million, as of June 30, 2025, and 2024, respectively.</w:t>
      </w:r>
    </w:p>
    <w:p>
      <w:pPr>
        <w:spacing w:after="0" w:line="142"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increased by approximately $158 thousand, or 9%, over the comparative period. The increase was primarily related to the increase in incentive fees of $159 thousand during the June 30, 2025 , as compared to June 30, 2024, primarily as a result in the increase in Core Earnings of approximately $790 thousand over the comparable trailing twelve-month period.</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increased by approximately $88 thousand for the three months ended June 30, 2025, as compared to the three months ended June 30, 2024.</w:t>
      </w:r>
    </w:p>
    <w:p>
      <w:pPr>
        <w:spacing w:after="0" w:line="12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slightly increased by approximately $45 thousand for the three months ended June 30, 2025, as compared to the three months ended June 30, 2024. The increase over the comparable period is driven by the incremental expense recognized on the 187,157 restricted stock awards granted to employees of our Manager on April 1, 2025, which have a vesting period of three years.</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was approximately $1.1 million in the three months ended June 30, 2025, as compared to a reversal of $275 thousand in the three months ended June 30, 2024. The CECL reserve represents approximately 107 basis points of our aggregate loans held for investment, at carrying value, of approximately $416.4 million as of June 30, 2025, compared with 133 basis points as of June 30, 2024.</w:t>
      </w:r>
    </w:p>
    <w:p>
      <w:pPr>
        <w:spacing w:after="0" w:line="149" w:lineRule="exact"/>
        <w:rPr>
          <w:sz w:val="20"/>
          <w:szCs w:val="20"/>
          <w:color w:val="auto"/>
        </w:rPr>
      </w:pPr>
    </w:p>
    <w:p>
      <w:pPr>
        <w:jc w:val="both"/>
        <w:ind w:left="1540" w:hanging="514"/>
        <w:spacing w:after="0" w:line="261"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CECL reserve corresponds to a modest decline in the credit profile of our portfolio of loans held for investment during the comparative three-month period from March 31, 2025 to June 30, 2025, primarily due to the Loan #6 being placed on non-accrual status. The carrying value of loans held for investment risk rated "4" increased from approximately $21.6 million or 5.4% as of March 31, 2025 to $39.4 million or 9.5% as of June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621"/>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9"/>
        </w:trPr>
        <w:tc>
          <w:tcPr>
            <w:tcW w:w="4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31,609,350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30,366,098</w:t>
            </w:r>
          </w:p>
        </w:tc>
        <w:tc>
          <w:tcPr>
            <w:tcW w:w="20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(4,142,430)</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(3,942,982)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(199,448)</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7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27,466,920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26,423,116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1,043,804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194"/>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3,668,490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3,529,621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2,467,231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2,644,802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(177,571)</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973,059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1,530,440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1,367,626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(30,794)</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8,713,234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8,505,864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207,370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7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(72,428)</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7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18,918,686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1,004,610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47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18,918,686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17,914,076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1,004,610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0"/>
        </w:trPr>
        <w:tc>
          <w:tcPr>
            <w:tcW w:w="4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-1979295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-1979295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-1979295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-1979295</wp:posOffset>
            </wp:positionV>
            <wp:extent cx="1289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-728345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-728345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-728345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-728345</wp:posOffset>
            </wp:positionV>
            <wp:extent cx="1289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-445135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-445135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-445135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-445135</wp:posOffset>
            </wp:positionV>
            <wp:extent cx="12890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-153670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-153670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-153670</wp:posOffset>
            </wp:positionV>
            <wp:extent cx="1289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760" w:hanging="378"/>
        <w:spacing w:after="0" w:line="25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approximately $1.2 million, or 4%, during the six months ended June 30, 2025, compared to the six months ended June 30, 2024. The increase is primarily driven by interest income from prepayment fees and acceleration of original issue discounts and other upfront fees generated approximately $1.9 million and $0.1 million of gross interest income during the six months ended June 30, 2025 and 2024, respectively. The increase was offset by the weighted-average yield-to-maturity internal rate of return (“YTM IRR”) on our portfolio decreased from 18.7% at June 30, 2024. to 16.8% at June 30, 2025, as a result of certain re-pricing amendments relating to de-risking of our portfolio and the impact of the 100 basis point prime rate decline on our floating rate portfolio.</w:t>
      </w:r>
    </w:p>
    <w:p>
      <w:pPr>
        <w:spacing w:after="0" w:line="146"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by approximately $0.2 million, or 5%, over the comparative period. The increase was attributable to the Notes Payable, which were not included in interest expense during the six months ended June 30, 2024, contributed to approximately $2.4 million of the expense during the six months ended June 30, 2025. The outstanding balance on the Revolving Loan was approximately $71.2 million and $76.8 million, as of June 30, 2025 and 2023, respectively.</w:t>
      </w:r>
    </w:p>
    <w:p>
      <w:pPr>
        <w:spacing w:after="0" w:line="139"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was approximately $3.7 million for the six months ended June 30, 2025, as compared to approximately $3.5 million for the six months ended June 30, 2024, a increase of $0.1 million. Management fees were approximately $2.3 million for the six months ended June 30, 2025, as compared to approximately $2.2 million for the six months ended June 30, 2024. The slight increase in management fees was primarily attributable to fewer origination fee offsets in the six months ended June 30, 2025 of approximately $137 thousand, compared to approximately $32 thousand for the six months ended June 30, 2024. Incentive fees were approximately $1.4 million for both the six months ended June 30, 2025 and 2024.</w:t>
      </w:r>
    </w:p>
    <w:p>
      <w:pPr>
        <w:spacing w:after="0" w:line="16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decreased by approximately $64 thousand for the six months ended June 30, 2025, as compared to the six months ended June 30, 2024.</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$0.2 million for the six months ended June 30, 2025, as compared to the six months ended June 30, 2024. The increase over the comparable period is driven by the incremental expense recognized on the 187,157 restricted stock awards granted to employees of our Manager on April 1, 2025.</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current expected credit losses decreased due to both borrower specific credit factors and regular re-evaluations of overall current macroeconomic conditions affecting our borrowers and the industry.</w:t>
      </w:r>
    </w:p>
    <w:p>
      <w:pPr>
        <w:spacing w:after="0" w:line="135" w:lineRule="exact"/>
        <w:rPr>
          <w:sz w:val="20"/>
          <w:szCs w:val="20"/>
          <w:color w:val="auto"/>
        </w:rPr>
      </w:pPr>
    </w:p>
    <w:p>
      <w:pPr>
        <w:jc w:val="both"/>
        <w:ind w:left="1540" w:hanging="514"/>
        <w:spacing w:after="0" w:line="266"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current expected credit losses were approximately $74 thousand in the six months ended June 30, 2025, as compared to $105 thousand during the six months ended June 30, 2024. The decrease in expected credit losses was primarily driven by the $0.7 million reversal from Loan #9 during the six months ended June 30, 2025. The current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ind w:left="1540"/>
        <w:spacing w:after="0" w:line="282" w:lineRule="auto"/>
        <w:rPr>
          <w:sz w:val="20"/>
          <w:szCs w:val="20"/>
          <w:color w:val="auto"/>
        </w:rPr>
      </w:pPr>
      <w:r>
        <w:rPr>
          <w:rFonts w:ascii="Times New Roman" w:cs="Times New Roman" w:eastAsia="Times New Roman" w:hAnsi="Times New Roman"/>
          <w:sz w:val="18"/>
          <w:szCs w:val="18"/>
          <w:color w:val="auto"/>
        </w:rPr>
        <w:t>expected credit loss reserve represents approximately 107 basis points of our aggregate loan commitments held at carrying value of approximately $4.4 million as of June 30, 2025.</w:t>
      </w:r>
    </w:p>
    <w:p>
      <w:pPr>
        <w:spacing w:after="0" w:line="135" w:lineRule="exact"/>
        <w:rPr>
          <w:sz w:val="20"/>
          <w:szCs w:val="20"/>
          <w:color w:val="auto"/>
        </w:rPr>
      </w:pPr>
    </w:p>
    <w:p>
      <w:pPr>
        <w:jc w:val="both"/>
        <w:ind w:left="1540" w:hanging="514"/>
        <w:spacing w:after="0" w:line="261"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 period ended June 30, 2025, the Company's CECL Reserve increased by approximately $0.1 million. However; the Company noted approximately $51.3 million of principal of loans held for investment were fully repaid during the subsequent period from June 30, 2025 through August 7, 2025 and for these loans, management applied a $0 CECL reserve. These loans are included in risk rating "1"in Note 3.</w:t>
      </w:r>
    </w:p>
    <w:p>
      <w:pPr>
        <w:spacing w:after="0" w:line="139" w:lineRule="exact"/>
        <w:rPr>
          <w:rFonts w:ascii="Times New Roman" w:cs="Times New Roman" w:eastAsia="Times New Roman" w:hAnsi="Times New Roman"/>
          <w:sz w:val="18"/>
          <w:szCs w:val="18"/>
          <w:color w:val="auto"/>
        </w:rPr>
      </w:pPr>
    </w:p>
    <w:p>
      <w:pPr>
        <w:jc w:val="both"/>
        <w:ind w:left="1540" w:hanging="514"/>
        <w:spacing w:after="0" w:line="258"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a reserve liability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 The reserve recorded applicable to the $16.6 million of unfunded commitments as of June 30, 2025 is approximately $45 thousand.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Company's portfolio included loans to 29 and 30 borrowers, respectively, of which approximately $414.0 million and $402.5 million at carrying value, respectively, prior to the reserve for current expected credit losses, are classified as held for investment. The aggregate outstanding principal was approximately $416.4 million and $404.7 million as of June 30, 2025 and December 31, 2024, respectively.</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of June 30, 2025 and December 31, 2024, our portfolio of loans held for investment had a weighted-average YTM IRR of 16.8% and 17.2%, and was substantially secured by real estate and, with respect to certain of our loans, substantially all assets of the borrowers and certain of their subsidiaries, including equipment, receivables, and licenses. YTM IRR is calculated using various inputs, including (i) cash and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below table summarizes our portfolio of loans held for investment by rate type as of June 30, 2025 and December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June 30, 2025</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0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166,213,408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(708,502)</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165,504,906</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250,204,740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(1,734,162)</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248,470,578</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416,418,148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(2,442,664)</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413,975,484</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0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149,771,871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(545,081)</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254,949,683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(1,699,427)</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402,477,046</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-1036320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-1019810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-1036320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-1019810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-1036320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-1019810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-1036320</wp:posOffset>
            </wp:positionV>
            <wp:extent cx="1289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-1019810</wp:posOffset>
            </wp:positionV>
            <wp:extent cx="1289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5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has one loan held at fair value with a principal balance of $5.5 million, which bears a fixed rate. On an aggregate basis, our total loan portfolio is comprised of 59.3% and 40.7% floating rate loans and fixed rate loans,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color w:val="auto"/>
        </w:rPr>
        <w:t>The below summarizes our portfolio of loans held for investment as of June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Initial Funding</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80" w:type="dxa"/>
            <w:vAlign w:val="bottom"/>
          </w:tcPr>
          <w:p>
            <w:pPr>
              <w:spacing w:after="0"/>
              <w:rPr>
                <w:sz w:val="11"/>
                <w:szCs w:val="11"/>
                <w:color w:val="auto"/>
              </w:rPr>
            </w:pPr>
          </w:p>
        </w:tc>
        <w:tc>
          <w:tcPr>
            <w:tcW w:w="60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Original Issue</w:t>
            </w:r>
          </w:p>
        </w:tc>
        <w:tc>
          <w:tcPr>
            <w:tcW w:w="100" w:type="dxa"/>
            <w:vAlign w:val="bottom"/>
          </w:tcPr>
          <w:p>
            <w:pPr>
              <w:spacing w:after="0"/>
              <w:rPr>
                <w:sz w:val="11"/>
                <w:szCs w:val="11"/>
                <w:color w:val="auto"/>
              </w:rPr>
            </w:pPr>
          </w:p>
        </w:tc>
        <w:tc>
          <w:tcPr>
            <w:tcW w:w="64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20" w:type="dxa"/>
            <w:vAlign w:val="bottom"/>
          </w:tcPr>
          <w:p>
            <w:pPr>
              <w:spacing w:after="0"/>
              <w:rPr>
                <w:sz w:val="11"/>
                <w:szCs w:val="1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Percent of Loans</w:t>
            </w:r>
          </w:p>
        </w:tc>
        <w:tc>
          <w:tcPr>
            <w:tcW w:w="100" w:type="dxa"/>
            <w:vAlign w:val="bottom"/>
          </w:tcPr>
          <w:p>
            <w:pPr>
              <w:spacing w:after="0"/>
              <w:rPr>
                <w:sz w:val="11"/>
                <w:szCs w:val="11"/>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Future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Periodic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YTM</w:t>
            </w: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held</w:t>
            </w: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Loan</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Location(s)</w:t>
            </w:r>
          </w:p>
        </w:tc>
        <w:tc>
          <w:tcPr>
            <w:tcW w:w="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Date (1)</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Date (2)</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Premium/(Discount)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for investment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Fundings</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Interest Rate (3)</w:t>
            </w: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Payment (4)</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10/27/2022</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10/30/2026</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19,186,876</w:t>
            </w:r>
          </w:p>
        </w:tc>
        <w:tc>
          <w:tcPr>
            <w:tcW w:w="12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(191,080)</w:t>
            </w:r>
          </w:p>
        </w:tc>
        <w:tc>
          <w:tcPr>
            <w:tcW w:w="12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18,995,796</w:t>
            </w:r>
          </w:p>
        </w:tc>
        <w:tc>
          <w:tcPr>
            <w:tcW w:w="120" w:type="dxa"/>
            <w:vAlign w:val="bottom"/>
          </w:tcPr>
          <w:p>
            <w:pPr>
              <w:spacing w:after="0"/>
              <w:rPr>
                <w:sz w:val="10"/>
                <w:szCs w:val="10"/>
                <w:color w:val="auto"/>
              </w:rPr>
            </w:pPr>
          </w:p>
        </w:tc>
        <w:tc>
          <w:tcPr>
            <w:tcW w:w="10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P+6.5% Cash (8)</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17.1%</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Michigan</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12/31/2021</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27,110,506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(19,285)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27,091,221</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P+3% Cash (13)</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17.3%</w:t>
            </w:r>
          </w:p>
        </w:tc>
        <w:tc>
          <w:tcPr>
            <w:tcW w:w="0" w:type="dxa"/>
            <w:vAlign w:val="bottom"/>
          </w:tcPr>
          <w:p>
            <w:pPr>
              <w:spacing w:after="0"/>
              <w:rPr>
                <w:sz w:val="1"/>
                <w:szCs w:val="1"/>
                <w:color w:val="auto"/>
              </w:rPr>
            </w:pPr>
          </w:p>
        </w:tc>
      </w:tr>
      <w:tr>
        <w:trPr>
          <w:trHeight w:val="108"/>
        </w:trPr>
        <w:tc>
          <w:tcPr>
            <w:tcW w:w="4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3</w:t>
            </w:r>
          </w:p>
        </w:tc>
        <w:tc>
          <w:tcPr>
            <w:tcW w:w="98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11/18/2021</w:t>
            </w:r>
          </w:p>
        </w:tc>
        <w:tc>
          <w:tcPr>
            <w:tcW w:w="94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1/29/2027</w:t>
            </w:r>
          </w:p>
        </w:tc>
        <w:tc>
          <w:tcPr>
            <w:tcW w:w="8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21,523,183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right"/>
              <w:ind w:right="80"/>
              <w:spacing w:after="0" w:line="108" w:lineRule="exact"/>
              <w:rPr>
                <w:sz w:val="20"/>
                <w:szCs w:val="20"/>
                <w:color w:val="auto"/>
              </w:rPr>
            </w:pPr>
            <w:r>
              <w:rPr>
                <w:rFonts w:ascii="Times New Roman" w:cs="Times New Roman" w:eastAsia="Times New Roman" w:hAnsi="Times New Roman"/>
                <w:sz w:val="11"/>
                <w:szCs w:val="11"/>
                <w:color w:val="auto"/>
              </w:rPr>
              <w:t>(398,115)</w:t>
            </w:r>
          </w:p>
        </w:tc>
        <w:tc>
          <w:tcPr>
            <w:tcW w:w="10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21,125,068</w:t>
            </w:r>
          </w:p>
        </w:tc>
        <w:tc>
          <w:tcPr>
            <w:tcW w:w="120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5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w w:val="98"/>
              </w:rPr>
              <w:t>P+10.375% Cash, 2.75% PIK (11)</w:t>
            </w:r>
          </w:p>
        </w:tc>
        <w:tc>
          <w:tcPr>
            <w:tcW w:w="6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23.5%</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(14)(15)(21)</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6/17/2026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6,626,809</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11.91% Cash</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17.0%</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Michigan</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8/20/2021</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1/30/2026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4,958,672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(1,537)</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4,957,135</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P+6.5% Cash (13)(20)</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17.2%</w:t>
            </w: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7</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 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6/30/2025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6/30/2028</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33,130,667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(537,735)</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32,592,932</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3,000,000</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P+5.75% Cash (9)</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15.6%</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West Virginia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8/30/2024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8,491,943</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10%</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15.0%</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Pennsylvania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3/31/2025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3/31/2028</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17,926,987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(108,037)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17,818,950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9% Cash (16)</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9.7%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11/8/2021</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10/31/2027</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14,807,687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(95,856)</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14,711,831</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P+7% Cash, 2% PIK (10)</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19.6%</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Florida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1/29/2027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9,557,500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(127,753)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9,429,747</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16.75% Cash</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26.7%</w:t>
            </w:r>
          </w:p>
        </w:tc>
        <w:tc>
          <w:tcPr>
            <w:tcW w:w="0" w:type="dxa"/>
            <w:vAlign w:val="bottom"/>
          </w:tcPr>
          <w:p>
            <w:pPr>
              <w:spacing w:after="0"/>
              <w:rPr>
                <w:sz w:val="1"/>
                <w:szCs w:val="1"/>
                <w:color w:val="auto"/>
              </w:rPr>
            </w:pPr>
          </w:p>
        </w:tc>
      </w:tr>
      <w:tr>
        <w:trPr>
          <w:trHeight w:val="121"/>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Ohio</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2/3/2022</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46,168,399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(227,963)</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45,940,436</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P+1.75% Cash, 5% PIK (9)(17)</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16.7%</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Florida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3/11/2022</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12/31/2025</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18,061,526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(10,511)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18,051,015</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11%</w:t>
            </w:r>
          </w:p>
        </w:tc>
        <w:tc>
          <w:tcPr>
            <w:tcW w:w="13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5% PIK</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16.5%</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Missouri</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5/9/2022</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11/28/2025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21,104,965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(34,683)</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21,070,282</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11%</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2% PIK (21)</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14.7%</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7/1/2022</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7/29/2026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6,325,417</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(19,981)</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6,305,436</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P+7% Cash, 2% PIK (9)</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23.3%</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Arizona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3/27/2023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3/31/2026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(9,307)</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1,490,693</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P+7.5% Cash (12)</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18.7%</w:t>
            </w: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Oregon</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9/27/2022</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9/27/2026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460,000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P+10.5% Cash (7)</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21.7%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New York</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7/1/2023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6/29/2036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23,580,998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23,580,998</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15%</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16.6%</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Nebraska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8/15/2023</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6/30/2027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17,400,000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P+6.5% Cash (18)</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10/11/2023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10/9/2026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1,897,729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1,897,729</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11.4% Cash, 1.5% PIK (21)</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14.7%</w:t>
            </w: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Missouri, 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12/19/2023</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12/31/2026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18,400,000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(95,257)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18,304,743</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P+7.75% Cash (13)</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18.7%</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California, Illinois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5/3/2023</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5/3/2026</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6,680,000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6,680,000</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5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P+8.75% Cash (10)</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18.3%</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Nevada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4/15/2024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8/15/2027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5,750,000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(21,717)</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5,728,283</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P+6.5% Cash (12)(21)</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16.1%</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Minnesota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5/20/2024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5/28/2027</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(3,294)</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1,040,706</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12%</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(14)(21)</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P&amp;I</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13.3%</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Arizona</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6/17/2024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5/29/2026</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10,000,000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11.91% Cash</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12.8%</w:t>
            </w:r>
          </w:p>
        </w:tc>
        <w:tc>
          <w:tcPr>
            <w:tcW w:w="0" w:type="dxa"/>
            <w:vAlign w:val="bottom"/>
          </w:tcPr>
          <w:p>
            <w:pPr>
              <w:spacing w:after="0"/>
              <w:rPr>
                <w:sz w:val="1"/>
                <w:szCs w:val="1"/>
                <w:color w:val="auto"/>
              </w:rPr>
            </w:pPr>
          </w:p>
        </w:tc>
      </w:tr>
      <w:tr>
        <w:trPr>
          <w:trHeight w:val="121"/>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California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8/23/2024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8/23/2027</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24,624,213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24,624,213</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12%</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3% PIK</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16.3%</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Illinois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10/28/2024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1/1/2027</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26,570,000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(94,816)</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26,475,184</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1,030,000</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P+6.25% Cash (10)</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15.4%</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11/26/2024</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11/24/2028</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20,120,309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(340,507)</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19,779,802</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10,000,000</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12%</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 PIK (19)</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15.2%</w:t>
            </w:r>
          </w:p>
        </w:tc>
        <w:tc>
          <w:tcPr>
            <w:tcW w:w="0" w:type="dxa"/>
            <w:vAlign w:val="bottom"/>
          </w:tcPr>
          <w:p>
            <w:pPr>
              <w:spacing w:after="0"/>
              <w:rPr>
                <w:sz w:val="1"/>
                <w:szCs w:val="1"/>
                <w:color w:val="auto"/>
              </w:rPr>
            </w:pPr>
          </w:p>
        </w:tc>
      </w:tr>
      <w:tr>
        <w:trPr>
          <w:trHeight w:val="122"/>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38a</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12/13/2024</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12/12/2025</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2,065,000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(52,726)</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2,012,274</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2,065,000</w:t>
            </w:r>
          </w:p>
        </w:tc>
        <w:tc>
          <w:tcPr>
            <w:tcW w:w="320" w:type="dxa"/>
            <w:vAlign w:val="bottom"/>
            <w:gridSpan w:val="2"/>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10%</w:t>
            </w:r>
          </w:p>
        </w:tc>
        <w:tc>
          <w:tcPr>
            <w:tcW w:w="13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(19)</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15.6%</w:t>
            </w:r>
          </w:p>
        </w:tc>
        <w:tc>
          <w:tcPr>
            <w:tcW w:w="0" w:type="dxa"/>
            <w:vAlign w:val="bottom"/>
          </w:tcPr>
          <w:p>
            <w:pPr>
              <w:spacing w:after="0"/>
              <w:rPr>
                <w:sz w:val="1"/>
                <w:szCs w:val="1"/>
                <w:color w:val="auto"/>
              </w:rPr>
            </w:pPr>
          </w:p>
        </w:tc>
      </w:tr>
      <w:tr>
        <w:trPr>
          <w:trHeight w:val="122"/>
        </w:trPr>
        <w:tc>
          <w:tcPr>
            <w:tcW w:w="4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38b</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1/15/2025</w:t>
            </w:r>
          </w:p>
        </w:tc>
        <w:tc>
          <w:tcPr>
            <w:tcW w:w="9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12/12/2025</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(23,994)</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816,006</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w w:val="89"/>
              </w:rPr>
              <w:t>10%</w:t>
            </w:r>
          </w:p>
        </w:tc>
        <w:tc>
          <w:tcPr>
            <w:tcW w:w="1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(19)</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15.6%</w:t>
            </w:r>
          </w:p>
        </w:tc>
        <w:tc>
          <w:tcPr>
            <w:tcW w:w="0" w:type="dxa"/>
            <w:vAlign w:val="bottom"/>
          </w:tcPr>
          <w:p>
            <w:pPr>
              <w:spacing w:after="0"/>
              <w:rPr>
                <w:sz w:val="1"/>
                <w:szCs w:val="1"/>
                <w:color w:val="auto"/>
              </w:rPr>
            </w:pPr>
          </w:p>
        </w:tc>
      </w:tr>
      <w:tr>
        <w:trPr>
          <w:trHeight w:val="121"/>
        </w:trPr>
        <w:tc>
          <w:tcPr>
            <w:tcW w:w="4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9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Various</w:t>
            </w:r>
          </w:p>
        </w:tc>
        <w:tc>
          <w:tcPr>
            <w:tcW w:w="9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9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7/28/2028</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233,333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(21,513)</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211,820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5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SOFR +10.25% Cash (6)</w:t>
            </w:r>
          </w:p>
        </w:tc>
        <w:tc>
          <w:tcPr>
            <w:tcW w:w="6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I/O</w:t>
            </w:r>
          </w:p>
        </w:tc>
        <w:tc>
          <w:tcPr>
            <w:tcW w:w="76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19.4%</w:t>
            </w:r>
          </w:p>
        </w:tc>
        <w:tc>
          <w:tcPr>
            <w:tcW w:w="0" w:type="dxa"/>
            <w:vAlign w:val="bottom"/>
          </w:tcPr>
          <w:p>
            <w:pPr>
              <w:spacing w:after="0"/>
              <w:rPr>
                <w:sz w:val="1"/>
                <w:szCs w:val="1"/>
                <w:color w:val="auto"/>
              </w:rPr>
            </w:pPr>
          </w:p>
        </w:tc>
      </w:tr>
      <w:tr>
        <w:trPr>
          <w:trHeight w:val="140"/>
        </w:trPr>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41</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Ohio</w:t>
            </w: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3/1/2025</w:t>
            </w:r>
          </w:p>
        </w:tc>
        <w:tc>
          <w:tcPr>
            <w:tcW w:w="9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3/13/2027</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271,429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(6,997)</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264,432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14.5% Cash</w:t>
            </w: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I/O</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16.1%</w:t>
            </w: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restart"/>
          </w:tcPr>
          <w:p>
            <w:pPr>
              <w:ind w:left="560"/>
              <w:spacing w:after="0"/>
              <w:rPr>
                <w:sz w:val="20"/>
                <w:szCs w:val="20"/>
                <w:color w:val="auto"/>
              </w:rPr>
            </w:pPr>
            <w:r>
              <w:rPr>
                <w:rFonts w:ascii="Times New Roman" w:cs="Times New Roman" w:eastAsia="Times New Roman" w:hAnsi="Times New Roman"/>
                <w:sz w:val="11"/>
                <w:szCs w:val="11"/>
                <w:color w:val="auto"/>
                <w:w w:val="98"/>
              </w:rPr>
              <w:t>Subtotal</w:t>
            </w: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416,418,148</w:t>
            </w:r>
          </w:p>
        </w:tc>
        <w:tc>
          <w:tcPr>
            <w:tcW w:w="120" w:type="dxa"/>
            <w:vAlign w:val="bottom"/>
            <w:vMerge w:val="continue"/>
          </w:tcPr>
          <w:p>
            <w:pPr>
              <w:spacing w:after="0"/>
              <w:rPr>
                <w:sz w:val="10"/>
                <w:szCs w:val="10"/>
                <w:color w:val="auto"/>
              </w:rPr>
            </w:pPr>
          </w:p>
        </w:tc>
        <w:tc>
          <w:tcPr>
            <w:tcW w:w="1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(2,442,664)</w:t>
            </w:r>
          </w:p>
        </w:tc>
        <w:tc>
          <w:tcPr>
            <w:tcW w:w="120" w:type="dxa"/>
            <w:vAlign w:val="bottom"/>
            <w:vMerge w:val="continue"/>
          </w:tcPr>
          <w:p>
            <w:pPr>
              <w:spacing w:after="0"/>
              <w:rPr>
                <w:sz w:val="10"/>
                <w:szCs w:val="10"/>
                <w:color w:val="auto"/>
              </w:rPr>
            </w:pPr>
          </w:p>
        </w:tc>
        <w:tc>
          <w:tcPr>
            <w:tcW w:w="1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413,975,484</w:t>
            </w:r>
          </w:p>
        </w:tc>
        <w:tc>
          <w:tcPr>
            <w:tcW w:w="120" w:type="dxa"/>
            <w:vAlign w:val="bottom"/>
            <w:vMerge w:val="continue"/>
          </w:tcPr>
          <w:p>
            <w:pPr>
              <w:spacing w:after="0"/>
              <w:rPr>
                <w:sz w:val="10"/>
                <w:szCs w:val="10"/>
                <w:color w:val="auto"/>
              </w:rPr>
            </w:pPr>
          </w:p>
        </w:tc>
        <w:tc>
          <w:tcPr>
            <w:tcW w:w="1080" w:type="dxa"/>
            <w:vAlign w:val="bottom"/>
            <w:gridSpan w:val="2"/>
          </w:tcPr>
          <w:p>
            <w:pPr>
              <w:jc w:val="right"/>
              <w:ind w:right="20"/>
              <w:spacing w:after="0" w:line="102" w:lineRule="exact"/>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16,595,000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16.8%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020" w:right="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numbering in the table above is maintained from origination for purposes of comparability and may not be sequential due to maturities, payoffs, or refinancings.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"SOFR"= Secured Overnight Financing Rate. "P" and "SOFR" represent floating rate loans that pay interest at the designed benchmark rate plus an applicable spread; "SOFR" loans are typically indexed to 30-day, 90-day or 180-day rates (1 month, 3 month, or 6 month, respectively); "PIK" = paid-in-kind interest.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of Loan #33 is an affiliate of the borrower of Loan #3, a related party. The aggregate principal balance of these loans is included on the consolidated balance sheet as loans held for investment - related party. See Note 8 of the consolidated financial statements for further details.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outstanding of Loan #3 is comprised of two tranches. The first tranche has a principal balance of approximately $16.9 million, bears a floating interest rate of prime plus 10.375% cash and 2.75% PIK and has a maturity date of January 29, 2027. The second tranche has a principal balance of approximately $4.4 million, bears an interest rate of 15.00% cash and 2.00% PIK, and a maturity date of May 29, 2026. The statistics presented reflect the weighted average of the rate terms under both tranches for the total aggregate loan principal, however only the maturity date for the first tranche has been presented in the table above.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is comprised of two tranches, a $14.5 million first lien judgment loan (the "Judgment Loan") and a $2.0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8 for additional information.</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8).</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June 30, 2025, applied interest rate is Prime Rate + 6.50%.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#37 and Loan #38 bear unused fees on the unfunded commitment of 0.75% and 1.50% per annum, respectively.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#6 was placed on non-accrual on May 9, 2025 and all accrued interest after April 1, 2025 was reversed. This loan remains on non-accrual as of June 30,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repaid in full with all accrued interest and fees during the subsequent period from June 30, 2025 to August 7, 2025.</w:t>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June 30, 2025 and December 31, 2024: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 (1)</w:t>
            </w:r>
          </w:p>
        </w:tc>
        <w:tc>
          <w:tcPr>
            <w:tcW w:w="100" w:type="dxa"/>
            <w:vAlign w:val="bottom"/>
          </w:tcPr>
          <w:p>
            <w:pPr>
              <w:spacing w:after="0"/>
              <w:rPr>
                <w:sz w:val="20"/>
                <w:szCs w:val="20"/>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416,418,148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(2,442,664)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413,975,484</w:t>
            </w: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(4,421,348)</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416,418,148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(2,442,664)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409,554,136</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 (1)</w:t>
            </w:r>
          </w:p>
        </w:tc>
        <w:tc>
          <w:tcPr>
            <w:tcW w:w="100" w:type="dxa"/>
            <w:vAlign w:val="bottom"/>
          </w:tcPr>
          <w:p>
            <w:pPr>
              <w:spacing w:after="0"/>
              <w:rPr>
                <w:sz w:val="20"/>
                <w:szCs w:val="20"/>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(2,244,508)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(4,346,869)</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844"/>
        </w:trPr>
        <w:tc>
          <w:tcPr>
            <w:tcW w:w="366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-2219325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-2202180</wp:posOffset>
            </wp:positionV>
            <wp:extent cx="774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-2219325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-2202180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-2219325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-2202180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-1070610</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-1053465</wp:posOffset>
            </wp:positionV>
            <wp:extent cx="774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-1070610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-1053465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-1070610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-1053465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left="760" w:right="160" w:hanging="752"/>
        <w:spacing w:after="0" w:line="482" w:lineRule="auto"/>
        <w:tabs>
          <w:tab w:leader="none" w:pos="3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June 30, 2025 and December 31, 2024, respectively. The following tables present changes in loans held for investment at carrying value as of and for the six months ended June 30, 2025 and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20,859,561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(12,279,060)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(12,279,060)</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(74,479)</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(74,479)</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4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416,418,148</w:t>
            </w:r>
          </w:p>
        </w:tc>
        <w:tc>
          <w:tcPr>
            <w:tcW w:w="3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(2,442,664)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(4,421,348)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409,554,136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(2,104,695)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43,372,158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(161,080)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43,211,078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(21,638,340)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(21,638,340)</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(107,900)</w:t>
            </w: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383,281,127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(1,418,460)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(5,080,547)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376,782,120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-2133600</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-2133600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-2133600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5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0"/>
                <w:szCs w:val="20"/>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8,877,375</w:t>
            </w:r>
          </w:p>
        </w:tc>
        <w:tc>
          <w:tcPr>
            <w:tcW w:w="1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9,184,073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18,918,686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17,914,076</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881,128</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836,333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1,530,440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1,367,626</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1,147,290</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(275,471)</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104,808</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100" w:type="dxa"/>
            <w:vAlign w:val="bottom"/>
          </w:tcPr>
          <w:p>
            <w:pPr>
              <w:spacing w:after="0"/>
              <w:rPr>
                <w:sz w:val="18"/>
                <w:szCs w:val="18"/>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10,850,941</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9,927,528</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20,578,598</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19,644,707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3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99"/>
              </w:rPr>
              <w:t>Basic weighted average shares of common stock outstanding (in shares)</w:t>
            </w:r>
          </w:p>
        </w:tc>
        <w:tc>
          <w:tcPr>
            <w:tcW w:w="1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21,002,787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19,378,445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20,931,025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18,826,182</w:t>
            </w:r>
          </w:p>
        </w:tc>
        <w:tc>
          <w:tcPr>
            <w:tcW w:w="100" w:type="dxa"/>
            <w:vAlign w:val="bottom"/>
          </w:tcPr>
          <w:p>
            <w:pPr>
              <w:spacing w:after="0"/>
              <w:rPr>
                <w:sz w:val="17"/>
                <w:szCs w:val="17"/>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Distributable Earnings per Weighted Average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r>
      <w:tr>
        <w:trPr>
          <w:trHeight w:val="198"/>
        </w:trPr>
        <w:tc>
          <w:tcPr>
            <w:tcW w:w="5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Diluted weighted average shares of common stock outstanding (in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19,890,376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21,376,645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19,265,434</w:t>
            </w:r>
          </w:p>
        </w:tc>
        <w:tc>
          <w:tcPr>
            <w:tcW w:w="100" w:type="dxa"/>
            <w:vAlign w:val="bottom"/>
          </w:tcPr>
          <w:p>
            <w:pPr>
              <w:spacing w:after="0"/>
              <w:rPr>
                <w:sz w:val="20"/>
                <w:szCs w:val="20"/>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Distributable Earnings per Weighted Average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-710565</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-694055</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-710565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-694055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-710565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-694055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-694055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per share of our common stock as of June 30, 2025 and December 31, 2024 was approximately $14.71 and $14.83,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we expect the demand for capital will continue to increase as operators seek to enter and build out new markets. In the short-term, we expect the principal amount of the loans we originate will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6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all of our cash was unrestricted and totaled approximately $35.6 million and $26.4 million, respectively. We believe that our cash on hand, capacity available under our Revolving Loan, the Unsecured Notes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unamortized debt issuance costs related to the Revolving Loan, including all amendments and amendments and restatements thereto, as applicable, of $203,382 and $305,075, respectively, are recorded in other receivables and assets, net on the consolidated balance sheets.</w:t>
      </w:r>
    </w:p>
    <w:p>
      <w:pPr>
        <w:spacing w:after="0" w:line="14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had net paydowns of $16.2 million against the Revolving Loan. As of June 30, 2025, the Company had $38.8 million available and $71.2 million outstanding under the Revolving Loan (Note 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5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offset against the outstanding face value of the Unsecured Notes within the line item titled Notes Payable, net on the consolidated balance sheets.</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 credit rating. As of June 30, 2025, the Company is in compliance with all financial covenants with respect to the Unsecured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and amended in March 2025, pursuant to which we may sell, from time to time, up to $100.0 million of our common stock.</w:t>
      </w:r>
    </w:p>
    <w:p>
      <w:pPr>
        <w:spacing w:after="0" w:line="14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sold an aggregate of 64,557 shares of the Company’s common stock under the Sales Agreement at a weighted average price of $16.01 per share, generating net proceeds of approximately $1.0 million.</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sold an aggregate of 1,306,803 shares of the Company’s common stock under the Sales Agreement at a weighted average price of $15.88 per share, generating net proceeds of approximately $20.2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w w:val="99"/>
              </w:rPr>
              <w:t>The following table sets forth changes in cash and cash equivalents for the six months ended June 30, 2025 and 2024, respectively:</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18,918,686</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17,914,076</w:t>
            </w:r>
          </w:p>
        </w:tc>
        <w:tc>
          <w:tcPr>
            <w:tcW w:w="0" w:type="dxa"/>
            <w:vAlign w:val="bottom"/>
          </w:tcPr>
          <w:p>
            <w:pPr>
              <w:spacing w:after="0"/>
              <w:rPr>
                <w:sz w:val="1"/>
                <w:szCs w:val="1"/>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 and</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(4,830,181)</w:t>
            </w:r>
          </w:p>
        </w:tc>
        <w:tc>
          <w:tcPr>
            <w:tcW w:w="56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(4,785,258)</w:t>
            </w:r>
          </w:p>
        </w:tc>
        <w:tc>
          <w:tcPr>
            <w:tcW w:w="0" w:type="dxa"/>
            <w:vAlign w:val="bottom"/>
          </w:tcPr>
          <w:p>
            <w:pPr>
              <w:spacing w:after="0"/>
              <w:rPr>
                <w:sz w:val="1"/>
                <w:szCs w:val="1"/>
                <w:color w:val="auto"/>
              </w:rPr>
            </w:pPr>
          </w:p>
        </w:tc>
      </w:tr>
      <w:tr>
        <w:trPr>
          <w:trHeight w:val="221"/>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14,088,505</w:t>
            </w:r>
          </w:p>
        </w:tc>
        <w:tc>
          <w:tcPr>
            <w:tcW w:w="2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13,128,818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1,952,043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(21,572,738)</w:t>
            </w: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(6,878,912)</w:t>
            </w:r>
          </w:p>
        </w:tc>
        <w:tc>
          <w:tcPr>
            <w:tcW w:w="5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7,616,763</w:t>
            </w:r>
          </w:p>
        </w:tc>
        <w:tc>
          <w:tcPr>
            <w:tcW w:w="0" w:type="dxa"/>
            <w:vAlign w:val="bottom"/>
          </w:tcPr>
          <w:p>
            <w:pPr>
              <w:spacing w:after="0"/>
              <w:rPr>
                <w:sz w:val="1"/>
                <w:szCs w:val="1"/>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9,161,636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(827,157)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and 2024, we reported “Net cash provided by operating activities” of approximately $14.1 million and $13.1 million, respectively. Net cash provided by operating activities increased approximately $1.0 million, primarily attributable to a decrease in PIK interest income of $2.7 million, an increase in related party receivables of $3.2 million, and an increase in stock based compensation expense of $0.2 million, an increase in net income over the comparable period of approximately $1.0 million, a decrease in the interest reserve for applied interest payments of approximately $2.5 million, a decrease in accounts payable and accrued expenses of approximately $1.3 million and a decrease in interest receivable of approximately $1.7 million, over the comparable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we reported “Net cash provided by/(used in) investing activities” of approximately $2.0 million and $(21.6) million, respectively.</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cash outflows primarily related to $10.3 million used for the origination and funding of loans held for investment, partially offset by $12.3 million of cash received from the principal repayment of loans held for investment.</w:t>
      </w:r>
    </w:p>
    <w:p>
      <w:pPr>
        <w:spacing w:after="0" w:line="12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cash outflows primarily related to $43.2 million used for the origination and funding of loans held for investment, partially offset by $21.6 million of cash received from the principal repayment of loans held for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we reported “Net cash (used in)/provided by financing activities” of approximately $(6.9) million and $7.6 million, respectively.</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cash inflows of approximately $1.0 million related to proceeds received from sales of our common stock through the ATM offering and $56.9 million related to draw downs on our Revolving Loan, which were offset by approximately $40.7 million in repayments on our Revolving Loan, $24.0 million in dividends paid, and approximately $82 thousand in offering costs associated with the registered at-the-market offering.</w:t>
      </w:r>
    </w:p>
    <w:p>
      <w:pPr>
        <w:spacing w:after="0" w:line="13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cash inflows of approximately $20.8 million related to proceeds received from sales of our common stock through the ATM offering and $44.0 million related to draw downs on our Revolving Loan, which were offset by approximately $33.3 million in repayments on our Revolving Loan, $23.1 million in dividends paid, approximately $113 thousand in debt issuance costs paid, and approximately $667 thousand in offering costs associated with the registered at-the-market offering.</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4" w:name="page45"/>
    <w:bookmarkEnd w:id="44"/>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7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six months ended June 30,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199A</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1380" w:type="dxa"/>
            <w:vAlign w:val="bottom"/>
            <w:gridSpan w:val="3"/>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4/15/2025</w:t>
            </w:r>
          </w:p>
        </w:tc>
        <w:tc>
          <w:tcPr>
            <w:tcW w:w="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6/30/2025</w:t>
            </w:r>
          </w:p>
        </w:tc>
        <w:tc>
          <w:tcPr>
            <w:tcW w:w="13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7/15/2025</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12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0.94</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0" w:type="dxa"/>
            <w:vAlign w:val="bottom"/>
          </w:tcPr>
          <w:p>
            <w:pPr>
              <w:spacing w:after="0"/>
              <w:rPr>
                <w:sz w:val="1"/>
                <w:szCs w:val="1"/>
                <w:color w:val="auto"/>
              </w:rPr>
            </w:pPr>
          </w:p>
        </w:tc>
      </w:tr>
      <w:tr>
        <w:trPr>
          <w:trHeight w:val="210"/>
        </w:trPr>
        <w:tc>
          <w:tcPr>
            <w:tcW w:w="2280" w:type="dxa"/>
            <w:vAlign w:val="bottom"/>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20" w:type="dxa"/>
            <w:vAlign w:val="bottom"/>
          </w:tcPr>
          <w:p>
            <w:pPr>
              <w:spacing w:after="0"/>
              <w:rPr>
                <w:sz w:val="18"/>
                <w:szCs w:val="18"/>
                <w:color w:val="auto"/>
              </w:rPr>
            </w:pPr>
          </w:p>
        </w:tc>
        <w:tc>
          <w:tcPr>
            <w:tcW w:w="1260" w:type="dxa"/>
            <w:vAlign w:val="bottom"/>
            <w:tcBorders>
              <w:top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4/15/2024</w:t>
            </w:r>
          </w:p>
        </w:tc>
        <w:tc>
          <w:tcPr>
            <w:tcW w:w="10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380" w:type="dxa"/>
            <w:vAlign w:val="bottom"/>
            <w:gridSpan w:val="3"/>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7/15/2024</w:t>
            </w:r>
          </w:p>
        </w:tc>
        <w:tc>
          <w:tcPr>
            <w:tcW w:w="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-1165225</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-1148080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-1310640</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-1165225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-1148080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-1310640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-1165225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-1148080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-1310640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5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4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five fiscal years and has made investments in similar loans that have similar characteristics, including interest rate, collateral coverage, guarantees, and prepayment/make whole provisions, which fall into the pools identified above.</w:t>
      </w:r>
    </w:p>
    <w:p>
      <w:pPr>
        <w:spacing w:after="0" w:line="14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6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4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Ratings</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20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260" w:hanging="1252"/>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60" w:hanging="1252"/>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ind w:left="1260" w:hanging="1252"/>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60" w:hanging="1252"/>
        <w:spacing w:after="0"/>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1252"/>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June 30, 2025 and December 31, 2024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CECL reserve though, other than the two loans placed on non-accrual status, the loans continued to perform as expected. For approximately 47% of the portfolio, the fair value of the underlying real estate collateral exceeded the amounts outstanding under the loans as of June 30, 2025. The remaining approximately 53%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14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carrying value, excluding the CECL Reserve, of the Company’s loans within each risk rating by year of origination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Risk Rating</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As of June 30, 2025(1)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624"/>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3"/>
                <w:szCs w:val="13"/>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6,768,989</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1,897,729</w:t>
            </w: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21,530,282</w:t>
            </w:r>
          </w:p>
        </w:tc>
        <w:tc>
          <w:tcPr>
            <w:tcW w:w="100" w:type="dxa"/>
            <w:vAlign w:val="bottom"/>
          </w:tcPr>
          <w:p>
            <w:pPr>
              <w:spacing w:after="0"/>
              <w:rPr>
                <w:sz w:val="13"/>
                <w:szCs w:val="13"/>
                <w:color w:val="auto"/>
              </w:rPr>
            </w:pPr>
          </w:p>
        </w:tc>
        <w:tc>
          <w:tcPr>
            <w:tcW w:w="400" w:type="dxa"/>
            <w:vAlign w:val="bottom"/>
            <w:tcBorders>
              <w:top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21,125,068</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51,322,068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33,620,758</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53,111,671</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67,456,434</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43,352,247</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197,541,110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9,694,179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28,271,745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45,940,436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41,803,052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125,709,412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17,818,950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16,626,809</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4,957,135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39,402,894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61,133,887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104,779,214</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69,354,163</w:t>
            </w:r>
          </w:p>
        </w:tc>
        <w:tc>
          <w:tcPr>
            <w:tcW w:w="500" w:type="dxa"/>
            <w:vAlign w:val="bottom"/>
            <w:gridSpan w:val="2"/>
            <w:shd w:val="clear" w:color="auto" w:fill="CFF0FC"/>
          </w:tcPr>
          <w:p>
            <w:pPr>
              <w:jc w:val="right"/>
              <w:ind w:right="265"/>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110,822,965</w:t>
            </w:r>
          </w:p>
        </w:tc>
        <w:tc>
          <w:tcPr>
            <w:tcW w:w="500" w:type="dxa"/>
            <w:vAlign w:val="bottom"/>
            <w:gridSpan w:val="2"/>
            <w:shd w:val="clear" w:color="auto" w:fill="CFF0FC"/>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67,885,255</w:t>
            </w:r>
          </w:p>
        </w:tc>
        <w:tc>
          <w:tcPr>
            <w:tcW w:w="480" w:type="dxa"/>
            <w:vAlign w:val="bottom"/>
            <w:gridSpan w:val="2"/>
            <w:shd w:val="clear" w:color="auto" w:fill="CFF0FC"/>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413,975,484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-25400</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-7620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-25400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-25400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Amounts are presented by loan origination year with subsequent advances shown in the original year of origination.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June 30, 2025, there were no significant changes in the application of our accounting policies or estimates from those presented in our annual report on Form 10-K. Refer to Note 2 to our consolidated financial statements for the six months ended June 30, 2025,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June 30, 2025, we had 16 floating-rate loans, representing approximately 59.3% of our loan total portfolio based on aggregate outstanding principal balances, subject to a Prime Rate floor. We estimate that a hypothetical 100 basis points increase in the Prime Rate would result in an increase in annual cash interest income, excluding the effects of PIK interest, of approximately $2.5 million and a 100 basis points decrease in the Prime Rate would result in a decrease in annual interest income of approximately $0.8 million. Our loans generally have a Prime Rate floor established at the prevailing Prime Rate at the time of origination. Refer to Note 3 for Prime Rate floor by loan.</w:t>
      </w:r>
    </w:p>
    <w:p>
      <w:pPr>
        <w:spacing w:after="0" w:line="1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our Revolving Loan is exposed to similar market risks. Changes in market rates may change the fair value of our Revolving Loan as our loan bears interest at the greater of (1) the Prime Rate plus the applicable margin and (2) 3.25%. As of June 30, 2025, we had an outstanding balance of $71.2 million under the Revolving Loan. Based on our outstanding balance as of June 30, 2025, we estimate that a hypothetical 100 basis points increase in the Prime Rate would result in an increase in annual cash interest expense, excluding unused fees, of approximately $0.7 million and a 100 basis points decrease in the Prime Rate would result in a decrease in annual interest expense of approximately $0.7 million.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Unsecured Notes bear a fixed interest rate of 9.00% per annum and are not impacted by changes in market rates.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4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are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72" w:lineRule="exact"/>
        <w:rPr>
          <w:sz w:val="20"/>
          <w:szCs w:val="20"/>
          <w:color w:val="auto"/>
        </w:rPr>
      </w:pPr>
    </w:p>
    <w:p>
      <w:pPr>
        <w:ind w:left="1140" w:hanging="369"/>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service our self-originated loans through our Manager’s servicer;</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floating-rate and fixed-rate loans to mitigate the interest rate risk associated with the financing of our portfolio;</w:t>
      </w:r>
    </w:p>
    <w:p>
      <w:pPr>
        <w:spacing w:after="0" w:line="117" w:lineRule="exact"/>
        <w:rPr>
          <w:rFonts w:ascii="Times New Roman" w:cs="Times New Roman" w:eastAsia="Times New Roman" w:hAnsi="Times New Roman"/>
          <w:sz w:val="18"/>
          <w:szCs w:val="18"/>
          <w:color w:val="auto"/>
        </w:rPr>
      </w:pPr>
    </w:p>
    <w:p>
      <w:pPr>
        <w:jc w:val="both"/>
        <w:ind w:left="1140" w:hanging="369"/>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67" w:lineRule="exact"/>
        <w:rPr>
          <w:rFonts w:ascii="Times New Roman" w:cs="Times New Roman" w:eastAsia="Times New Roman" w:hAnsi="Times New Roman"/>
          <w:sz w:val="18"/>
          <w:szCs w:val="18"/>
          <w:color w:val="auto"/>
        </w:rPr>
      </w:pPr>
    </w:p>
    <w:p>
      <w:pPr>
        <w:jc w:val="both"/>
        <w:ind w:left="1140" w:hanging="369"/>
        <w:spacing w:after="0" w:line="26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3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June 30, 2025 and June 30, 2024, our portfolio on average had real estate collateral coverage of 1.2x and 1.3x, respectively, and all of our loans are secured by equity pledges of the borrower and all asset liens.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 w:cs="Times New Roman" w:eastAsia="Times New Roman" w:hAnsi="Times New Roman"/>
          <w:sz w:val="18"/>
          <w:szCs w:val="18"/>
          <w:i w:val="1"/>
          <w:iCs w:val="1"/>
          <w:color w:val="auto"/>
        </w:rPr>
        <w:t>Risk Factors- Loans to relatively new and/or small companies and companies operating in the cannabis industry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involve significant risks” </w:t>
      </w:r>
      <w:r>
        <w:rPr>
          <w:rFonts w:ascii="Times New Roman" w:cs="Times New Roman" w:eastAsia="Times New Roman" w:hAnsi="Times New Roman"/>
          <w:sz w:val="18"/>
          <w:szCs w:val="18"/>
          <w:color w:val="auto"/>
        </w:rPr>
        <w:t>in our Annual Report on Form 10-K for the year ended December 31, 2024.</w:t>
      </w:r>
    </w:p>
    <w:p>
      <w:pPr>
        <w:spacing w:after="0" w:line="14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60"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Our loan portfolio as of June 30, 2025 and December 31, 2024, was concentrated with the top three borrowers representing approximately 25.6% and 24.0% of principal outstanding, respectively. As of and for the six months ended June 30, 2025 and 2024, the top three borrowers represented approximately 26.0% and 30.0% of the total interest income, respectively. The largest loan represented approximately 11.1% of principal outstanding as of both June 30, 2025 and December 31, 2024.</w:t>
      </w:r>
    </w:p>
    <w:p>
      <w:pPr>
        <w:spacing w:after="0" w:line="13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our borrowers have operations in the jurisdictions noted within the table below based on real estate collateral location or principal place of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80" w:type="dxa"/>
            <w:vAlign w:val="bottom"/>
          </w:tcPr>
          <w:p>
            <w:pPr>
              <w:spacing w:after="0"/>
              <w:rPr>
                <w:sz w:val="16"/>
                <w:szCs w:val="16"/>
                <w:color w:val="auto"/>
              </w:rPr>
            </w:pPr>
          </w:p>
        </w:tc>
      </w:tr>
      <w:tr>
        <w:trPr>
          <w:trHeight w:val="196"/>
        </w:trPr>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17"/>
                <w:szCs w:val="17"/>
                <w:color w:val="auto"/>
              </w:rPr>
            </w:pPr>
          </w:p>
        </w:tc>
        <w:tc>
          <w:tcPr>
            <w:tcW w:w="148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Our Loan</w:t>
            </w:r>
          </w:p>
        </w:tc>
      </w:tr>
      <w:tr>
        <w:trPr>
          <w:trHeight w:val="258"/>
        </w:trPr>
        <w:tc>
          <w:tcPr>
            <w:tcW w:w="16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320" w:type="dxa"/>
            <w:vAlign w:val="bottom"/>
          </w:tcPr>
          <w:p>
            <w:pPr>
              <w:spacing w:after="0"/>
              <w:rPr>
                <w:sz w:val="22"/>
                <w:szCs w:val="22"/>
                <w:color w:val="auto"/>
              </w:rPr>
            </w:pPr>
          </w:p>
        </w:tc>
        <w:tc>
          <w:tcPr>
            <w:tcW w:w="16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80" w:type="dxa"/>
            <w:vAlign w:val="bottom"/>
          </w:tcPr>
          <w:p>
            <w:pPr>
              <w:spacing w:after="0"/>
              <w:rPr>
                <w:sz w:val="22"/>
                <w:szCs w:val="22"/>
                <w:color w:val="auto"/>
              </w:rPr>
            </w:pPr>
          </w:p>
        </w:tc>
      </w:tr>
      <w:tr>
        <w:trPr>
          <w:trHeight w:val="210"/>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70,614,725</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55,958,079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63,487,510</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60,065,707</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44,968,576</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42,712,285</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37,113,862</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35,727,045</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36,073,052</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38,208,259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32,069,178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32,068,629</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25,163,960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28,023,340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25,008,065</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26,057,479</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23,580,998</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25,093,595</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22,188,184</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21,835,901</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Nebraska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5,750,001</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2,770,760</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2,756,870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1,124,460</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1,116,000</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612,874</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2,626,423</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416,418,148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-153670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-153670</wp:posOffset>
            </wp:positionV>
            <wp:extent cx="1111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-153670</wp:posOffset>
            </wp:positionV>
            <wp:extent cx="1117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0" w:lineRule="exact"/>
        <w:rPr>
          <w:sz w:val="20"/>
          <w:szCs w:val="20"/>
          <w:color w:val="auto"/>
        </w:rPr>
      </w:pPr>
    </w:p>
    <w:p>
      <w:pPr>
        <w:ind w:right="20" w:firstLine="8"/>
        <w:spacing w:after="0" w:line="223" w:lineRule="auto"/>
        <w:tabs>
          <w:tab w:leader="none" w:pos="21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principal balance of the loans not secured by real estate collateral are included in the jurisdiction representing the principal place of business. Amounts presented include loans held for investment and loans held for sale.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Principal Executive Officer and Principal Financial Officer, evaluated the effectiveness of the design and operation of our disclosure controls and procedures as of June 30, 2025. Based on that evaluation, our Principal Executive Officer and Principal Financial Officer have concluded that our disclosure controls and procedures were effective at the reasonable assurance level as of June 30, 2025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46" w:lineRule="exact"/>
        <w:rPr>
          <w:sz w:val="20"/>
          <w:szCs w:val="20"/>
          <w:color w:val="auto"/>
        </w:rPr>
      </w:pPr>
    </w:p>
    <w:p>
      <w:pPr>
        <w:jc w:val="both"/>
        <w:ind w:firstLine="749"/>
        <w:spacing w:after="0" w:line="226" w:lineRule="exact"/>
        <w:rPr>
          <w:sz w:val="20"/>
          <w:szCs w:val="20"/>
          <w:color w:val="auto"/>
        </w:rPr>
      </w:pPr>
      <w:r>
        <w:rPr>
          <w:rFonts w:ascii="Times New Roman" w:cs="Times New Roman" w:eastAsia="Times New Roman" w:hAnsi="Times New Roman"/>
          <w:sz w:val="18"/>
          <w:szCs w:val="18"/>
          <w:color w:val="auto"/>
        </w:rPr>
        <w:t>During the three months ended June 30, 2025, the Company engaged a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 to support its ongoing CECL reporting including modeling, data aggregation, and documentation. While the Company has substantially completed the implementation activities with assistance from the vendor, as of the quarter ended June 30, 2025, it continues to finalize execution and documentation of its augmented internal control procedures. The transition from the Company’s previous third-party provider is being overseen by the Chief Financial Officer, which concluded that the change is not expected to materially alter the ultimate credit loss estimate or design of internal controls. The Company remains responsible for validating assumptions, methodologies, forecasts, and controls, and intends to maintain documentation consistent with regulatory and other requirements, as applicable.</w:t>
      </w:r>
    </w:p>
    <w:p>
      <w:pPr>
        <w:spacing w:after="0" w:line="17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defined in Rules 13a-15(f) and 15d-15(f) under the Exchange Act) during the quarter ended June 30, 2025 that have materially affected, or that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2024,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2024.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 (Note 16). The First Amendment to the Sixth Amended and Restated Loan and Security Agreement is filed as Exhibit 10.7 to this Quarterly Report on Form 10-Q.</w:t>
      </w:r>
    </w:p>
    <w:p>
      <w:pPr>
        <w:spacing w:after="0" w:line="143"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None of the Company’s officers or directors have adopted, modified or terminated trading plans under either a Rule 10b5-1 or non-Rule 10b5-1 trading arrangement (as such terms are defined in Item 408 of Regulation S-K of the Securities Act of 1933) for the six months ended June 30,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First Amendment to the Sixth Amended and Restated Loan and Security Agreement, dated as of August 5, 2025, among Chicago Atlantic</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Lincoln, LLC, Chicago Atlantic Real Estate Finance, Inc., the other Persons from time to time party thereto, as borrowers; and the financial</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institutions party thereto, as Lenders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4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66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4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2660" w:type="dxa"/>
            <w:vAlign w:val="bottom"/>
            <w:tcBorders>
              <w:bottom w:val="single" w:sz="8" w:color="CCEEFF"/>
            </w:tcBorders>
            <w:gridSpan w:val="3"/>
            <w:shd w:val="clear" w:color="auto" w:fill="CCEEFF"/>
          </w:tcPr>
          <w:p>
            <w:pPr>
              <w:spacing w:after="0"/>
              <w:rPr>
                <w:sz w:val="17"/>
                <w:szCs w:val="17"/>
                <w:color w:val="auto"/>
              </w:rPr>
            </w:pP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7"/>
                <w:szCs w:val="17"/>
                <w:color w:val="auto"/>
              </w:rPr>
            </w:pPr>
          </w:p>
        </w:tc>
        <w:tc>
          <w:tcPr>
            <w:tcW w:w="101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Filed herewith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w:t>
            </w:r>
          </w:p>
        </w:tc>
      </w:tr>
      <w:tr>
        <w:trPr>
          <w:trHeight w:val="238"/>
        </w:trPr>
        <w:tc>
          <w:tcPr>
            <w:tcW w:w="3580" w:type="dxa"/>
            <w:vAlign w:val="bottom"/>
          </w:tcPr>
          <w:p>
            <w:pPr>
              <w:spacing w:after="0"/>
              <w:rPr>
                <w:sz w:val="20"/>
                <w:szCs w:val="20"/>
                <w:color w:val="auto"/>
              </w:rPr>
            </w:pPr>
          </w:p>
        </w:tc>
        <w:tc>
          <w:tcPr>
            <w:tcW w:w="362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INC.</w:t>
            </w:r>
          </w:p>
        </w:tc>
        <w:tc>
          <w:tcPr>
            <w:tcW w:w="40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362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Sack</w:t>
            </w:r>
          </w:p>
        </w:tc>
      </w:tr>
      <w:tr>
        <w:trPr>
          <w:trHeight w:val="191"/>
        </w:trPr>
        <w:tc>
          <w:tcPr>
            <w:tcW w:w="3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Sack</w:t>
            </w:r>
          </w:p>
        </w:tc>
      </w:tr>
      <w:tr>
        <w:trPr>
          <w:trHeight w:val="216"/>
        </w:trPr>
        <w:tc>
          <w:tcPr>
            <w:tcW w:w="3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34"/>
        </w:trPr>
        <w:tc>
          <w:tcPr>
            <w:tcW w:w="3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362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Phillip Silverman</w:t>
            </w:r>
          </w:p>
        </w:tc>
      </w:tr>
      <w:tr>
        <w:trPr>
          <w:trHeight w:val="191"/>
        </w:trPr>
        <w:tc>
          <w:tcPr>
            <w:tcW w:w="3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Phillip Silverman</w:t>
            </w:r>
          </w:p>
        </w:tc>
      </w:tr>
      <w:tr>
        <w:trPr>
          <w:trHeight w:val="216"/>
        </w:trPr>
        <w:tc>
          <w:tcPr>
            <w:tcW w:w="3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580" w:type="dxa"/>
            <w:vAlign w:val="bottom"/>
          </w:tcPr>
          <w:p>
            <w:pPr>
              <w:spacing w:after="0"/>
              <w:rPr>
                <w:sz w:val="24"/>
                <w:szCs w:val="24"/>
                <w:color w:val="auto"/>
              </w:rPr>
            </w:pPr>
          </w:p>
        </w:tc>
        <w:tc>
          <w:tcPr>
            <w:tcW w:w="36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51</w:t>
            </w:r>
          </w:p>
        </w:tc>
        <w:tc>
          <w:tcPr>
            <w:tcW w:w="404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SIXTH AMENDED AND RESTATED LOAN AND SECURITY AGREEMENT</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FIRST AMENDMENT TO SIXTH AMENDED AND RESTATED LOAN AND SECURITY AGREEMENT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dated as of August 5, 2025 among </w:t>
      </w:r>
      <w:r>
        <w:rPr>
          <w:rFonts w:ascii="Times New Roman" w:cs="Times New Roman" w:eastAsia="Times New Roman" w:hAnsi="Times New Roman"/>
          <w:sz w:val="20"/>
          <w:szCs w:val="20"/>
          <w:b w:val="1"/>
          <w:bCs w:val="1"/>
          <w:color w:val="auto"/>
        </w:rPr>
        <w:t>CHICAGO ATLANTIC LINCOLN,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financial institutions party to the Loan Agreement as Lenders, </w:t>
      </w:r>
      <w:r>
        <w:rPr>
          <w:rFonts w:ascii="Times New Roman" w:cs="Times New Roman" w:eastAsia="Times New Roman" w:hAnsi="Times New Roman"/>
          <w:sz w:val="20"/>
          <w:szCs w:val="20"/>
          <w:b w:val="1"/>
          <w:bCs w:val="1"/>
          <w:color w:val="auto"/>
        </w:rPr>
        <w:t>[***] BANK</w:t>
      </w:r>
      <w:r>
        <w:rPr>
          <w:rFonts w:ascii="Times New Roman" w:cs="Times New Roman" w:eastAsia="Times New Roman" w:hAnsi="Times New Roman"/>
          <w:sz w:val="20"/>
          <w:szCs w:val="20"/>
          <w:color w:val="auto"/>
        </w:rPr>
        <w:t>, an [***] state banking association, as administrative agent for the Lenders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and as Issuing Bank, and </w:t>
      </w:r>
      <w:r>
        <w:rPr>
          <w:rFonts w:ascii="Times New Roman" w:cs="Times New Roman" w:eastAsia="Times New Roman" w:hAnsi="Times New Roman"/>
          <w:sz w:val="20"/>
          <w:szCs w:val="20"/>
          <w:b w:val="1"/>
          <w:bCs w:val="1"/>
          <w:color w:val="auto"/>
        </w:rPr>
        <w:t>[***] BANK</w:t>
      </w:r>
      <w:r>
        <w:rPr>
          <w:rFonts w:ascii="Times New Roman" w:cs="Times New Roman" w:eastAsia="Times New Roman" w:hAnsi="Times New Roman"/>
          <w:sz w:val="20"/>
          <w:szCs w:val="20"/>
          <w:color w:val="auto"/>
        </w:rPr>
        <w:t>, as Observation Agent.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the Lenders party thereto, Agent and the other Persons party thereto entered into that Sixth Amended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Restated Loan and Security Agreement dated as of September 30, 2024 (as amended by the terms hereof and as it may be further amended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and</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have agreed to amend the Loan Agreement as set forth herein.</w:t>
      </w:r>
    </w:p>
    <w:p>
      <w:pPr>
        <w:spacing w:after="0" w:line="22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mutual covenants hereinafter contained in the Loan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agree as follows:</w:t>
      </w:r>
    </w:p>
    <w:p>
      <w:pPr>
        <w:spacing w:after="0" w:line="165" w:lineRule="exact"/>
        <w:rPr>
          <w:sz w:val="20"/>
          <w:szCs w:val="20"/>
          <w:color w:val="auto"/>
        </w:rPr>
      </w:pPr>
    </w:p>
    <w:p>
      <w:pPr>
        <w:ind w:firstLine="757"/>
        <w:spacing w:after="0" w:line="273"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Recitals; Definitions</w:t>
      </w:r>
      <w:r>
        <w:rPr>
          <w:rFonts w:ascii="Times New Roman" w:cs="Times New Roman" w:eastAsia="Times New Roman" w:hAnsi="Times New Roman"/>
          <w:sz w:val="20"/>
          <w:szCs w:val="20"/>
          <w:color w:val="auto"/>
        </w:rPr>
        <w:t>. The foregoing recitals, including all terms defined therein, are incorporated herein and made a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Capitalized terms not otherwise defined herein shall have the meanings ascribed to them in the Loan Agreement.</w:t>
      </w:r>
    </w:p>
    <w:p>
      <w:pPr>
        <w:spacing w:after="0" w:line="151"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Revolver Termination Date</w:t>
      </w:r>
      <w:r>
        <w:rPr>
          <w:rFonts w:ascii="Times New Roman" w:cs="Times New Roman" w:eastAsia="Times New Roman" w:hAnsi="Times New Roman"/>
          <w:sz w:val="20"/>
          <w:szCs w:val="20"/>
          <w:color w:val="auto"/>
        </w:rPr>
        <w:t>. The “Revolver Termination Date” defined in Section 1.1 of the Loan Agreement is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to be June 30, 2028.</w:t>
      </w:r>
    </w:p>
    <w:p>
      <w:pPr>
        <w:spacing w:after="0" w:line="15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Amendment/Extension Fee</w:t>
      </w:r>
      <w:r>
        <w:rPr>
          <w:rFonts w:ascii="Times New Roman" w:cs="Times New Roman" w:eastAsia="Times New Roman" w:hAnsi="Times New Roman"/>
          <w:sz w:val="20"/>
          <w:szCs w:val="20"/>
          <w:color w:val="auto"/>
        </w:rPr>
        <w:t>. In order to induce Agent to enter into this Amendment, Borrower agrees to pay to Agent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 of Lenders on the date hereof an amendment/extension fee in the amount of $110,000. Such fee shall be deemed fully earned and non-refundable upon the payment thereof.</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Precedent</w:t>
      </w:r>
      <w:r>
        <w:rPr>
          <w:rFonts w:ascii="Times New Roman" w:cs="Times New Roman" w:eastAsia="Times New Roman" w:hAnsi="Times New Roman"/>
          <w:sz w:val="20"/>
          <w:szCs w:val="20"/>
          <w:color w:val="auto"/>
        </w:rPr>
        <w:t>.  This Amendment shall become effective upon satisfaction of each of the following conditions</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precedent:</w:t>
      </w:r>
    </w:p>
    <w:p>
      <w:pPr>
        <w:spacing w:after="0" w:line="193"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copy of this Amendment, duly executed by Borrower, each of the Lenders and</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w:t>
      </w:r>
    </w:p>
    <w:p>
      <w:pPr>
        <w:spacing w:after="0" w:line="193"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Guarantor shall have executed and delivered to Agent a Reaffirmation of Guaranty in form and substance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acceptable to Agent;</w:t>
      </w:r>
    </w:p>
    <w:p>
      <w:pPr>
        <w:spacing w:after="0" w:line="194" w:lineRule="exact"/>
        <w:rPr>
          <w:sz w:val="20"/>
          <w:szCs w:val="20"/>
          <w:color w:val="auto"/>
        </w:rPr>
      </w:pPr>
    </w:p>
    <w:p>
      <w:pPr>
        <w:jc w:val="both"/>
        <w:ind w:left="760" w:firstLine="1497"/>
        <w:spacing w:after="0" w:line="254" w:lineRule="auto"/>
        <w:rPr>
          <w:sz w:val="20"/>
          <w:szCs w:val="20"/>
          <w:color w:val="auto"/>
        </w:rPr>
      </w:pPr>
      <w:r>
        <w:rPr>
          <w:rFonts w:ascii="Times New Roman" w:cs="Times New Roman" w:eastAsia="Times New Roman" w:hAnsi="Times New Roman"/>
          <w:sz w:val="20"/>
          <w:szCs w:val="20"/>
          <w:color w:val="auto"/>
        </w:rPr>
        <w:t>(iii)Agent shall have received an Officer’s Certificate from Borrower and Guarantor, in form and substance reasonably acceptable to Agent, which shall include certificates of formation, operating agreements/bylaws, resolutions, and good standing certificates; and</w:t>
      </w:r>
    </w:p>
    <w:p>
      <w:pPr>
        <w:spacing w:after="0" w:line="1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(iv)Borrower shall have paid to Agent all fees, costs and expenses incurred by Agent in connection with this</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20"/>
          <w:szCs w:val="20"/>
          <w:color w:val="auto"/>
        </w:rPr>
        <w:t>The date on which all of such conditions precedent are so satisfied is hereinafter referred to as the “</w:t>
      </w:r>
      <w:r>
        <w:rPr>
          <w:rFonts w:ascii="Times New Roman" w:cs="Times New Roman" w:eastAsia="Times New Roman" w:hAnsi="Times New Roman"/>
          <w:sz w:val="20"/>
          <w:szCs w:val="20"/>
          <w:b w:val="1"/>
          <w:bCs w:val="1"/>
          <w:color w:val="auto"/>
        </w:rPr>
        <w:t>First Amendment Effective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757"/>
        <w:spacing w:after="0" w:line="245"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Reaffirmation of Representations and Warranties; Ratification</w:t>
      </w:r>
      <w:r>
        <w:rPr>
          <w:rFonts w:ascii="Times New Roman" w:cs="Times New Roman" w:eastAsia="Times New Roman" w:hAnsi="Times New Roman"/>
          <w:sz w:val="20"/>
          <w:szCs w:val="20"/>
          <w:color w:val="auto"/>
        </w:rPr>
        <w:t>. Borrower hereby reaffirms each of the warranties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contained in the Loan Agreement and the Loan Documents as if each such representation and warranty were made on the date hereof. Further, Borrower represents and warrants to Agent that as of the date hereof, there are no existing and continuing Defaults or Events of Default. Except as specifically amended above, the Loan Agreement and the other Loan Documents shall remain in full force and effect. Notwithstanding anything contained herein, the terms of this Amendment are not intended to and do not effect a novation of the Loan Agreement or any other Loan Document. Borrower hereby ratifies and reaffirms each of the terms and conditions of the Loan Documents and all of its obligations thereunder.</w:t>
      </w:r>
    </w:p>
    <w:p>
      <w:pPr>
        <w:spacing w:after="0" w:line="179"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Continuing Effect</w:t>
      </w:r>
      <w:r>
        <w:rPr>
          <w:rFonts w:ascii="Times New Roman" w:cs="Times New Roman" w:eastAsia="Times New Roman" w:hAnsi="Times New Roman"/>
          <w:sz w:val="20"/>
          <w:szCs w:val="20"/>
          <w:color w:val="auto"/>
        </w:rPr>
        <w:t>. Except as otherwise specifically set out herein, the provisions of the Loan Agreement shall remain in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force and effect.</w:t>
      </w:r>
    </w:p>
    <w:p>
      <w:pPr>
        <w:spacing w:after="0" w:line="15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and all the obligations arising hereunder shall be governed by, and construed and enforced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laws of the State of New York applicable to contracts made and performed in such state, without regard to the principles thereof regarding conflicts of laws.</w:t>
      </w:r>
    </w:p>
    <w:p>
      <w:pPr>
        <w:spacing w:after="0" w:line="168"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separate original counterparts (or telecopied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original execution copy to follow) and by the different parties on separate counterparts, each of which shall be deemed to be an original, but all of such counterparts shall together constitute one agreement. Delivery of an executed counterpart of a signature page to this Amendment by facsimile, e-mail or electronic transmission shall be effective as delivery of a manually executed counterpart of this Amendment.</w:t>
      </w:r>
    </w:p>
    <w:p>
      <w:pPr>
        <w:spacing w:after="0" w:line="180"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Waiver</w:t>
      </w:r>
      <w:r>
        <w:rPr>
          <w:rFonts w:ascii="Times New Roman" w:cs="Times New Roman" w:eastAsia="Times New Roman" w:hAnsi="Times New Roman"/>
          <w:sz w:val="20"/>
          <w:szCs w:val="20"/>
          <w:color w:val="auto"/>
        </w:rPr>
        <w:t>. The execution, delivery and effectiveness of this Amendment shall not operate as a waiver of any right, power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remedy of Lenders or Agent under the Loan Agreement or any of the other Loan Documents. Agent expressly reserves every right, power and remedy specifically provided by the Loan Agreement, the other Loan Documents and any related documents, now or hereafter existing at law, in equity or by statute and each and every right, power and remedy, whether specifically given by Borrower or otherwise existing, which may be exercised from time to time and as often and in such order as may be deemed expedient by Agent and the exercise or beginning of the exercise of any such right, power or remedy shall not be construed as a waiver of the right to exercise at the same time or thereafter any other right, power or remedy. Agent and Borrower may have had discussions regarding the Loan and Agent anticipates that additional discussions may take place in the future. During the course of such discussions, Agent and Borrower may touch upon and potentially reach a preliminary understanding on one or more issues prior to concluding negotiations. Notwithstanding this fact and absent an express written waiver by Agent, Agent will not be bound by an agreement on any individual issue unless and until an agreement is reached on all issues and such agreement is reduced to writing and signed by Agent and Borrower. As of the date of this letter, there are no offers outstanding from Agent to Borrower nor are there any oral agreements among Agent and Borrower concerning the Obligations. Rather, all agreements concerning the Obligations are expressed only in the existing Loan Documents, and the respective duties and obligations of the Borrower and Agent shall be only as set forth in the Loan Documents.</w:t>
      </w:r>
    </w:p>
    <w:p>
      <w:pPr>
        <w:spacing w:after="0" w:line="182"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References</w:t>
      </w:r>
      <w:r>
        <w:rPr>
          <w:rFonts w:ascii="Times New Roman" w:cs="Times New Roman" w:eastAsia="Times New Roman" w:hAnsi="Times New Roman"/>
          <w:sz w:val="20"/>
          <w:szCs w:val="20"/>
          <w:color w:val="auto"/>
        </w:rPr>
        <w:t>. Upon the effectiveness of this Amendment each reference in (a) the Loan Agreement 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“hereof,” or words of similar import and (b) any other Loan Document to “the Agreement” or “the Loan Agreement” shall, in each case and except as otherwise specifically stated therein, mean and be a reference to the Loan Agreement as amended hereby.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jc w:val="both"/>
        <w:ind w:firstLine="757"/>
        <w:spacing w:after="0" w:line="243"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Releases; Indemnities</w:t>
      </w:r>
      <w:r>
        <w:rPr>
          <w:rFonts w:ascii="Times New Roman" w:cs="Times New Roman" w:eastAsia="Times New Roman" w:hAnsi="Times New Roman"/>
          <w:sz w:val="20"/>
          <w:szCs w:val="20"/>
          <w:color w:val="auto"/>
        </w:rPr>
        <w:t>. Borrower hereby agrees that its obligation to indemnify and hold the Indemnitees harmless as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Loan Agreement shall include an obligation to indemnify and hold the Indemnitees harmless with respect to any and all liabilities, obligations, losses, penalties, actions, judgments, suits, costs, expenses or disbursements of any kind or nature whatsoever incurred by the Indemnitees, or any of them, whether direct, indirect or consequential, as a result of or arising from or relating to any proceeding by, or on behalf of, any Person, including, without limitation, officers, directors, agents, trustees, creditors, partners or shareholders of Borrower, whether threatened or initiated, asserting any claim for legal or equitable remedy under any statute, regulation or common law principle arising from or in connection with the negotiation, preparation, execution, delivery, performance, administration and enforcement of this Amendment or any other document executed in connection herewith, other than arising out of such Indemnitees’ gross negligence or willful misconduct, as determined by a final non-appealable judgment of a court of competent jurisdiction. The foregoing indemnity shall survive the payment in full of the Obligations and the termination of this Amendment, the Loan Agreement and the other Loan Documents.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First Amendment to Sixth Amended and Restated Loan and Security Agreement)</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this Agreement has been executed and delivered as of the date set forth above.</w:t>
      </w:r>
    </w:p>
    <w:p>
      <w:pPr>
        <w:spacing w:after="0" w:line="2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u w:val="single" w:color="auto"/>
          <w:color w:val="auto"/>
        </w:rPr>
        <w:t>AGENT, LENDER AND ISSUING BANK</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 BANK</w:t>
      </w:r>
    </w:p>
    <w:p>
      <w:pPr>
        <w:spacing w:after="0" w:line="3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Name: [***]</w:t>
      </w:r>
    </w:p>
    <w:p>
      <w:pPr>
        <w:ind w:left="59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u w:val="single" w:color="auto"/>
          <w:color w:val="auto"/>
        </w:rPr>
        <w:t>OBSERVATION AGENT AND 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 BANK</w:t>
      </w:r>
    </w:p>
    <w:p>
      <w:pPr>
        <w:spacing w:after="0" w:line="3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Name: [***]</w:t>
      </w:r>
    </w:p>
    <w:p>
      <w:pPr>
        <w:ind w:left="59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57" w:name="page58"/>
    <w:bookmarkEnd w:id="57"/>
    <w:p>
      <w:pPr>
        <w:ind w:left="594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3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-10795</wp:posOffset>
            </wp:positionV>
            <wp:extent cx="3206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Name: [***]</w:t>
      </w:r>
    </w:p>
    <w:p>
      <w:pPr>
        <w:ind w:left="5940"/>
        <w:spacing w:after="0"/>
        <w:tabs>
          <w:tab w:leader="none" w:pos="6600" w:val="left"/>
        </w:tabs>
        <w:rPr>
          <w:sz w:val="20"/>
          <w:szCs w:val="20"/>
          <w:color w:val="auto"/>
        </w:rPr>
      </w:pPr>
      <w:r>
        <w:rPr>
          <w:rFonts w:ascii="Times New Roman" w:cs="Times New Roman" w:eastAsia="Times New Roman" w:hAnsi="Times New Roman"/>
          <w:sz w:val="19"/>
          <w:szCs w:val="19"/>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58" w:name="page59"/>
    <w:bookmarkEnd w:id="58"/>
    <w:p>
      <w:pPr>
        <w:jc w:val="right"/>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First Amendment to Sixth Amended and Restated Loan and Security Agreement)</w:t>
      </w:r>
    </w:p>
    <w:p>
      <w:pPr>
        <w:spacing w:after="0" w:line="200" w:lineRule="exact"/>
        <w:rPr>
          <w:sz w:val="20"/>
          <w:szCs w:val="20"/>
          <w:color w:val="auto"/>
        </w:rPr>
      </w:pPr>
    </w:p>
    <w:p>
      <w:pPr>
        <w:spacing w:after="0" w:line="20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 BANK, a [***] Bank</w:t>
      </w:r>
    </w:p>
    <w:p>
      <w:pPr>
        <w:spacing w:after="0" w:line="3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Name: [***]</w:t>
      </w:r>
    </w:p>
    <w:p>
      <w:pPr>
        <w:ind w:left="5940"/>
        <w:spacing w:after="0"/>
        <w:tabs>
          <w:tab w:leader="none" w:pos="6600" w:val="left"/>
        </w:tabs>
        <w:rPr>
          <w:sz w:val="20"/>
          <w:szCs w:val="20"/>
          <w:color w:val="auto"/>
        </w:rPr>
      </w:pPr>
      <w:r>
        <w:rPr>
          <w:rFonts w:ascii="Times New Roman" w:cs="Times New Roman" w:eastAsia="Times New Roman" w:hAnsi="Times New Roman"/>
          <w:sz w:val="20"/>
          <w:szCs w:val="20"/>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59" w:name="page60"/>
    <w:bookmarkEnd w:id="59"/>
    <w:p>
      <w:pPr>
        <w:jc w:val="right"/>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First Amendment to Sixth Amended and Restated Loan and Security Agreement)</w:t>
      </w:r>
    </w:p>
    <w:p>
      <w:pPr>
        <w:spacing w:after="0" w:line="200" w:lineRule="exact"/>
        <w:rPr>
          <w:sz w:val="20"/>
          <w:szCs w:val="20"/>
          <w:color w:val="auto"/>
        </w:rPr>
      </w:pPr>
    </w:p>
    <w:p>
      <w:pPr>
        <w:spacing w:after="0" w:line="20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 BANK</w:t>
      </w:r>
    </w:p>
    <w:p>
      <w:pPr>
        <w:spacing w:after="0" w:line="3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-10795</wp:posOffset>
            </wp:positionV>
            <wp:extent cx="32067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Name: [***]</w:t>
      </w:r>
    </w:p>
    <w:p>
      <w:pPr>
        <w:ind w:left="5940"/>
        <w:spacing w:after="0"/>
        <w:tabs>
          <w:tab w:leader="none" w:pos="6600" w:val="left"/>
        </w:tabs>
        <w:rPr>
          <w:sz w:val="20"/>
          <w:szCs w:val="20"/>
          <w:color w:val="auto"/>
        </w:rPr>
      </w:pPr>
      <w:r>
        <w:rPr>
          <w:rFonts w:ascii="Times New Roman" w:cs="Times New Roman" w:eastAsia="Times New Roman" w:hAnsi="Times New Roman"/>
          <w:sz w:val="20"/>
          <w:szCs w:val="20"/>
          <w:color w:val="auto"/>
        </w:rPr>
        <w:t>Title:</w:t>
        <w:tab/>
        <w:t>CFO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60" w:name="page61"/>
    <w:bookmarkEnd w:id="60"/>
    <w:p>
      <w:pPr>
        <w:jc w:val="right"/>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First Amendment to Sixth Amended and Restated Loan and Security Agreement)</w:t>
      </w:r>
    </w:p>
    <w:p>
      <w:pPr>
        <w:spacing w:after="0" w:line="200" w:lineRule="exact"/>
        <w:rPr>
          <w:sz w:val="20"/>
          <w:szCs w:val="20"/>
          <w:color w:val="auto"/>
        </w:rPr>
      </w:pPr>
    </w:p>
    <w:p>
      <w:pPr>
        <w:spacing w:after="0" w:line="20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 BANK</w:t>
      </w:r>
    </w:p>
    <w:p>
      <w:pPr>
        <w:spacing w:after="0" w:line="3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Name: [***]</w:t>
      </w:r>
    </w:p>
    <w:p>
      <w:pPr>
        <w:ind w:left="5940"/>
        <w:spacing w:after="0"/>
        <w:rPr>
          <w:sz w:val="20"/>
          <w:szCs w:val="20"/>
          <w:color w:val="auto"/>
        </w:rPr>
      </w:pPr>
      <w:r>
        <w:rPr>
          <w:rFonts w:ascii="Times New Roman" w:cs="Times New Roman" w:eastAsia="Times New Roman" w:hAnsi="Times New Roman"/>
          <w:sz w:val="20"/>
          <w:szCs w:val="20"/>
          <w:color w:val="auto"/>
        </w:rPr>
        <w:t>Title: SVP &amp; Credit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61" w:name="page62"/>
    <w:bookmarkEnd w:id="61"/>
    <w:p>
      <w:pPr>
        <w:jc w:val="right"/>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First Amendment to Sixth Amended and Restated Loan and Security Agreement)</w:t>
      </w:r>
    </w:p>
    <w:p>
      <w:pPr>
        <w:spacing w:after="0" w:line="200" w:lineRule="exact"/>
        <w:rPr>
          <w:sz w:val="20"/>
          <w:szCs w:val="20"/>
          <w:color w:val="auto"/>
        </w:rPr>
      </w:pPr>
    </w:p>
    <w:p>
      <w:pPr>
        <w:spacing w:after="0" w:line="20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 BANK</w:t>
      </w:r>
    </w:p>
    <w:p>
      <w:pPr>
        <w:spacing w:after="0" w:line="32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By: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Name: [***]</w:t>
      </w:r>
    </w:p>
    <w:p>
      <w:pPr>
        <w:ind w:left="5940"/>
        <w:spacing w:after="0"/>
        <w:rPr>
          <w:sz w:val="20"/>
          <w:szCs w:val="20"/>
          <w:color w:val="auto"/>
        </w:rPr>
      </w:pPr>
      <w:r>
        <w:rPr>
          <w:rFonts w:ascii="Times New Roman" w:cs="Times New Roman" w:eastAsia="Times New Roman" w:hAnsi="Times New Roman"/>
          <w:sz w:val="22"/>
          <w:szCs w:val="22"/>
          <w:color w:val="auto"/>
        </w:rPr>
        <w:t>Title: EVP – Chief Lending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62" w:name="page63"/>
    <w:bookmarkEnd w:id="62"/>
    <w:p>
      <w:pPr>
        <w:jc w:val="right"/>
        <w:ind w:right="5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First Amendment to Sixth Amended and Restated Loan and Security Agreement)</w:t>
      </w: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 BANK</w:t>
      </w:r>
    </w:p>
    <w:p>
      <w:pPr>
        <w:spacing w:after="0" w:line="3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w:t>
      </w:r>
    </w:p>
    <w:p>
      <w:pPr>
        <w:ind w:left="5620"/>
        <w:spacing w:after="0"/>
        <w:rPr>
          <w:sz w:val="20"/>
          <w:szCs w:val="20"/>
          <w:color w:val="auto"/>
        </w:rPr>
      </w:pPr>
      <w:r>
        <w:rPr>
          <w:rFonts w:ascii="Times New Roman" w:cs="Times New Roman" w:eastAsia="Times New Roman" w:hAnsi="Times New Roman"/>
          <w:sz w:val="20"/>
          <w:szCs w:val="20"/>
          <w:color w:val="auto"/>
        </w:rPr>
        <w:t>Title: Senior VP – Chief Lending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63" w:name="page64"/>
    <w:bookmarkEnd w:id="63"/>
    <w:p>
      <w:pPr>
        <w:ind w:left="1160"/>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First Amendment to Sixth Amended and Restated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0"/>
          <w:szCs w:val="20"/>
          <w:b w:val="1"/>
          <w:bCs w:val="1"/>
          <w:u w:val="single" w:color="auto"/>
          <w:color w:val="auto"/>
        </w:rPr>
        <w:t>BORROWER:</w:t>
      </w:r>
      <w:r>
        <w:rPr>
          <w:sz w:val="20"/>
          <w:szCs w:val="20"/>
          <w:color w:val="auto"/>
        </w:rPr>
        <w:tab/>
      </w:r>
      <w:r>
        <w:rPr>
          <w:rFonts w:ascii="Times New Roman" w:cs="Times New Roman" w:eastAsia="Times New Roman" w:hAnsi="Times New Roman"/>
          <w:sz w:val="20"/>
          <w:szCs w:val="20"/>
          <w:b w:val="1"/>
          <w:bCs w:val="1"/>
          <w:color w:val="auto"/>
        </w:rPr>
        <w:t>CHICAGO ATLANTIC LINCOLN, LLC</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Chicago Atlantic Real Estate Finance, Inc., its sole member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Phil Silverman</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VP/#72332468.5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754" w:right="8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3220" w:firstLine="3227"/>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CERTIFICATION OF PRINCIPAL EXECUTIVE OFFICER </w:t>
      </w:r>
      <w:r>
        <w:rPr>
          <w:rFonts w:ascii="Times New Roman" w:cs="Times New Roman" w:eastAsia="Times New Roman" w:hAnsi="Times New Roman"/>
          <w:sz w:val="18"/>
          <w:szCs w:val="18"/>
          <w:color w:val="auto"/>
        </w:rPr>
        <w:t>I, Peter Sack, Co-Chief Executive Officer of Chicago Atlantic Real Estate Finance, Inc., certify that:</w:t>
      </w:r>
    </w:p>
    <w:p>
      <w:pPr>
        <w:spacing w:after="0" w:line="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400" w:hanging="514"/>
        <w:spacing w:after="0" w:line="250"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40" w:hanging="514"/>
        <w:spacing w:after="0" w:line="260"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Sack</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3260" w:firstLine="3252"/>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PRINICPAL FINANCIAL OFFICER </w:t>
      </w:r>
      <w:r>
        <w:rPr>
          <w:rFonts w:ascii="Times New Roman" w:cs="Times New Roman" w:eastAsia="Times New Roman" w:hAnsi="Times New Roman"/>
          <w:sz w:val="17"/>
          <w:szCs w:val="17"/>
          <w:color w:val="auto"/>
        </w:rPr>
        <w:t>I, Phillip Silverman, Chief Financial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40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40" w:hanging="514"/>
        <w:spacing w:after="0" w:line="260"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2025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Peter Sack</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right="6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year ended June 30, 2025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8"/>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1"/>
      <w:numFmt w:val="bullet"/>
      <w:start w:val="1"/>
    </w:lvl>
  </w:abstractNum>
  <w:abstractNum w:abstractNumId="8">
    <w:nsid w:val="B03E0C6"/>
    <w:multiLevelType w:val="hybridMultilevel"/>
    <w:lvl w:ilvl="0">
      <w:lvlJc w:val="left"/>
      <w:lvlText w:val="2"/>
      <w:numFmt w:val="bullet"/>
      <w:start w:val="1"/>
    </w:lvl>
  </w:abstractNum>
  <w:abstractNum w:abstractNumId="9">
    <w:nsid w:val="189A769B"/>
    <w:multiLevelType w:val="hybridMultilevel"/>
    <w:lvl w:ilvl="0">
      <w:lvlJc w:val="left"/>
      <w:lvlText w:val="3"/>
      <w:numFmt w:val="bullet"/>
      <w:start w:val="1"/>
    </w:lvl>
  </w:abstractNum>
  <w:abstractNum w:abstractNumId="10">
    <w:nsid w:val="54E49EB4"/>
    <w:multiLevelType w:val="hybridMultilevel"/>
    <w:lvl w:ilvl="0">
      <w:lvlJc w:val="left"/>
      <w:lvlText w:val="4"/>
      <w:numFmt w:val="bullet"/>
      <w:start w:val="1"/>
    </w:lvl>
  </w:abstractNum>
  <w:abstractNum w:abstractNumId="11">
    <w:nsid w:val="71F32454"/>
    <w:multiLevelType w:val="hybridMultilevel"/>
    <w:lvl w:ilvl="0">
      <w:lvlJc w:val="left"/>
      <w:lvlText w:val="5"/>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lvl w:ilvl="1">
      <w:lvlJc w:val="left"/>
      <w:lvlText w:val="(%2)"/>
      <w:numFmt w:val="decimal"/>
      <w:start w:val="1"/>
    </w:lvl>
  </w:abstractNum>
  <w:abstractNum w:abstractNumId="15">
    <w:nsid w:val="3A95F874"/>
    <w:multiLevelType w:val="hybridMultilevel"/>
    <w:lvl w:ilvl="0">
      <w:lvlJc w:val="left"/>
      <w:lvlText w:val="%1."/>
      <w:numFmt w:val="decimal"/>
      <w:start w:val="5"/>
    </w:lvl>
    <w:lvl w:ilvl="1">
      <w:lvlJc w:val="left"/>
      <w:lvlText w:val="%2"/>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o"/>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o"/>
      <w:numFmt w:val="bullet"/>
      <w:start w:val="1"/>
    </w:lvl>
  </w:abstractNum>
  <w:abstractNum w:abstractNumId="25">
    <w:nsid w:val="419AC241"/>
    <w:multiLevelType w:val="hybridMultilevel"/>
    <w:lvl w:ilvl="0">
      <w:lvlJc w:val="left"/>
      <w:lvlText w:val="o"/>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8"/>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bullet"/>
      <w:start w:val="1"/>
    </w:lvl>
  </w:abstractNum>
  <w:abstractNum w:abstractNumId="30">
    <w:nsid w:val="77465F01"/>
    <w:multiLevelType w:val="hybridMultilevel"/>
    <w:lvl w:ilvl="0">
      <w:lvlJc w:val="left"/>
      <w:lvlText w:val="2"/>
      <w:numFmt w:val="bullet"/>
      <w:start w:val="1"/>
    </w:lvl>
  </w:abstractNum>
  <w:abstractNum w:abstractNumId="31">
    <w:nsid w:val="7724C67E"/>
    <w:multiLevelType w:val="hybridMultilevel"/>
    <w:lvl w:ilvl="0">
      <w:lvlJc w:val="left"/>
      <w:lvlText w:val="3"/>
      <w:numFmt w:val="bullet"/>
      <w:start w:val="1"/>
    </w:lvl>
  </w:abstractNum>
  <w:abstractNum w:abstractNumId="32">
    <w:nsid w:val="5C482A97"/>
    <w:multiLevelType w:val="hybridMultilevel"/>
    <w:lvl w:ilvl="0">
      <w:lvlJc w:val="left"/>
      <w:lvlText w:val="4"/>
      <w:numFmt w:val="bullet"/>
      <w:start w:val="1"/>
    </w:lvl>
  </w:abstractNum>
  <w:abstractNum w:abstractNumId="33">
    <w:nsid w:val="2463B9EA"/>
    <w:multiLevelType w:val="hybridMultilevel"/>
    <w:lvl w:ilvl="0">
      <w:lvlJc w:val="left"/>
      <w:lvlText w:val="5"/>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lvl w:ilvl="1">
      <w:lvlJc w:val="left"/>
      <w:lvlText w:val="(%2)"/>
      <w:numFmt w:val="lowerRoman"/>
      <w:start w:val="1"/>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decimal"/>
      <w:start w:val="1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2025-08-07T06:10:38Z</dcterms:created>
  <dcterms:modified xsi:type="dcterms:W3CDTF">2025-08-07T06:10:38Z</dcterms:modified>
</cp:coreProperties>
</file>