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sz w:val="20"/>
        </w:rPr>
      </w:pPr>
      <w:bookmarkStart w:id="0" w:name="refi-20260630.htm"/>
      <w:bookmarkStart w:id="1" w:name="ksrefi20260630"/>
      <w:bookmarkEnd w:id="0"/>
      <w:bookmarkEnd w:id="1"/>
      <w:r>
        <w:rPr>
          <w:rFonts w:ascii="Times New Roman" w:hAnsi="Times New Roman"/>
          <w:color w:val="000000"/>
          <w:sz w:val="2"/>
        </w:rPr>
        <w:t>inte</w:t>
      </w:r>
      <w:r>
        <w:rPr>
          <w:rFonts w:ascii="Times New Roman" w:hAnsi="Times New Roman"/>
          <w:color w:val="000000"/>
          <w:sz w:val="20"/>
        </w:rPr>
        <w:t xml:space="preserve">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p>
      <w:pPr>
        <w:pStyle w:val="TextBody"/>
        <w:bidi w:val="0"/>
        <w:jc w:val="center"/>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001-41123</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CHICAGO ATLANTIC REAL ESTATE FINANCE,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4416" w:type="dxa"/>
        <w:jc w:val="left"/>
        <w:tblInd w:w="0" w:type="dxa"/>
        <w:tblLayout w:type="fixed"/>
        <w:tblCellMar>
          <w:top w:w="28" w:type="dxa"/>
          <w:left w:w="28" w:type="dxa"/>
          <w:bottom w:w="28" w:type="dxa"/>
          <w:right w:w="28" w:type="dxa"/>
        </w:tblCellMar>
      </w:tblPr>
      <w:tblGrid>
        <w:gridCol w:w="2866"/>
        <w:gridCol w:w="109"/>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Maryland</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86-3125132</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(I.R.S. Employer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1680 Michigan Avenue, Suite 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Miami Beach, FL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33139</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(312)</w:t>
      </w:r>
      <w:r>
        <w:rPr>
          <w:rFonts w:ascii="Times New Roman" w:hAnsi="Times New Roman"/>
          <w:color w:val="000000"/>
          <w:sz w:val="20"/>
        </w:rPr>
        <w:t xml:space="preserve"> </w:t>
      </w:r>
      <w:r>
        <w:rPr>
          <w:rFonts w:ascii="Times New Roman" w:hAnsi="Times New Roman"/>
          <w:b/>
          <w:color w:val="000000"/>
          <w:sz w:val="18"/>
        </w:rPr>
        <w:t>625-9295</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236" w:type="dxa"/>
        <w:jc w:val="left"/>
        <w:tblInd w:w="0" w:type="dxa"/>
        <w:tblLayout w:type="fixed"/>
        <w:tblCellMar>
          <w:top w:w="28" w:type="dxa"/>
          <w:left w:w="28" w:type="dxa"/>
          <w:bottom w:w="28" w:type="dxa"/>
          <w:right w:w="28" w:type="dxa"/>
        </w:tblCellMar>
      </w:tblPr>
      <w:tblGrid>
        <w:gridCol w:w="3496"/>
        <w:gridCol w:w="109"/>
        <w:gridCol w:w="1696"/>
        <w:gridCol w:w="109"/>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REFI</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the number of shares outstanding of each of the issuer’s classes of common stock, as of the latest practicable date.</w:t>
      </w:r>
    </w:p>
    <w:p>
      <w:pPr>
        <w:pStyle w:val="TextBody"/>
        <w:bidi w:val="0"/>
        <w:jc w:val="left"/>
        <w:rPr/>
      </w:pPr>
      <w:r>
        <w:rPr/>
        <w:t> </w:t>
      </w:r>
    </w:p>
    <w:tbl>
      <w:tblPr>
        <w:tblW w:w="5496" w:type="dxa"/>
        <w:jc w:val="left"/>
        <w:tblInd w:w="0" w:type="dxa"/>
        <w:tblLayout w:type="fixed"/>
        <w:tblCellMar>
          <w:top w:w="28" w:type="dxa"/>
          <w:left w:w="28" w:type="dxa"/>
          <w:bottom w:w="28" w:type="dxa"/>
          <w:right w:w="28" w:type="dxa"/>
        </w:tblCellMar>
      </w:tblPr>
      <w:tblGrid>
        <w:gridCol w:w="2701"/>
        <w:gridCol w:w="109"/>
        <w:gridCol w:w="2686"/>
      </w:tblGrid>
      <w:tr>
        <w:trPr/>
        <w:tc>
          <w:tcPr>
            <w:tcW w:w="2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at August 6, 2026</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25,621,146</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center"/>
        <w:rPr/>
      </w:pPr>
      <w:r>
        <w:rPr/>
        <w:t> </w:t>
      </w:r>
    </w:p>
    <w:tbl>
      <w:tblPr>
        <w:tblW w:w="8898" w:type="dxa"/>
        <w:jc w:val="left"/>
        <w:tblInd w:w="0" w:type="dxa"/>
        <w:tblLayout w:type="fixed"/>
        <w:tblCellMar>
          <w:top w:w="28" w:type="dxa"/>
          <w:left w:w="28" w:type="dxa"/>
          <w:bottom w:w="28" w:type="dxa"/>
          <w:right w:w="28" w:type="dxa"/>
        </w:tblCellMar>
      </w:tblPr>
      <w:tblGrid>
        <w:gridCol w:w="991"/>
        <w:gridCol w:w="7546"/>
        <w:gridCol w:w="361"/>
      </w:tblGrid>
      <w:tr>
        <w:trPr/>
        <w:tc>
          <w:tcPr>
            <w:tcW w:w="991"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Part I.</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part_i">
              <w:r>
                <w:rPr>
                  <w:rStyle w:val="InternetLink"/>
                  <w:rFonts w:ascii="Times New Roman" w:hAnsi="Times New Roman"/>
                  <w:color w:val="0000FF"/>
                  <w:sz w:val="20"/>
                  <w:u w:val="single"/>
                </w:rPr>
                <w:t>Financial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1">
              <w:r>
                <w:rPr>
                  <w:rStyle w:val="InternetLink"/>
                  <w:rFonts w:ascii="Times New Roman" w:hAnsi="Times New Roman"/>
                  <w:color w:val="0000FF"/>
                  <w:sz w:val="20"/>
                  <w:u w:val="single"/>
                </w:rPr>
                <w:t>Financial Statements (unaudited)</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balance_sheet">
              <w:r>
                <w:rPr>
                  <w:rStyle w:val="InternetLink"/>
                  <w:rFonts w:ascii="Times New Roman" w:hAnsi="Times New Roman"/>
                  <w:color w:val="0000FF"/>
                  <w:sz w:val="20"/>
                  <w:u w:val="single"/>
                </w:rPr>
                <w:t>Consolidated Balance Sheets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statement_of_income">
              <w:r>
                <w:rPr>
                  <w:rStyle w:val="InternetLink"/>
                  <w:rFonts w:ascii="Times New Roman" w:hAnsi="Times New Roman"/>
                  <w:color w:val="0000FF"/>
                  <w:sz w:val="20"/>
                  <w:u w:val="single"/>
                </w:rPr>
                <w:t>Consolidated Statements of Income</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equity">
              <w:r>
                <w:rPr>
                  <w:rStyle w:val="InternetLink"/>
                  <w:rFonts w:ascii="Times New Roman" w:hAnsi="Times New Roman"/>
                  <w:color w:val="0000FF"/>
                  <w:sz w:val="20"/>
                  <w:u w:val="single"/>
                </w:rPr>
                <w:t>Consolidated Statements of Equity</w:t>
              </w:r>
            </w:hyperlink>
            <w:hyperlink w:anchor="equity">
              <w:r>
                <w:rPr>
                  <w:rStyle w:val="InternetLink"/>
                  <w:rFonts w:ascii="Times New Roman" w:hAnsi="Times New Roman"/>
                  <w:color w:val="0000FF"/>
                  <w:sz w:val="20"/>
                </w:rPr>
                <w:t xml:space="preserve"> </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cash_flow">
              <w:r>
                <w:rPr>
                  <w:rStyle w:val="InternetLink"/>
                  <w:rFonts w:ascii="Times New Roman" w:hAnsi="Times New Roman"/>
                  <w:color w:val="0000FF"/>
                  <w:sz w:val="20"/>
                  <w:u w:val="single"/>
                </w:rPr>
                <w:t>Consolidated Statements of Cash Flows</w:t>
              </w:r>
            </w:hyperlink>
            <w:hyperlink w:anchor="cash_flow">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4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2.</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3.</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4.</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4">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Part II.</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part_ii">
              <w:r>
                <w:rPr>
                  <w:rStyle w:val="InternetLink"/>
                  <w:rFonts w:ascii="Times New Roman" w:hAnsi="Times New Roman"/>
                  <w:color w:val="0000FF"/>
                  <w:sz w:val="20"/>
                  <w:u w:val="single"/>
                </w:rPr>
                <w:t>Other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1_legal">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1A.</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1a_risk_factors">
              <w:r>
                <w:rPr>
                  <w:rStyle w:val="InternetLink"/>
                  <w:rFonts w:ascii="Times New Roman" w:hAnsi="Times New Roman"/>
                  <w:color w:val="0000FF"/>
                  <w:sz w:val="20"/>
                  <w:u w:val="single"/>
                </w:rPr>
                <w:t>Risk Factors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2.</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2_unregistred">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 xml:space="preserve">Item 3. </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3_defaults_upon">
              <w:r>
                <w:rPr>
                  <w:rStyle w:val="InternetLink"/>
                  <w:rFonts w:ascii="Times New Roman" w:hAnsi="Times New Roman"/>
                  <w:color w:val="0000FF"/>
                  <w:sz w:val="20"/>
                  <w:u w:val="single"/>
                </w:rPr>
                <w:t>Defaults Upon Senior Securities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 xml:space="preserve">Item 4. </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5.</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5_other">
              <w:r>
                <w:rPr>
                  <w:rStyle w:val="InternetLink"/>
                  <w:rFonts w:ascii="Times New Roman" w:hAnsi="Times New Roman"/>
                  <w:color w:val="0000FF"/>
                  <w:sz w:val="20"/>
                  <w:u w:val="single"/>
                </w:rPr>
                <w:t>Other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6.</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6">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4"/>
        <w:gridCol w:w="146"/>
        <w:gridCol w:w="211"/>
        <w:gridCol w:w="1141"/>
        <w:gridCol w:w="166"/>
        <w:gridCol w:w="146"/>
        <w:gridCol w:w="235"/>
        <w:gridCol w:w="1273"/>
        <w:gridCol w:w="613"/>
      </w:tblGrid>
      <w:tr>
        <w:trPr/>
        <w:tc>
          <w:tcPr>
            <w:tcW w:w="6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304,479,345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332,772,244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held for investment - related party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103,420,472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76,183,323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Loans held for investment, at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407,899,817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Loans held for investment at carrying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398,528,899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403,892,782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at fair value - related party (amortized cost of $40,612,435 and $0, respectively)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14,948,884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 and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874,245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1,189,937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461,699,086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424,915,648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49,100,000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49,452,551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49,334,459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10,639,254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11,157,220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3,098,576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1,348,334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834,977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160,051,048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117,101,172</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100,000,000 shares authorized and 21,314,392 and 21,080,272 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324,946,445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323,125,854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(23,511,551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(15,522,181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301,648,038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307,814,476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461,699,086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424,915,648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5" w:name="statement_of_income"/>
      <w:bookmarkEnd w:id="5"/>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82"/>
        <w:gridCol w:w="146"/>
        <w:gridCol w:w="224"/>
        <w:gridCol w:w="1104"/>
        <w:gridCol w:w="176"/>
        <w:gridCol w:w="155"/>
        <w:gridCol w:w="224"/>
        <w:gridCol w:w="1104"/>
        <w:gridCol w:w="166"/>
        <w:gridCol w:w="146"/>
        <w:gridCol w:w="216"/>
        <w:gridCol w:w="1065"/>
        <w:gridCol w:w="170"/>
        <w:gridCol w:w="149"/>
        <w:gridCol w:w="216"/>
        <w:gridCol w:w="1065"/>
        <w:gridCol w:w="397"/>
      </w:tblGrid>
      <w:tr>
        <w:trPr/>
        <w:tc>
          <w:tcPr>
            <w:tcW w:w="3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15,219,022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30,383,710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31,609,350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(2,384,377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(4,424,979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(4,142,430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12,834,645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25,958,731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27,466,920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incentive fees,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1,604,328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3,323,823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3,668,490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2,467,231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495,084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998,633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973,059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1,530,440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551,294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4,389,145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5,137,319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13,215,041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8,713,234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(loss)/gain on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7,473,326</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8,877,375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12,313,690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18,918,686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7,473,326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12,313,690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18,918,686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21,242,557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21,161,863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20,931,025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21,713,882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21,599,634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21,376,645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6" w:name="equity"/>
      <w:bookmarkEnd w:id="6"/>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9"/>
        <w:gridCol w:w="146"/>
        <w:gridCol w:w="916"/>
        <w:gridCol w:w="146"/>
        <w:gridCol w:w="146"/>
        <w:gridCol w:w="196"/>
        <w:gridCol w:w="691"/>
        <w:gridCol w:w="146"/>
        <w:gridCol w:w="146"/>
        <w:gridCol w:w="216"/>
        <w:gridCol w:w="1111"/>
        <w:gridCol w:w="166"/>
        <w:gridCol w:w="146"/>
        <w:gridCol w:w="196"/>
        <w:gridCol w:w="976"/>
        <w:gridCol w:w="166"/>
        <w:gridCol w:w="146"/>
        <w:gridCol w:w="216"/>
        <w:gridCol w:w="1111"/>
        <w:gridCol w:w="413"/>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323,991,208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303,422,658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employee incentive plan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957,578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Dividends declared on common shares ($.47</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(10,017,764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7,473,326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21,314,392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324,946,445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301,648,038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4"/>
        <w:gridCol w:w="146"/>
        <w:gridCol w:w="146"/>
        <w:gridCol w:w="916"/>
        <w:gridCol w:w="146"/>
        <w:gridCol w:w="146"/>
        <w:gridCol w:w="196"/>
        <w:gridCol w:w="691"/>
        <w:gridCol w:w="146"/>
        <w:gridCol w:w="146"/>
        <w:gridCol w:w="214"/>
        <w:gridCol w:w="1102"/>
        <w:gridCol w:w="166"/>
        <w:gridCol w:w="146"/>
        <w:gridCol w:w="196"/>
        <w:gridCol w:w="976"/>
        <w:gridCol w:w="166"/>
        <w:gridCol w:w="146"/>
        <w:gridCol w:w="214"/>
        <w:gridCol w:w="1102"/>
        <w:gridCol w:w="414"/>
      </w:tblGrid>
      <w:tr>
        <w:trPr/>
        <w:tc>
          <w:tcPr>
            <w:tcW w:w="2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20,893,785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320,486,840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310,780,047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employee incentive plan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881,128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Dividends declared on common shares ($.47</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(9,905,074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8,877,375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21,074,625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321,366,160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(11,548,516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310,028,390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09"/>
        <w:gridCol w:w="146"/>
        <w:gridCol w:w="916"/>
        <w:gridCol w:w="146"/>
        <w:gridCol w:w="146"/>
        <w:gridCol w:w="196"/>
        <w:gridCol w:w="691"/>
        <w:gridCol w:w="146"/>
        <w:gridCol w:w="146"/>
        <w:gridCol w:w="216"/>
        <w:gridCol w:w="1111"/>
        <w:gridCol w:w="166"/>
        <w:gridCol w:w="146"/>
        <w:gridCol w:w="196"/>
        <w:gridCol w:w="976"/>
        <w:gridCol w:w="166"/>
        <w:gridCol w:w="146"/>
        <w:gridCol w:w="216"/>
        <w:gridCol w:w="1111"/>
        <w:gridCol w:w="413"/>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323,125,854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307,814,476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employee incentive plan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1,822,932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(377,568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Dividends declared on common shares ($0.94</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(19,925,492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(19,925,492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12,313,690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12,313,690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21,314,392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324,946,445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301,648,038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27"/>
        <w:gridCol w:w="146"/>
        <w:gridCol w:w="146"/>
        <w:gridCol w:w="916"/>
        <w:gridCol w:w="146"/>
        <w:gridCol w:w="146"/>
        <w:gridCol w:w="196"/>
        <w:gridCol w:w="691"/>
        <w:gridCol w:w="146"/>
        <w:gridCol w:w="146"/>
        <w:gridCol w:w="215"/>
        <w:gridCol w:w="1105"/>
        <w:gridCol w:w="166"/>
        <w:gridCol w:w="146"/>
        <w:gridCol w:w="146"/>
        <w:gridCol w:w="976"/>
        <w:gridCol w:w="166"/>
        <w:gridCol w:w="146"/>
        <w:gridCol w:w="215"/>
        <w:gridCol w:w="1105"/>
        <w:gridCol w:w="413"/>
      </w:tblGrid>
      <w:tr>
        <w:trPr/>
        <w:tc>
          <w:tcPr>
            <w:tcW w:w="2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318,886,768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308,958,097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951,406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employee incentive plan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1,530,440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Dividends declared on common shares ($0.94</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(19,725,153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(19,725,153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18,918,686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18,918,686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21,074,625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321,366,160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(11,548,516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310,028,390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7" w:name="cash_flow"/>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19"/>
        </w:rPr>
      </w:pPr>
      <w:r>
        <w:rPr>
          <w:rFonts w:ascii="Times New Roman" w:hAnsi="Times New Roman"/>
          <w:b/>
          <w:color w:val="000000"/>
          <w:sz w:val="19"/>
        </w:rPr>
        <w:t>(UNAUDITED)</w:t>
      </w:r>
    </w:p>
    <w:p>
      <w:pPr>
        <w:pStyle w:val="TextBody"/>
        <w:bidi w:val="0"/>
        <w:jc w:val="center"/>
        <w:rPr/>
      </w:pPr>
      <w:r>
        <w:rPr/>
        <w:t> </w:t>
      </w:r>
    </w:p>
    <w:tbl>
      <w:tblPr>
        <w:tblW w:w="9529" w:type="dxa"/>
        <w:jc w:val="left"/>
        <w:tblInd w:w="0" w:type="dxa"/>
        <w:tblLayout w:type="fixed"/>
        <w:tblCellMar>
          <w:top w:w="28" w:type="dxa"/>
          <w:left w:w="28" w:type="dxa"/>
          <w:bottom w:w="28" w:type="dxa"/>
          <w:right w:w="28" w:type="dxa"/>
        </w:tblCellMar>
      </w:tblPr>
      <w:tblGrid>
        <w:gridCol w:w="6286"/>
        <w:gridCol w:w="146"/>
        <w:gridCol w:w="196"/>
        <w:gridCol w:w="1006"/>
        <w:gridCol w:w="166"/>
        <w:gridCol w:w="146"/>
        <w:gridCol w:w="196"/>
        <w:gridCol w:w="976"/>
        <w:gridCol w:w="4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w:t>
              <w:br/>
              <w:t>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12,313,690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18,918,686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deferred loan origination fees and other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(3,356,544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(3,116,093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4,389,145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unrealized (loss)/gain on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1,530,440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 and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2,491,139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and 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(930,201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(857,659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12,219,169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14,088,505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and fundings of loans held for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(65,536,425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(10,327,017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repayment of 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71,233,213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12,279,060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and fundings of loans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(40,612,435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(34,915,647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1,952,043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borrowings on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borrowings on revolving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(24,030,318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21,099,293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(6,878,912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(1,597,185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9,161,636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14,948,884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26,400,448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13,351,699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35,562,084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 withheld from funding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OID withheld from funding of loans held for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1,048,270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declared and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9,905,074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Payable for investment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9,461,774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Transfer of loans held for investment to loans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27,110,506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exchange of loans with related party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27,110,506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4,779,632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8" w:name="notes_consolidated_financial_statements"/>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Chicago Atlantic Real Estate Finance, Inc., and its wholly owned consolidated subsidiary, Chicago Atlantic Lincoln, LLC (“CAL”) (collectively the “Company”, “we”, or “our”), is a commercial real estate finance company that incorporated in the state of Maryland on March 30, 2021 and completed its initial public offering (the "IPO") in December 2021.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The Company may also lend to and invest in companies or properties that are not related to the cannabis industry if they provide return characteristics consistent with its investment objective.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externally managed by Chicago Atlantic REIT Manager, LLC (the “Manager”), a Delaware limited liability company, pursuant to the terms of the management agreement dated May 1, 2021, and amended in October 2021, by and among the Company and the Manager (the "Management Agreement"). After the initial three-year term, the Management Agreement is automatically renewed for one-year periods unless the Company or the Manager elects not to renew in accordance with the terms of the Management Agreement. Following the initial term, the Management Agreement was most recently automatically renewed on April 30, 2026.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8). All of the Company’s investment decisions are made by the investment committee of the Manager, subject to oversight by the Company’s board of directors (the “Board”). The Manager is wholly-owned by Chicago Atlantic Group, LP. (the “Sponsor”).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to be taxed as a real estate investment trust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the Company, and its wholly owned consolidated subsidiary, CAL. All intercompany accounts and transactions have been eliminated in consolidation. Accordingly, these financial statements may not contain all disclosures required by GAAP. Reference should be made to Note 2 of the Company’s consolidated financial statements included in the Company’s Annual Report on Form 10-K for the period ended December 31, 2025. In the opinion of the Company, all normal recurring adjustments have been made that are necessary to the fair statement of the results of operations and financial position as of and for the periods presented. Operating results for the three and six month periods ended June 30, 2026 are not necessarily indicative of the results that may be expected for the year ending December 31, 2026.</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Use of Estimates in the Preparation of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Specifically, interest payable, which was previously included within accounts payable and other liabilities during the comparative interim periods, is presented as a separate line item on the Consolidated Balance Sheets. Additionally, dividends declared on restricted stock awards which were previously included in dividends declared on common shares, were reclassified and presented as an individual line item on the Consolidated Statements of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reclassifications were made to improve transparency regarding the Company’s accrued interest obligations and dividends paid on vested restricted stock awards. The reclassifications had no impact on total assets, total liabilities, stockholders’ equity, net income, or cash flows for the periods presented.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("ASU 2024-03"), which requires disaggregated disclosures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2027. Early adoption and retrospective application is permitted. The Company is currently evaluating the impact of this guidance on the Company's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2025, the FASB issued ASU 2025-08, </w:t>
      </w:r>
      <w:r>
        <w:rPr>
          <w:rFonts w:ascii="Times New Roman" w:hAnsi="Times New Roman"/>
          <w:i/>
          <w:color w:val="000000"/>
          <w:sz w:val="20"/>
        </w:rPr>
        <w:t>Financial Instruments—Credit Losses (Topic 326): Accounting for Purchased Loans</w:t>
      </w:r>
      <w:r>
        <w:rPr>
          <w:rFonts w:ascii="Times New Roman" w:hAnsi="Times New Roman"/>
          <w:color w:val="000000"/>
          <w:sz w:val="20"/>
        </w:rPr>
        <w:t>. This ASU clarifies the accounting for certain purchased loans by requiring entities to recognize an allowance for expected credit losses at the time of purchase for loans that do not qualify as purchased credit-deteriorated assets. The guidance also clarifies the measurement and presentation of the allowance for credit losses and related interest income recognition for such purchased loans. ASU 2025-08 is effective for fiscal years beginning after December 15, 2026, including interim periods within those fiscal years. The ASU is required to be applied prospectively. The Company is currently evaluating the impact of the adoption of ASU 2025-08 on its consolidated financial statements and related disclosures.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LOANS HELD FOR INVESTMENT,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primarily originates senior secured loans that it has the intent and ability to hold until maturity or payoff. Such loans are classified as held for investment and are reported on the consolidated balance sheets at amortized cost. Our loans bear interest rates that are either fixed or determined periodically on the basis of U.S. Prime Rate (“Prime”) or Secured Overnight Financing Rate (“SOFR”) plus a premium. Loans which bear interest on either Prime or SOFR are collectively referred to as "Floating-rate loans". The following tables present summarized information regarding our loans held for investment by interest rate type as of June 30, 2026 and December 31, 2025:</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242,261,988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238,587,987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407,899,817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summarize the Company’s aggregate portfolio of loans held for investment, net of current expected credit loss reserve as of June 30,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412,125,652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407,899,817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398,528,899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Weighted average remaining life is calculated based on the carrying value of the loans as of June 30,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changes in loans held for investment at carrying value as of and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65,536,425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(71,233,213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(71,233,213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3,356,544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(4,308,133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(9,370,918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398,528,899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404,721,554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398,130,177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(12,279,060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416,418,148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(2,442,664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(4,421,348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409,554,136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more detailed listing of the Company’s loans held at carrying value based on information available as of June 30, 2026,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456" w:type="dxa"/>
        <w:jc w:val="left"/>
        <w:tblInd w:w="0" w:type="dxa"/>
        <w:tblLayout w:type="fixed"/>
        <w:tblCellMar>
          <w:top w:w="28" w:type="dxa"/>
          <w:left w:w="28" w:type="dxa"/>
          <w:bottom w:w="28" w:type="dxa"/>
          <w:right w:w="28" w:type="dxa"/>
        </w:tblCellMar>
      </w:tblPr>
      <w:tblGrid>
        <w:gridCol w:w="591"/>
        <w:gridCol w:w="1221"/>
        <w:gridCol w:w="706"/>
        <w:gridCol w:w="766"/>
        <w:gridCol w:w="196"/>
        <w:gridCol w:w="1006"/>
        <w:gridCol w:w="346"/>
        <w:gridCol w:w="196"/>
        <w:gridCol w:w="886"/>
        <w:gridCol w:w="346"/>
        <w:gridCol w:w="196"/>
        <w:gridCol w:w="1006"/>
        <w:gridCol w:w="146"/>
        <w:gridCol w:w="395"/>
        <w:gridCol w:w="491"/>
        <w:gridCol w:w="441"/>
        <w:gridCol w:w="196"/>
        <w:gridCol w:w="826"/>
        <w:gridCol w:w="146"/>
        <w:gridCol w:w="936"/>
        <w:gridCol w:w="751"/>
        <w:gridCol w:w="666"/>
      </w:tblGrid>
      <w:tr>
        <w:trPr/>
        <w:tc>
          <w:tcPr>
            <w:tcW w:w="5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Funding</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Issue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Loans held</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Periodic</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YTM</w:t>
            </w:r>
          </w:p>
        </w:tc>
      </w:tr>
      <w:tr>
        <w:trPr/>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w:t>
            </w:r>
          </w:p>
        </w:tc>
        <w:tc>
          <w:tcPr>
            <w:tcW w:w="12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Location(s)</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(1)</w:t>
            </w:r>
          </w:p>
        </w:tc>
        <w:tc>
          <w:tcPr>
            <w:tcW w:w="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(2)</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Premium/(Discount)</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investment</w:t>
            </w:r>
          </w:p>
        </w:tc>
        <w:tc>
          <w:tcPr>
            <w:tcW w:w="4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Fundings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(3)</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(4)</w:t>
            </w:r>
          </w:p>
        </w:tc>
        <w:tc>
          <w:tcPr>
            <w:tcW w:w="66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IRR (5)</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2b</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Michigan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3,084,858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0% Cash, 10%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6/17/2026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6,626,809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11.91% Cash</w:t>
            </w:r>
            <w:r>
              <w:rPr>
                <w:rFonts w:ascii="Times New Roman" w:hAnsi="Times New Roman"/>
                <w:color w:val="000000"/>
                <w:sz w:val="20"/>
              </w:rPr>
              <w:t>  </w:t>
            </w:r>
            <w:r>
              <w:rPr>
                <w:rFonts w:ascii="Times New Roman" w:hAnsi="Times New Roman"/>
                <w:color w:val="000000"/>
                <w:sz w:val="16"/>
              </w:rPr>
              <w:t>(14)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17.0%</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7</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 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36,130,667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(358,490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35,772,177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P+5.75% Cash</w:t>
            </w:r>
            <w:r>
              <w:rPr>
                <w:rFonts w:ascii="Times New Roman" w:hAnsi="Times New Roman"/>
                <w:color w:val="000000"/>
                <w:sz w:val="20"/>
              </w:rPr>
              <w:t>  </w:t>
            </w:r>
            <w:r>
              <w:rPr>
                <w:rFonts w:ascii="Times New Roman" w:hAnsi="Times New Roman"/>
                <w:color w:val="000000"/>
                <w:sz w:val="16"/>
              </w:rPr>
              <w:t>(9)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8</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West Virginia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8,491,943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13%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14.4%</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9a</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14,576,987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14,528,817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9% Cash</w:t>
            </w:r>
            <w:r>
              <w:rPr>
                <w:rFonts w:ascii="Times New Roman" w:hAnsi="Times New Roman"/>
                <w:color w:val="000000"/>
                <w:sz w:val="20"/>
              </w:rPr>
              <w:t>  </w:t>
            </w:r>
            <w:r>
              <w:rPr>
                <w:rFonts w:ascii="Times New Roman" w:hAnsi="Times New Roman"/>
                <w:color w:val="000000"/>
                <w:sz w:val="16"/>
              </w:rPr>
              <w:t>(13)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9b</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9% Cash</w:t>
            </w:r>
            <w:r>
              <w:rPr>
                <w:rFonts w:ascii="Times New Roman" w:hAnsi="Times New Roman"/>
                <w:color w:val="000000"/>
                <w:sz w:val="20"/>
              </w:rPr>
              <w:t>  </w:t>
            </w:r>
            <w:r>
              <w:rPr>
                <w:rFonts w:ascii="Times New Roman" w:hAnsi="Times New Roman"/>
                <w:color w:val="000000"/>
                <w:sz w:val="16"/>
              </w:rPr>
              <w:t>(13)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11/8/2021</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14,919,970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 Cash, 2% PIK</w:t>
            </w:r>
            <w:r>
              <w:rPr>
                <w:rFonts w:ascii="Times New Roman" w:hAnsi="Times New Roman"/>
                <w:color w:val="000000"/>
                <w:sz w:val="20"/>
              </w:rPr>
              <w:t> </w:t>
            </w:r>
            <w:r>
              <w:rPr>
                <w:rFonts w:ascii="Times New Roman" w:hAnsi="Times New Roman"/>
                <w:color w:val="000000"/>
                <w:sz w:val="16"/>
              </w:rPr>
              <w:t>(10)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19.8%</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18</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Ohio</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2/3/2022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48,369,208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48,369,208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P+1.75% Cash, 5% PIK</w:t>
            </w:r>
            <w:r>
              <w:rPr>
                <w:rFonts w:ascii="Times New Roman" w:hAnsi="Times New Roman"/>
                <w:color w:val="000000"/>
                <w:sz w:val="20"/>
              </w:rPr>
              <w:t> </w:t>
            </w:r>
            <w:r>
              <w:rPr>
                <w:rFonts w:ascii="Times New Roman" w:hAnsi="Times New Roman"/>
                <w:color w:val="000000"/>
                <w:sz w:val="16"/>
              </w:rPr>
              <w:t>(9)(13)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17.9%</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19</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Florida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3/11/2022</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20,835,799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20,809,151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11% Cash, 5%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17.5%</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21</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33,699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 Cash, 2% PIK</w:t>
            </w:r>
            <w:r>
              <w:rPr>
                <w:rFonts w:ascii="Times New Roman" w:hAnsi="Times New Roman"/>
                <w:color w:val="000000"/>
                <w:sz w:val="20"/>
              </w:rPr>
              <w:t> </w:t>
            </w:r>
            <w:r>
              <w:rPr>
                <w:rFonts w:ascii="Times New Roman" w:hAnsi="Times New Roman"/>
                <w:color w:val="000000"/>
                <w:sz w:val="16"/>
              </w:rPr>
              <w:t>(9)(16)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23.3%</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23</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3/27/2023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P+7.5% Cash</w:t>
            </w:r>
            <w:r>
              <w:rPr>
                <w:rFonts w:ascii="Times New Roman" w:hAnsi="Times New Roman"/>
                <w:color w:val="000000"/>
                <w:sz w:val="20"/>
              </w:rPr>
              <w:t>  </w:t>
            </w:r>
            <w:r>
              <w:rPr>
                <w:rFonts w:ascii="Times New Roman" w:hAnsi="Times New Roman"/>
                <w:color w:val="000000"/>
                <w:sz w:val="16"/>
              </w:rPr>
              <w:t>(11)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25</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New York</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7/1/2023</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20,555,804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20,555,804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16.6%</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31</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California, Illinois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5/3/2023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10,782,841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P+8.75% Cash</w:t>
            </w:r>
            <w:r>
              <w:rPr>
                <w:rFonts w:ascii="Times New Roman" w:hAnsi="Times New Roman"/>
                <w:color w:val="000000"/>
                <w:sz w:val="20"/>
              </w:rPr>
              <w:t>  </w:t>
            </w:r>
            <w:r>
              <w:rPr>
                <w:rFonts w:ascii="Times New Roman" w:hAnsi="Times New Roman"/>
                <w:color w:val="000000"/>
                <w:sz w:val="16"/>
              </w:rPr>
              <w:t>(10)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34</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6/17/2024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5/29/2026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9,900,765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11.91% Cash</w:t>
            </w:r>
            <w:r>
              <w:rPr>
                <w:rFonts w:ascii="Times New Roman" w:hAnsi="Times New Roman"/>
                <w:color w:val="000000"/>
                <w:sz w:val="20"/>
              </w:rPr>
              <w:t>  </w:t>
            </w:r>
            <w:r>
              <w:rPr>
                <w:rFonts w:ascii="Times New Roman" w:hAnsi="Times New Roman"/>
                <w:color w:val="000000"/>
                <w:sz w:val="16"/>
              </w:rPr>
              <w:t>(14)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12.8%</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35</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California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8/23/2024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24,417,992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 Cash, 3%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16.6%</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36</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27,776,155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27,746,803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0% Cash, 13.75% PIK</w:t>
            </w:r>
            <w:r>
              <w:rPr>
                <w:rFonts w:ascii="Times New Roman" w:hAnsi="Times New Roman"/>
                <w:color w:val="000000"/>
                <w:sz w:val="20"/>
              </w:rPr>
              <w:t> </w:t>
            </w:r>
            <w:r>
              <w:rPr>
                <w:rFonts w:ascii="Times New Roman" w:hAnsi="Times New Roman"/>
                <w:color w:val="000000"/>
                <w:sz w:val="16"/>
              </w:rPr>
              <w:t>(15)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15.0%</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40</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3/28/2025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7/28/2028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676,676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 +10.25% Cash</w:t>
            </w:r>
            <w:r>
              <w:rPr>
                <w:rFonts w:ascii="Times New Roman" w:hAnsi="Times New Roman"/>
                <w:color w:val="000000"/>
                <w:sz w:val="20"/>
              </w:rPr>
              <w:t> </w:t>
            </w:r>
            <w:r>
              <w:rPr>
                <w:rFonts w:ascii="Times New Roman" w:hAnsi="Times New Roman"/>
                <w:color w:val="000000"/>
                <w:sz w:val="16"/>
              </w:rPr>
              <w:t>(6)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20.4%</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41</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Ohio</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14.5%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16.1%</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42</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53,333,333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(257,450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 +6.88% Cash</w:t>
            </w:r>
            <w:r>
              <w:rPr>
                <w:rFonts w:ascii="Times New Roman" w:hAnsi="Times New Roman"/>
                <w:color w:val="000000"/>
                <w:sz w:val="20"/>
              </w:rPr>
              <w:t> </w:t>
            </w:r>
            <w:r>
              <w:rPr>
                <w:rFonts w:ascii="Times New Roman" w:hAnsi="Times New Roman"/>
                <w:color w:val="000000"/>
                <w:sz w:val="16"/>
              </w:rPr>
              <w:t>(6)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13.2%</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43</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Missouri</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12,537,130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P+5.75% Cash</w:t>
            </w:r>
            <w:r>
              <w:rPr>
                <w:rFonts w:ascii="Times New Roman" w:hAnsi="Times New Roman"/>
                <w:color w:val="000000"/>
                <w:sz w:val="20"/>
              </w:rPr>
              <w:t>  </w:t>
            </w:r>
            <w:r>
              <w:rPr>
                <w:rFonts w:ascii="Times New Roman" w:hAnsi="Times New Roman"/>
                <w:color w:val="000000"/>
                <w:sz w:val="16"/>
              </w:rPr>
              <w:t>(10)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15.4%</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44</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Missouri</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4,504,048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SOFR+10.24% Cash</w:t>
            </w:r>
            <w:r>
              <w:rPr>
                <w:rFonts w:ascii="Times New Roman" w:hAnsi="Times New Roman"/>
                <w:color w:val="000000"/>
                <w:sz w:val="20"/>
              </w:rPr>
              <w:t> </w:t>
            </w:r>
            <w:r>
              <w:rPr>
                <w:rFonts w:ascii="Times New Roman" w:hAnsi="Times New Roman"/>
                <w:color w:val="000000"/>
                <w:sz w:val="16"/>
              </w:rPr>
              <w:t>(7)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45</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Canada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1/31/2031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16,211,500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(2,300,521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13,910,979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SOFR+6.25%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46a</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11/26/2024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11/24/2028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17,050,336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 Cash, 1%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15.2%</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46b</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3/17/2026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1,724,787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0% Cash, 13% PIK</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12.7%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47</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Nevada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4/23/2026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4/23/2029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2,003,251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P+5.75% Cash, 1.5% PIK</w:t>
            </w:r>
            <w:r>
              <w:rPr>
                <w:rFonts w:ascii="Times New Roman" w:hAnsi="Times New Roman"/>
                <w:color w:val="000000"/>
                <w:sz w:val="20"/>
              </w:rPr>
              <w:t> </w:t>
            </w:r>
            <w:r>
              <w:rPr>
                <w:rFonts w:ascii="Times New Roman" w:hAnsi="Times New Roman"/>
                <w:color w:val="000000"/>
                <w:sz w:val="16"/>
              </w:rPr>
              <w:t>(8)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15.6%</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48</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4/8/2026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13,221,830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P+4.5% Cash, 4% PIK</w:t>
            </w:r>
            <w:r>
              <w:rPr>
                <w:rFonts w:ascii="Times New Roman" w:hAnsi="Times New Roman"/>
                <w:color w:val="000000"/>
                <w:sz w:val="20"/>
              </w:rPr>
              <w:t> </w:t>
            </w:r>
            <w:r>
              <w:rPr>
                <w:rFonts w:ascii="Times New Roman" w:hAnsi="Times New Roman"/>
                <w:color w:val="000000"/>
                <w:sz w:val="16"/>
              </w:rPr>
              <w:t>(9)(13)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18.5%</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49</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California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7/31/2029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7,277,263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7,135,495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P+6.5% Cash</w:t>
            </w:r>
            <w:r>
              <w:rPr>
                <w:rFonts w:ascii="Times New Roman" w:hAnsi="Times New Roman"/>
                <w:color w:val="000000"/>
                <w:sz w:val="20"/>
              </w:rPr>
              <w:t> </w:t>
            </w:r>
            <w:r>
              <w:rPr>
                <w:rFonts w:ascii="Times New Roman" w:hAnsi="Times New Roman"/>
                <w:color w:val="000000"/>
                <w:sz w:val="16"/>
              </w:rPr>
              <w:t>(9)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16.1%</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50</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Michigan, Maryland</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1/27/2026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12,922,246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P+3% Cash</w:t>
            </w:r>
            <w:r>
              <w:rPr>
                <w:rFonts w:ascii="Times New Roman" w:hAnsi="Times New Roman"/>
                <w:color w:val="000000"/>
                <w:sz w:val="20"/>
              </w:rPr>
              <w:t> </w:t>
            </w:r>
            <w:r>
              <w:rPr>
                <w:rFonts w:ascii="Times New Roman" w:hAnsi="Times New Roman"/>
                <w:color w:val="000000"/>
                <w:sz w:val="16"/>
              </w:rPr>
              <w:t>(8) (13)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11.7%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Subtotal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412,125,652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(4,225,835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407,899,817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15.6%</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numbering in the table above is maintained from origination for purposes of comparability and may not be sequential due to maturities, payoffs, or refinancings.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 = prime rate; "SOFR" =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P&amp;I = principal and interest. I/O = interest only. P&amp;I loans may include interest only periods for a portion of the loan term. The frequency of loan payments may be monthly or quarterly as required by the respective credit agreement governing such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SOFR floor of 4.00%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SOFR floor of 3.72%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6.75%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7.00%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7.50%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8.00%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8.50%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borrower of this subject Loan is considered by management to be a related party. Refer to Note 8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#4 and Loan #34 were placed on non-accrual on December 1, 2025 and all accrued interest through such date was reversed. These loans remain on non-accrual as of June 30, 2026 and the interest receivable balance relating to these loans was $0.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2026, Loan #36 was amended to pay a default interest rate of 7.5% and 13.75% PIK.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Loan #21 was amended to extend the maturity date to August 18, 2026. No other terms of the loan were modified in connection with this 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present aging analyses of past due loans by amortized cost, excluding the CECL reserve, as of June 30, 2026 and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8"/>
        <w:gridCol w:w="146"/>
        <w:gridCol w:w="196"/>
        <w:gridCol w:w="1006"/>
        <w:gridCol w:w="146"/>
        <w:gridCol w:w="146"/>
        <w:gridCol w:w="196"/>
        <w:gridCol w:w="916"/>
        <w:gridCol w:w="146"/>
        <w:gridCol w:w="146"/>
        <w:gridCol w:w="317"/>
        <w:gridCol w:w="270"/>
        <w:gridCol w:w="146"/>
        <w:gridCol w:w="146"/>
        <w:gridCol w:w="308"/>
        <w:gridCol w:w="261"/>
        <w:gridCol w:w="146"/>
        <w:gridCol w:w="146"/>
        <w:gridCol w:w="196"/>
        <w:gridCol w:w="916"/>
        <w:gridCol w:w="146"/>
        <w:gridCol w:w="146"/>
        <w:gridCol w:w="196"/>
        <w:gridCol w:w="1006"/>
        <w:gridCol w:w="146"/>
        <w:gridCol w:w="146"/>
        <w:gridCol w:w="196"/>
        <w:gridCol w:w="916"/>
        <w:gridCol w:w="193"/>
      </w:tblGrid>
      <w:tr>
        <w:trPr/>
        <w:tc>
          <w:tcPr>
            <w:tcW w:w="1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Current</w:t>
              <w:br/>
              <w:t xml:space="preserve">Loans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31-60 </w:t>
              <w:br/>
              <w:t>Days</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Non- </w:t>
              <w:br/>
              <w:t>Accrual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391,372,243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407,899,817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391,372,243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407,899,817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16,527,574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6"/>
        <w:gridCol w:w="146"/>
        <w:gridCol w:w="196"/>
        <w:gridCol w:w="1006"/>
        <w:gridCol w:w="146"/>
        <w:gridCol w:w="146"/>
        <w:gridCol w:w="388"/>
        <w:gridCol w:w="329"/>
        <w:gridCol w:w="146"/>
        <w:gridCol w:w="146"/>
        <w:gridCol w:w="388"/>
        <w:gridCol w:w="329"/>
        <w:gridCol w:w="146"/>
        <w:gridCol w:w="146"/>
        <w:gridCol w:w="410"/>
        <w:gridCol w:w="347"/>
        <w:gridCol w:w="146"/>
        <w:gridCol w:w="146"/>
        <w:gridCol w:w="389"/>
        <w:gridCol w:w="332"/>
        <w:gridCol w:w="146"/>
        <w:gridCol w:w="146"/>
        <w:gridCol w:w="196"/>
        <w:gridCol w:w="1006"/>
        <w:gridCol w:w="146"/>
        <w:gridCol w:w="146"/>
        <w:gridCol w:w="196"/>
        <w:gridCol w:w="916"/>
        <w:gridCol w:w="193"/>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Current</w:t>
              <w:br/>
              <w:t xml:space="preserve">Loans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31-60 </w:t>
              <w:br/>
              <w:t>Days</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Non- </w:t>
              <w:br/>
              <w:t>Accrual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48,801,351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48,801,351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1-30 days past due are included in the current loans. </w:t>
      </w:r>
    </w:p>
    <w:p>
      <w:pPr>
        <w:pStyle w:val="TextBody"/>
        <w:bidi w:val="0"/>
        <w:spacing w:before="200" w:after="283"/>
        <w:jc w:val="both"/>
        <w:rPr>
          <w:rFonts w:ascii="Times New Roman" w:hAnsi="Times New Roman"/>
          <w:sz w:val="20"/>
        </w:rPr>
      </w:pPr>
      <w:r>
        <w:rPr>
          <w:rFonts w:ascii="Times New Roman" w:hAnsi="Times New Roman"/>
          <w:b/>
          <w:i/>
          <w:color w:val="000000"/>
          <w:sz w:val="20"/>
        </w:rPr>
        <w:t>Non-Accrual Loans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there were two and four loans placed on non-accrual status,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more fully described in Note 8, Loan #9 was placed on non-accrual status as of May 1, 2023 and has a carrying value of approximately $29.0 million as of both June 30, 2026 and December 31, 2025. Loan #9 carried a reserve for current expected credit losses of approximately $0.1 million and $0.5 million as of June 30, 2026 and as of December 31, 2025, respectively. In December 2025,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Company collected all past due unpaid interest and the borrower was current on all principal and interest payments. Management restored Loan #9 to accrual status as of March 31, 2026 as the borrower demonstrated sustained ability to meet debt service obligations for a minimum of 60 days.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#6 was placed on non-accrual status as of May 9, 2025 and had an outstanding principal balance and carrying value of approximately $3.2 million as of December 31, 2025. A Default Notice was sent to the borrower on May 9, 2025 specifying certain events of default such as outstanding tax liens and recent non-payment of interest and principal. Loan #6 was repaid in full on April 6,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#4 and Loan #34 were placed on non-accrual status as of December 1, 2025 following periods of non-collection of interest since August 1, 2025. The loan and security agreements governing these loans include cross-default and cross-collateral provisions. During the quarter ended June 30, 2026, the Company collected a payment of approximately $0.1 million related to Loan #34 which was applied to the principal balance given the collection of contractual interest cannot yet be reasonably assured. As of June 30, 2026, Loan #4 and Loan #34 had an aggregate outstanding principal balance and carrying value of approximately $16.5 and $16.6 million as of June 30, 2026 and December 31, 2025, respectively. At the time these loans were placed on non-accrual status $0.9 million of interest receivable was reversed, and interest receivable as of June 30, 2026 and December 31, 2025 is $0.</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Quality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09"/>
        <w:gridCol w:w="9405"/>
      </w:tblGrid>
      <w:tr>
        <w:trPr/>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5" w:type="dxa"/>
            <w:tcBorders/>
            <w:vAlign w:val="center"/>
          </w:tcPr>
          <w:p>
            <w:pPr>
              <w:pStyle w:val="TableContents"/>
              <w:bidi w:val="0"/>
              <w:spacing w:before="0" w:after="283"/>
              <w:jc w:val="left"/>
              <w:rPr>
                <w:sz w:val="4"/>
                <w:szCs w:val="4"/>
              </w:rPr>
            </w:pPr>
            <w:r>
              <w:rPr>
                <w:sz w:val="4"/>
                <w:szCs w:val="4"/>
              </w:rPr>
            </w:r>
          </w:p>
        </w:tc>
      </w:tr>
      <w:tr>
        <w:trPr/>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Rating</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Definition</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low risk</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risk</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Moderate/average risk</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risk/potential for loss: a loan that has a risk of realizing a principal loss</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Impaired/loss likely: a loan that has a high risk of realizing principal loss, has incurred principal loss or an impairment has been recorded</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June 30, 2026 and December 31, 2025 consider borrower specific credit history and performance and reflect a quarterly re-evaluation of overall current macroeconomic conditions affecting the Company’s borrowers, specifically those designated as held for investment.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carrying value, excluding the current expected credit loss reserve (the “CECL Reserve”), of the Company’s loans within each risk rating category by year of origination is as follows:</w:t>
      </w:r>
    </w:p>
    <w:p>
      <w:pPr>
        <w:pStyle w:val="TextBody"/>
        <w:bidi w:val="0"/>
        <w:jc w:val="left"/>
        <w:rPr/>
      </w:pPr>
      <w:r>
        <w:rPr/>
        <w:t> </w:t>
      </w:r>
    </w:p>
    <w:tbl>
      <w:tblPr>
        <w:tblW w:w="8983" w:type="dxa"/>
        <w:jc w:val="left"/>
        <w:tblInd w:w="0" w:type="dxa"/>
        <w:tblLayout w:type="fixed"/>
        <w:tblCellMar>
          <w:top w:w="28" w:type="dxa"/>
          <w:left w:w="28" w:type="dxa"/>
          <w:bottom w:w="28" w:type="dxa"/>
          <w:right w:w="28" w:type="dxa"/>
        </w:tblCellMar>
      </w:tblPr>
      <w:tblGrid>
        <w:gridCol w:w="976"/>
        <w:gridCol w:w="146"/>
        <w:gridCol w:w="196"/>
        <w:gridCol w:w="916"/>
        <w:gridCol w:w="146"/>
        <w:gridCol w:w="196"/>
        <w:gridCol w:w="1006"/>
        <w:gridCol w:w="146"/>
        <w:gridCol w:w="196"/>
        <w:gridCol w:w="916"/>
        <w:gridCol w:w="146"/>
        <w:gridCol w:w="196"/>
        <w:gridCol w:w="916"/>
        <w:gridCol w:w="146"/>
        <w:gridCol w:w="211"/>
        <w:gridCol w:w="989"/>
        <w:gridCol w:w="146"/>
        <w:gridCol w:w="196"/>
        <w:gridCol w:w="1006"/>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As of June 30, 2026 </w:t>
            </w:r>
            <w:r>
              <w:rPr>
                <w:rFonts w:ascii="Times New Roman" w:hAnsi="Times New Roman"/>
                <w:b/>
                <w:color w:val="000000"/>
                <w:sz w:val="12"/>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2022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13,221,830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63,938,354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24,238,360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10,622,220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189,344,847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30,436,033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81,866,260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25,340,451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21,806,736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14,831,113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174,280,593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37,647,568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37,647,568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6,626,809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43,657,863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145,804,614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93,853,188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32,428,956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92,155,196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407,899,817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1051"/>
        <w:gridCol w:w="146"/>
        <w:gridCol w:w="196"/>
        <w:gridCol w:w="1006"/>
        <w:gridCol w:w="146"/>
        <w:gridCol w:w="196"/>
        <w:gridCol w:w="916"/>
        <w:gridCol w:w="146"/>
        <w:gridCol w:w="196"/>
        <w:gridCol w:w="916"/>
        <w:gridCol w:w="146"/>
        <w:gridCol w:w="196"/>
        <w:gridCol w:w="916"/>
        <w:gridCol w:w="146"/>
        <w:gridCol w:w="196"/>
        <w:gridCol w:w="916"/>
        <w:gridCol w:w="146"/>
        <w:gridCol w:w="196"/>
        <w:gridCol w:w="1006"/>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As of December 31, 2025 </w:t>
            </w:r>
            <w:r>
              <w:rPr>
                <w:rFonts w:ascii="Times New Roman" w:hAnsi="Times New Roman"/>
                <w:b/>
                <w:color w:val="000000"/>
                <w:sz w:val="12"/>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56,825,751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43,676,371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43,542,664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170,771,521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104,831,283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52,297,509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42,709,369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201,201,645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19,782,401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161,657,034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95,651,053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62,239,855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43,542,664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45,864,961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408,955,567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are presented by loan origination year with subsequent advances on delayed draw facilities shown in the initial year of origination.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Real estate collateral coverage is also a significant credit quality indicator, and real estate collateral coverage, excluding the CECL Reserve, was as follows as of June 30, 2026 and December 31, 2025:</w:t>
      </w:r>
    </w:p>
    <w:p>
      <w:pPr>
        <w:pStyle w:val="TextBody"/>
        <w:bidi w:val="0"/>
        <w:jc w:val="left"/>
        <w:rPr/>
      </w:pPr>
      <w:r>
        <w:rPr/>
        <w:t> </w:t>
      </w:r>
    </w:p>
    <w:tbl>
      <w:tblPr>
        <w:tblW w:w="10797" w:type="dxa"/>
        <w:jc w:val="left"/>
        <w:tblInd w:w="0" w:type="dxa"/>
        <w:tblLayout w:type="fixed"/>
        <w:tblCellMar>
          <w:top w:w="28" w:type="dxa"/>
          <w:left w:w="28" w:type="dxa"/>
          <w:bottom w:w="28" w:type="dxa"/>
          <w:right w:w="28" w:type="dxa"/>
        </w:tblCellMar>
      </w:tblPr>
      <w:tblGrid>
        <w:gridCol w:w="1171"/>
        <w:gridCol w:w="146"/>
        <w:gridCol w:w="211"/>
        <w:gridCol w:w="1141"/>
        <w:gridCol w:w="146"/>
        <w:gridCol w:w="211"/>
        <w:gridCol w:w="1036"/>
        <w:gridCol w:w="146"/>
        <w:gridCol w:w="211"/>
        <w:gridCol w:w="1141"/>
        <w:gridCol w:w="146"/>
        <w:gridCol w:w="211"/>
        <w:gridCol w:w="1036"/>
        <w:gridCol w:w="146"/>
        <w:gridCol w:w="344"/>
        <w:gridCol w:w="272"/>
        <w:gridCol w:w="146"/>
        <w:gridCol w:w="211"/>
        <w:gridCol w:w="1036"/>
        <w:gridCol w:w="146"/>
        <w:gridCol w:w="211"/>
        <w:gridCol w:w="1141"/>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As of June 30, 2026 </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 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1.0x – 1.25x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1.25x – 1.5x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1.50x – 1.75x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1.75x –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&gt;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68,683,414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29,047,747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169,311,829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112,882,955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109,790,803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15,914,230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238,587,988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181,566,369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68,512,737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109,790,803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29,047,747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407,899,817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692" w:type="dxa"/>
        <w:jc w:val="left"/>
        <w:tblInd w:w="0" w:type="dxa"/>
        <w:tblLayout w:type="fixed"/>
        <w:tblCellMar>
          <w:top w:w="28" w:type="dxa"/>
          <w:left w:w="28" w:type="dxa"/>
          <w:bottom w:w="28" w:type="dxa"/>
          <w:right w:w="28" w:type="dxa"/>
        </w:tblCellMar>
      </w:tblPr>
      <w:tblGrid>
        <w:gridCol w:w="1171"/>
        <w:gridCol w:w="146"/>
        <w:gridCol w:w="211"/>
        <w:gridCol w:w="1141"/>
        <w:gridCol w:w="146"/>
        <w:gridCol w:w="211"/>
        <w:gridCol w:w="1036"/>
        <w:gridCol w:w="146"/>
        <w:gridCol w:w="211"/>
        <w:gridCol w:w="1036"/>
        <w:gridCol w:w="146"/>
        <w:gridCol w:w="211"/>
        <w:gridCol w:w="1036"/>
        <w:gridCol w:w="146"/>
        <w:gridCol w:w="344"/>
        <w:gridCol w:w="272"/>
        <w:gridCol w:w="146"/>
        <w:gridCol w:w="211"/>
        <w:gridCol w:w="1036"/>
        <w:gridCol w:w="146"/>
        <w:gridCol w:w="211"/>
        <w:gridCol w:w="1141"/>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As of December 31, 2025 </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 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1.0x – 1.25x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1.25x – 1.5x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1.50x – 1.75x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1.75x –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&gt;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24,714,544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118,379,752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35,683,291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27,087,360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197,524,730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31,261,738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77,209,093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35,579,303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Real estate collateral coverage is calculated based upon most recent third-party appraised values. The Company generally obtains new appraisals of all material real estate collateral at least once annually.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Geographic concentration of our loans held for investment is also a significant credit quality indicator. As of June 30, 2026 and December 31, 2025, our borrowers have operations in the jurisdictions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1"/>
        <w:gridCol w:w="146"/>
        <w:gridCol w:w="211"/>
        <w:gridCol w:w="1141"/>
        <w:gridCol w:w="146"/>
        <w:gridCol w:w="146"/>
        <w:gridCol w:w="1933"/>
        <w:gridCol w:w="146"/>
        <w:gridCol w:w="1276"/>
        <w:gridCol w:w="146"/>
        <w:gridCol w:w="211"/>
        <w:gridCol w:w="1141"/>
        <w:gridCol w:w="146"/>
        <w:gridCol w:w="146"/>
        <w:gridCol w:w="1979"/>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501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85,272,862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66,516,744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63,648,865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45,458,520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37,520,363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27,316,846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22,068,401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412,125,652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principal balance of the loans not secured by real estate collateral are included in the jurisdiction representing the borrower's principal place of business.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Represents Connecticut, Washington, and New Jersey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evaluates its loans on a collective (pool) basis by aggregating on the basis of similar risk characteristics as explained above. We make the judgment that loans to cannabis-related borrowers that are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may be evaluated as a separate pool. All other loans are analyzed individually, either because they operate in a different industry, may have a different risk profile, or maturities that extend beyond the forecast horizon for which we are able to derive reasonable and supportable forecasts.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including benchmark interest rate fluctuations. The Company also considers loan-specific qualitative factors which may include; among other factors;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operating history, since its incorporation on March 30, 2021. However, the Company’s Sponsor and its affiliates have had operations for the past six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June 30, 2026, to which the Manager may apply a private company discount based on the Company’s current borrower profile.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Regarding the determination of value of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 In order to estimate the future expected loan losses relevant to the Company’s portfolio, the Company utilizes historical market loan loss data obtained from a third-party database for commercial real estate loans, which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believes is a reasonably comparable and available data set to use as an input for its type of loans. The Company believes this dataset to be representative for future credit losses without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period ended June 30, 2026, the Company's CECL Reserve increased by approximately $4.4 million compared to December 31, 2025. On a relative size basis, the CECL reserve represented 2.27% and 1.23% of principal on our loans held for investment as of June 30, 2026 and December 31, 2025 respectively. The period over period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six months ended June 30, 2026, the Company recorded reserves on new originations of approximately $1.1</w:t>
      </w:r>
      <w:r>
        <w:rPr>
          <w:color w:val="000000"/>
        </w:rPr>
        <w:t xml:space="preserve"> </w:t>
      </w:r>
      <w:r>
        <w:rPr>
          <w:rFonts w:ascii="Times New Roman" w:hAnsi="Times New Roman"/>
          <w:color w:val="000000"/>
          <w:sz w:val="20"/>
        </w:rPr>
        <w:t>million, which were offset by $0.8</w:t>
      </w:r>
      <w:r>
        <w:rPr>
          <w:color w:val="000000"/>
        </w:rPr>
        <w:t xml:space="preserve"> </w:t>
      </w:r>
      <w:r>
        <w:rPr>
          <w:rFonts w:ascii="Times New Roman" w:hAnsi="Times New Roman"/>
          <w:color w:val="000000"/>
          <w:sz w:val="20"/>
        </w:rPr>
        <w:t>million of reserves, which existed at December 31, 2025</w:t>
      </w:r>
      <w:r>
        <w:rPr>
          <w:color w:val="000000"/>
        </w:rPr>
        <w:t xml:space="preserve"> </w:t>
      </w:r>
      <w:r>
        <w:rPr>
          <w:rFonts w:ascii="Times New Roman" w:hAnsi="Times New Roman"/>
          <w:color w:val="000000"/>
          <w:sz w:val="20"/>
        </w:rPr>
        <w:t>and were reversed as a result of full loan repayments. The net effect of new originations and full repayments on the CECL reserve was approximately a $0.3</w:t>
      </w:r>
      <w:r>
        <w:rPr>
          <w:color w:val="000000"/>
        </w:rPr>
        <w:t xml:space="preserve"> </w:t>
      </w:r>
      <w:r>
        <w:rPr>
          <w:rFonts w:ascii="Times New Roman" w:hAnsi="Times New Roman"/>
          <w:color w:val="000000"/>
          <w:sz w:val="20"/>
        </w:rPr>
        <w:t>million increase.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CECL reserve relating to loans with a risk rating of "2" and "3" was $4.6</w:t>
      </w:r>
      <w:r>
        <w:rPr>
          <w:color w:val="000000"/>
        </w:rPr>
        <w:t xml:space="preserve"> </w:t>
      </w:r>
      <w:r>
        <w:rPr>
          <w:rFonts w:ascii="Times New Roman" w:hAnsi="Times New Roman"/>
          <w:color w:val="000000"/>
          <w:sz w:val="20"/>
        </w:rPr>
        <w:t>million or 1.2% of outstanding principal of such loans, as of June 30, 2026</w:t>
      </w:r>
      <w:r>
        <w:rPr>
          <w:color w:val="000000"/>
        </w:rPr>
        <w:t xml:space="preserve"> </w:t>
      </w:r>
      <w:r>
        <w:rPr>
          <w:rFonts w:ascii="Times New Roman" w:hAnsi="Times New Roman"/>
          <w:color w:val="000000"/>
          <w:sz w:val="20"/>
        </w:rPr>
        <w:t>and $2.9</w:t>
      </w:r>
      <w:r>
        <w:rPr>
          <w:color w:val="000000"/>
        </w:rPr>
        <w:t xml:space="preserve"> </w:t>
      </w:r>
      <w:r>
        <w:rPr>
          <w:rFonts w:ascii="Times New Roman" w:hAnsi="Times New Roman"/>
          <w:color w:val="000000"/>
          <w:sz w:val="20"/>
        </w:rPr>
        <w:t>million or 0.8% of outstanding principal of such loans, as of December 31, 2025 Management notes that loans risk rated "2" and "3" are generally deemed to be performing loans and generally carry similar CECL reserves.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CECL reserve for loans included in risk rating "4" was $3.7</w:t>
      </w:r>
      <w:r>
        <w:rPr>
          <w:color w:val="000000"/>
        </w:rPr>
        <w:t xml:space="preserve"> </w:t>
      </w:r>
      <w:r>
        <w:rPr>
          <w:rFonts w:ascii="Times New Roman" w:hAnsi="Times New Roman"/>
          <w:color w:val="000000"/>
          <w:sz w:val="20"/>
        </w:rPr>
        <w:t>million or 9.8% of outstanding principal of such loans, as of June 30, 2026</w:t>
      </w:r>
      <w:r>
        <w:rPr>
          <w:color w:val="000000"/>
        </w:rPr>
        <w:t xml:space="preserve"> </w:t>
      </w:r>
      <w:r>
        <w:rPr>
          <w:rFonts w:ascii="Times New Roman" w:hAnsi="Times New Roman"/>
          <w:color w:val="000000"/>
          <w:sz w:val="20"/>
        </w:rPr>
        <w:t>and $2.2</w:t>
      </w:r>
      <w:r>
        <w:rPr>
          <w:color w:val="000000"/>
        </w:rPr>
        <w:t xml:space="preserve"> </w:t>
      </w:r>
      <w:r>
        <w:rPr>
          <w:rFonts w:ascii="Times New Roman" w:hAnsi="Times New Roman"/>
          <w:color w:val="000000"/>
          <w:sz w:val="20"/>
        </w:rPr>
        <w:t>million or 11.3% of outstanding principal of such loans, as of December 31, 2025. The increase during the period primarily relates to Loan #36, which has a CECL reserve of $1.8</w:t>
      </w:r>
      <w:r>
        <w:rPr>
          <w:color w:val="000000"/>
        </w:rPr>
        <w:t xml:space="preserve"> </w:t>
      </w:r>
      <w:r>
        <w:rPr>
          <w:rFonts w:ascii="Times New Roman" w:hAnsi="Times New Roman"/>
          <w:color w:val="000000"/>
          <w:sz w:val="20"/>
        </w:rPr>
        <w:t>million as of June 30, 2026. Loans that are risk rated "4" are high risk for potential loss and require regular monitoring. One loan was included in risk rating "5", Loan #4, which is on non-accrual.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Loans remaining on non-accrual, specifically Loan #4 and Loan #34, resulted in a $1.2</w:t>
      </w:r>
      <w:r>
        <w:rPr>
          <w:color w:val="000000"/>
        </w:rPr>
        <w:t xml:space="preserve"> </w:t>
      </w:r>
      <w:r>
        <w:rPr>
          <w:rFonts w:ascii="Times New Roman" w:hAnsi="Times New Roman"/>
          <w:color w:val="000000"/>
          <w:sz w:val="20"/>
        </w:rPr>
        <w:t>million increase to the CECL reserve compared to December 31, 2025. This was primarily due to LTV increasing to 92.9% as of June 30, 2026</w:t>
      </w:r>
      <w:r>
        <w:rPr>
          <w:color w:val="000000"/>
        </w:rPr>
        <w:t xml:space="preserve"> </w:t>
      </w:r>
      <w:r>
        <w:rPr>
          <w:rFonts w:ascii="Times New Roman" w:hAnsi="Times New Roman"/>
          <w:color w:val="000000"/>
          <w:sz w:val="20"/>
        </w:rPr>
        <w:t>from 69.6% as of December 31, 2025 and deteriorating fixed charge coverage ratio ("FCCR"). When the loans were placed on non-accrual status in December 2025, an aggregate of $0.9</w:t>
      </w:r>
      <w:r>
        <w:rPr>
          <w:color w:val="000000"/>
        </w:rPr>
        <w:t xml:space="preserve"> </w:t>
      </w:r>
      <w:r>
        <w:rPr>
          <w:rFonts w:ascii="Times New Roman" w:hAnsi="Times New Roman"/>
          <w:color w:val="000000"/>
          <w:sz w:val="20"/>
        </w:rPr>
        <w:t>million of accrued interest receivable was reversed. The non-performing nature of these loans as of June 30, 2026 is a key input to the Company's CECL analysis.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CECL reserve relating to Loan #36 increased $1.5</w:t>
      </w:r>
      <w:r>
        <w:rPr>
          <w:color w:val="000000"/>
        </w:rPr>
        <w:t xml:space="preserve"> </w:t>
      </w:r>
      <w:r>
        <w:rPr>
          <w:rFonts w:ascii="Times New Roman" w:hAnsi="Times New Roman"/>
          <w:color w:val="000000"/>
          <w:sz w:val="20"/>
        </w:rPr>
        <w:t>million during the six months ended June 30, 2026. LTV increased to 107.2% as of June 30, 2026</w:t>
      </w:r>
      <w:r>
        <w:rPr>
          <w:color w:val="000000"/>
        </w:rPr>
        <w:t xml:space="preserve"> </w:t>
      </w:r>
      <w:r>
        <w:rPr>
          <w:rFonts w:ascii="Times New Roman" w:hAnsi="Times New Roman"/>
          <w:color w:val="000000"/>
          <w:sz w:val="20"/>
        </w:rPr>
        <w:t>from 65.3% as of December 31, 2025. Payments were delayed during the three months ended March 31, 2026, which resulted in deterioration in debt service coverage ratios. The Company collected all past due interest in early April 2026. In May 2026, Loan #36 was amended to 0% cash, 7.5% default interest and 13.75% PIK and Management kept Loan #36 on accrual status as of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related to the CECL Reserve for outstanding balances and unfunded commitments on the Company’s loans held at carrying value and loans receivable at carrying value as of and for the three months ended June 30, 2026 and 2025 is presented in the table below.</w:t>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3601"/>
        <w:gridCol w:w="146"/>
        <w:gridCol w:w="211"/>
        <w:gridCol w:w="931"/>
        <w:gridCol w:w="146"/>
        <w:gridCol w:w="146"/>
        <w:gridCol w:w="211"/>
        <w:gridCol w:w="781"/>
        <w:gridCol w:w="146"/>
        <w:gridCol w:w="146"/>
        <w:gridCol w:w="211"/>
        <w:gridCol w:w="931"/>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Unfunded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5,123,492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9,370,918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9,512,637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4336"/>
        <w:gridCol w:w="146"/>
        <w:gridCol w:w="211"/>
        <w:gridCol w:w="931"/>
        <w:gridCol w:w="146"/>
        <w:gridCol w:w="146"/>
        <w:gridCol w:w="217"/>
        <w:gridCol w:w="699"/>
        <w:gridCol w:w="166"/>
        <w:gridCol w:w="146"/>
        <w:gridCol w:w="211"/>
        <w:gridCol w:w="93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Unfunded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4,421,348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4,466,455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same period. For the loan placed on non-accrual, the Company ceased accruing interest on the first date of delinquency, based on expectation of its ability to collect all amounts then due from the borrower. As a result, there was no accrued interest to write-off when the loan was placed on non-accrual status.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LOANS, AT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loan held at fair value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1"/>
        <w:gridCol w:w="1046"/>
        <w:gridCol w:w="1243"/>
        <w:gridCol w:w="266"/>
        <w:gridCol w:w="1312"/>
        <w:gridCol w:w="146"/>
        <w:gridCol w:w="236"/>
        <w:gridCol w:w="1162"/>
        <w:gridCol w:w="146"/>
        <w:gridCol w:w="211"/>
        <w:gridCol w:w="1036"/>
        <w:gridCol w:w="146"/>
        <w:gridCol w:w="1123"/>
        <w:gridCol w:w="1561"/>
      </w:tblGrid>
      <w:tr>
        <w:trPr/>
        <w:tc>
          <w:tcPr>
            <w:tcW w:w="57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Loan</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Periodic Payment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5/22/2028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P+5.25%</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I/O</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Subtotal</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the Company, through its wholly-owned subsidiary, Chicago Atlantic Lincoln, LLC, originated a $41.0 million second-lien secured term loan to a related party, which is included within Loans, at fair value - related party on the consolidated balance sheet. Further, all interest collected on this loan is included within interest income on the income statement.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bears interest at the Prime Rate plus 5.25% per annum, subject to a Prime Rate floor of 6.75%, resulting in an all-in interest rate of 12.00% as of June 30, 2026. The aggregate commitment under this loan was approximately $41.0 million. The loan is current on all interest and principal payments due.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Loan is secured by a second-priority mortgage and a second-priority lien on all personal property, fixtures, leases, and rents of the borrower. The Company elected the fair value option for this asset due to other indebtedness of the borrower that is senior to our loan and the potential sale of the asset which was contemplated at the time of underwriting. Both of these factors contributed to management's uncertainty with respect to the intent to hold the loan to maturity or payoff. See Note 13 for additional information on fair value measurement. </w:t>
      </w:r>
    </w:p>
    <w:p>
      <w:pPr>
        <w:pStyle w:val="TextBody"/>
        <w:bidi w:val="0"/>
        <w:jc w:val="both"/>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INTEREST RECEIVABLE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interest receivable of approximately $5.1 million and $4.0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categorize the aging of interest receivable on past due loans (including non-accrual loans) by class as of June 30, 2026 and December 31, 2025, respectively:</w:t>
      </w:r>
    </w:p>
    <w:p>
      <w:pPr>
        <w:pStyle w:val="TextBody"/>
        <w:bidi w:val="0"/>
        <w:jc w:val="left"/>
        <w:rPr/>
      </w:pPr>
      <w:r>
        <w:rPr/>
        <w:t> </w:t>
      </w:r>
    </w:p>
    <w:tbl>
      <w:tblPr>
        <w:tblW w:w="10294" w:type="dxa"/>
        <w:jc w:val="left"/>
        <w:tblInd w:w="0" w:type="dxa"/>
        <w:tblLayout w:type="fixed"/>
        <w:tblCellMar>
          <w:top w:w="28" w:type="dxa"/>
          <w:left w:w="28" w:type="dxa"/>
          <w:bottom w:w="28" w:type="dxa"/>
          <w:right w:w="28" w:type="dxa"/>
        </w:tblCellMar>
      </w:tblPr>
      <w:tblGrid>
        <w:gridCol w:w="961"/>
        <w:gridCol w:w="146"/>
        <w:gridCol w:w="211"/>
        <w:gridCol w:w="931"/>
        <w:gridCol w:w="14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931"/>
        <w:gridCol w:w="146"/>
        <w:gridCol w:w="146"/>
        <w:gridCol w:w="211"/>
        <w:gridCol w:w="781"/>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Current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31-60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Days</w:t>
              <w:br/>
              <w:t>Past Due</w:t>
              <w:br/>
              <w:t>(and accruing)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w:t>
              <w:br/>
              <w:t>Accrual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4,397,745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5,077,545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679,800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3"/>
        <w:gridCol w:w="146"/>
        <w:gridCol w:w="211"/>
        <w:gridCol w:w="931"/>
        <w:gridCol w:w="146"/>
        <w:gridCol w:w="146"/>
        <w:gridCol w:w="295"/>
        <w:gridCol w:w="485"/>
        <w:gridCol w:w="146"/>
        <w:gridCol w:w="146"/>
        <w:gridCol w:w="433"/>
        <w:gridCol w:w="341"/>
        <w:gridCol w:w="146"/>
        <w:gridCol w:w="146"/>
        <w:gridCol w:w="691"/>
        <w:gridCol w:w="544"/>
        <w:gridCol w:w="146"/>
        <w:gridCol w:w="146"/>
        <w:gridCol w:w="296"/>
        <w:gridCol w:w="487"/>
        <w:gridCol w:w="146"/>
        <w:gridCol w:w="146"/>
        <w:gridCol w:w="211"/>
        <w:gridCol w:w="931"/>
        <w:gridCol w:w="146"/>
        <w:gridCol w:w="146"/>
        <w:gridCol w:w="437"/>
        <w:gridCol w:w="344"/>
        <w:gridCol w:w="197"/>
      </w:tblGrid>
      <w:tr>
        <w:trPr/>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Current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31-60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61-90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Days</w:t>
              <w:br/>
              <w:t>Past Due</w:t>
              <w:br/>
              <w:t>(and accruing)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w:t>
              <w:br/>
              <w:t>Accrual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INTEREST RESERVE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changes in interest reserves as of June 30, 2026 and December 31,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1681"/>
        <w:gridCol w:w="146"/>
        <w:gridCol w:w="235"/>
        <w:gridCol w:w="1040"/>
        <w:gridCol w:w="166"/>
        <w:gridCol w:w="146"/>
        <w:gridCol w:w="302"/>
        <w:gridCol w:w="1423"/>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Reserves disbursed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2,530,183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DEBT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Revolving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May 2021, in connection with the Company's acquisition of its wholly-owned financing subsidiary, CAL, the Company was assigned a secured revolving credit facility (the "Revolving Loan"). As of December 31, 2024, the Revolving Loan was governed by the Sixth Amended and Restated Loan and Security Agreement (the "Sixth Amendment and Restatement"), had an aggregate commitment of $110.0 million, which may be increased to $150.0 million pursuant to its accordion feature, and had a maturity date of June 30, 2026. The Revolving Loan bore interest, payable in cash in arrears, at a per annum rate equal to the greater of (1) the Prime Rate plus the applicable margin and (2) 3.25%. The applicable margin is derived from a floating rate grid based upon the ratio of debt to book equity of CAL and increases from 0% at a ratio of 0.25 to 1 to 1.25% at a ratio of 1.5 to 1. The base interest rate in effect as of June 30, 2026 is 6.75%.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Revolving Loan has aggregate commitments of $110.0 million, which may be increased to $150.0 million pursuant to its accordion feature, and has a maturity date of June 30, 2028.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June 30, 2026, the Company is in compliance with all financial covenants with respect to the Revolving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unamortized debt issuance costs related to the Revolving Loan, including all amendments and restatements thereto, as applicable, of $197,297 and $246,620, respectively, are recorded in other receivables and assets, net on the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the Company received net proceeds of $42.0 million on the Revolving Loan. As of June 30, 2026, the Company had $91.1 million outstanding and $19.0 million of borrowing available under the Revolving Loan. Additionally, as of June 30, 2026, $216.9 million of loans held for investment, at principal, are pledged as collateral in the borrowing base of the Revolving Loan.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Notes Payable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 As of June 30, 2026 and December 31, 2025, the unamortized debt issuance costs associated with the Notes Payable were $547,449 and $665,541,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June 30, 2026, the Company is in compliance with all financial covenants with respect to the Unsecured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mandatory scheduled principal payments on the Unsecured Notes:</w:t>
      </w:r>
    </w:p>
    <w:p>
      <w:pPr>
        <w:pStyle w:val="TextBody"/>
        <w:bidi w:val="0"/>
        <w:spacing w:before="200" w:after="283"/>
        <w:jc w:val="both"/>
        <w:rPr/>
      </w:pPr>
      <w:r>
        <w:rPr/>
        <w:t> </w:t>
      </w:r>
    </w:p>
    <w:tbl>
      <w:tblPr>
        <w:tblW w:w="6208" w:type="dxa"/>
        <w:jc w:val="left"/>
        <w:tblInd w:w="0" w:type="dxa"/>
        <w:tblLayout w:type="fixed"/>
        <w:tblCellMar>
          <w:top w:w="28" w:type="dxa"/>
          <w:left w:w="28" w:type="dxa"/>
          <w:bottom w:w="28" w:type="dxa"/>
          <w:right w:w="28" w:type="dxa"/>
        </w:tblCellMar>
      </w:tblPr>
      <w:tblGrid>
        <w:gridCol w:w="4546"/>
        <w:gridCol w:w="146"/>
        <w:gridCol w:w="220"/>
        <w:gridCol w:w="1085"/>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issuance costs included in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49,452,551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reflects a summary of interest expense incurred during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1"/>
        <w:gridCol w:w="146"/>
        <w:gridCol w:w="213"/>
        <w:gridCol w:w="943"/>
        <w:gridCol w:w="146"/>
        <w:gridCol w:w="146"/>
        <w:gridCol w:w="216"/>
        <w:gridCol w:w="956"/>
        <w:gridCol w:w="146"/>
        <w:gridCol w:w="146"/>
        <w:gridCol w:w="219"/>
        <w:gridCol w:w="968"/>
        <w:gridCol w:w="146"/>
        <w:gridCol w:w="146"/>
        <w:gridCol w:w="213"/>
        <w:gridCol w:w="943"/>
        <w:gridCol w:w="146"/>
        <w:gridCol w:w="146"/>
        <w:gridCol w:w="216"/>
        <w:gridCol w:w="956"/>
        <w:gridCol w:w="146"/>
        <w:gridCol w:w="146"/>
        <w:gridCol w:w="219"/>
        <w:gridCol w:w="968"/>
        <w:gridCol w:w="198"/>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1,924,126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1,181,220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1,181,220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2,077,048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3,836,456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220,458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2,075,380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4,424,979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2,362,602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4,142,430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RELATED PARTY TRANSACTIONS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Management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initial term of our Management Agreement was three years. After the initial term, our Management Agreement shall automatically renew every year for an additional one-year period, unless we or our Manager elect not to renew. Our Management Agreement may be terminated by us or our Manager under certain specified circumstances. Most recently on April 30, 2026, the Management Agreement was automatically renewed.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six months ended June 30, 2026, the Base Management Fee payable was reduced by Outside Fees in the amount of $107,500. For the three and six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months ended June 30, 2025, the Base Management Fee payable was reduced by Outside Fees in the amount of $133,046 and $136,617,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Base Management Fee, the Manager is entitled to receive incentive compensation (the “Incentive Compensation” or “Incentive Fees”) under the Management Agreement. The Company will pay Incentive Fees to the Manager based upon the Company’s achievement of targeted levels of Core Earnings, as defined in the Management Agreement. Incentive compensation for the three months ended June 30, 2026 and 2025 was $0.8 million and $0.7 million, respectively. Incentive compensation for the six months ended June 30, 2026 and 2025 was $1.0 and $1.4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related party fees and expenses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1"/>
        <w:gridCol w:w="146"/>
        <w:gridCol w:w="239"/>
        <w:gridCol w:w="1058"/>
        <w:gridCol w:w="188"/>
        <w:gridCol w:w="165"/>
        <w:gridCol w:w="239"/>
        <w:gridCol w:w="1058"/>
        <w:gridCol w:w="166"/>
        <w:gridCol w:w="146"/>
        <w:gridCol w:w="229"/>
        <w:gridCol w:w="1013"/>
        <w:gridCol w:w="180"/>
        <w:gridCol w:w="158"/>
        <w:gridCol w:w="229"/>
        <w:gridCol w:w="1013"/>
        <w:gridCol w:w="217"/>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Affiliate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1,187,052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2,436,848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Outside Fees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(136,617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2,280,555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2,300,231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524,776</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1,043,268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1,368,259</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management and incentive 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1,604,328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3,323,823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 reimbursable to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1,395,641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2,424,700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2,304,556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5,748,523</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5,973,046</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amounts payable to the Manager as of June 30, 2026 and December 31, 2025:</w:t>
      </w:r>
    </w:p>
    <w:p>
      <w:pPr>
        <w:pStyle w:val="TextBody"/>
        <w:bidi w:val="0"/>
        <w:jc w:val="left"/>
        <w:rPr/>
      </w:pPr>
      <w:r>
        <w:rPr/>
        <w:t> </w:t>
      </w:r>
    </w:p>
    <w:tbl>
      <w:tblPr>
        <w:tblW w:w="8790" w:type="dxa"/>
        <w:jc w:val="left"/>
        <w:tblInd w:w="0" w:type="dxa"/>
        <w:tblLayout w:type="fixed"/>
        <w:tblCellMar>
          <w:top w:w="28" w:type="dxa"/>
          <w:left w:w="28" w:type="dxa"/>
          <w:bottom w:w="28" w:type="dxa"/>
          <w:right w:w="28" w:type="dxa"/>
        </w:tblCellMar>
      </w:tblPr>
      <w:tblGrid>
        <w:gridCol w:w="5161"/>
        <w:gridCol w:w="146"/>
        <w:gridCol w:w="235"/>
        <w:gridCol w:w="1040"/>
        <w:gridCol w:w="146"/>
        <w:gridCol w:w="146"/>
        <w:gridCol w:w="318"/>
        <w:gridCol w:w="1407"/>
        <w:gridCol w:w="1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payable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1,079,552</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1,034,149</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2,064,427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and incentive fees payable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1,604,328</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3,098,576</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 reimbursable to Manager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3,665,756</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5,313,496</w:t>
            </w:r>
          </w:p>
        </w:tc>
        <w:tc>
          <w:tcPr>
            <w:tcW w:w="19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administrative expenses reimbursable to the Manager are included in the related party payable line item of the consolidated balance sheets as of June 30, 2026 and December 31,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Transaction Expenses - Proposed Merger with Chicago Atlantic BDC,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more fully described in Note 16, on June 17, 2026, the Company entered into a definitive merger agreement with Chicago Atlantic BDC, Inc. ("LIEN"). Pursuant to the merger agreement, transaction expenses incurred in connection with the merger generally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shared equally between the Company and LIEN, except for specified SEC and printing and mailing costs. Additionally, our Manager has agreed to bear up to $2.0 million of the Company's share of such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June 30, 2026, the Company's allocable share of transaction expenses relating to the proposed merger was approximately $1.3 million, all of which shall be borne by our Manager. Accordingly, as of June 30, 2026, approximately $0.7 million of any transaction expenses remain payable by the Manager, and any excess will be borne by the Company.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Co-Investment in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June 30, 2026 and December 31, 2025, 69% and 55% of the Company’s loans, based on outstanding principal balance were co-invested by affiliates of the Company,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and six month periods ended June 30, 2026 and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Investment Transaction with Affiliated Fund</w:t>
      </w:r>
    </w:p>
    <w:p>
      <w:pPr>
        <w:pStyle w:val="TextBody"/>
        <w:bidi w:val="0"/>
        <w:spacing w:before="200" w:after="180"/>
        <w:jc w:val="both"/>
        <w:rPr>
          <w:rFonts w:ascii="Times New Roman" w:hAnsi="Times New Roman"/>
          <w:color w:val="000000"/>
          <w:sz w:val="20"/>
        </w:rPr>
      </w:pPr>
      <w:r>
        <w:rPr>
          <w:rFonts w:ascii="Times New Roman" w:hAnsi="Times New Roman"/>
          <w:color w:val="000000"/>
          <w:sz w:val="20"/>
        </w:rPr>
        <w:t xml:space="preserve">On June 1, 2026, the Audit Committee of the Board of Directors, by unanimous written consent, approved a non-cash exchange of loans by and between the Company and Chicago Atlantic Credit Opportunities, LLC and subsidiaries ("CACO"), an affiliated private investment fund under common control with the Manager (the "Exchange"). The Exchange closed during the three months ended June 30, 2026 (the “Exchange Date”). In connection therewith, the Company transferred one loan with a fair value of approximately $27.1 million and received five loans, with the loans transferred by each party having equal aggregate fair value as of the Exchange Date, as determined in good faith by management consistent with the Company’s fair value policies and procedures. No cash consideration was paid or received, and the Exchange resulted in no net cash outflow to the Company. </w:t>
      </w:r>
    </w:p>
    <w:p>
      <w:pPr>
        <w:pStyle w:val="TextBody"/>
        <w:bidi w:val="0"/>
        <w:spacing w:before="20" w:after="180"/>
        <w:jc w:val="both"/>
        <w:rPr>
          <w:rFonts w:ascii="Times New Roman" w:hAnsi="Times New Roman"/>
          <w:color w:val="000000"/>
          <w:sz w:val="20"/>
        </w:rPr>
      </w:pPr>
      <w:r>
        <w:rPr>
          <w:rFonts w:ascii="Times New Roman" w:hAnsi="Times New Roman"/>
          <w:color w:val="000000"/>
          <w:sz w:val="20"/>
        </w:rPr>
        <w:t>Because the loans exchanged are financial assets, the Company accounted for the Exchange as a transfer of financial assets under ASC Topic 860, Transfers and Servicing. The Company reclassified the transferred loan from held for investment to held for sale during the quarter, reversing the related current expected credit loss reserve of approximately $0.3 million as a benefit to the provision for current expected credit losses and measuring the loan at the lower of amortized cost or fair value. As the loan was transferred at its fair value, no material gain or loss was recognized on derecognition, and because the decision to sell and the closing occurred in the same quarter, no held-for-sale balance related to the Exchange remained as of June 30, 2026. The five loans received were recorded at fair value as consideration received and, as the Company has the intent and ability to hold them until maturity or payoff, were classified as held for investment as of June 30, 2026 and are carried at amortized cost subject to the Company’s current expected credit loss reserve thereafter.</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Loans held for investment – related party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borrower of Loan #9, Hive Holdings, Inc. and its subsidiaries (“Hive”), is a portfolio company with operations in the commonwealth of Pennsylvania. Certain private investment funds managed by affiliates of the Company's Manager can exercise significant influence over Hive by virtue of their controlling equity investment in Hive, as further explained below. Accordingly, Hive is deemed to be a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31, 2025, following events of default under the Hive loan agreement, the Company and the other lenders party thereto, completed a foreclosure proceeding, executed by the Administrative Agent ("Agent") of the loan. In connection therewith, the Company extinguished the original term loan and the Agent distributed the assets acquired from the foreclosure, on a pro-rata fair value basis, to the Lenders pursuant to an Agreement Among Lenders by and between the Agent and Lenders (the "AAL"). Pursuant to the AAL, the affiliated co-lender received rights to the membership interests of Hive acquired in the UCC sale. Further pursuant to the AAL, in satisfaction of the original loan, the Company now holds two loans with an aggregate principal balance of approximately $29.1 million, comprised of a $14.6 million first lien judgment loan (the "Judgment Loan") and a $14.5 million second lien term loan (the "Term Loan"). 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equity of the borrower credit parties, Loan #9 is determined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related party loan. For comparability to all previously issued financial statements, the Judgment Loan and the Term Loan, collectively, are presented as Loan #9 in Note 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the Company advanced approximately $12.6 million of gross principal to the borrower of Loan #9. The use of proceeds of the advance included: (a) the acquisition of three operational dispensaries and (b) the payment of all past due accrued and unpaid interest and fees totaling approximately $1.7 million owed on existing senior indebtedness through December 31, 2025. In connection therewith, the borrower was brought to current on all interest and payments through December 31, 2025. Management elected to restore Loan #9 to accrual status as of March 31, 2026 as the borrower was able to demonstrate sustained ability to meet debt service obligations under both the Judgment Loan and the Term Loan and continued to make interest payments as of June 30, 2026. During the six months ended June 30, 2026, the Company made no incremental advances under the aforementioned loans. As of June 30, 2026, Loan #9 is held on the consolidated balance sheets as a loan held for investment - related party with a carrying value, before CECL reserves of approximately $29.0 million.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#18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borrower of Loan #18, FarmaceuticalRX, LLC (an Ohio limited liability company) and its subsidiaries and affiliates (“FRX”), is a portfolio company operating in the state of Ohio. Certain common control affiliates of the Company can exercise significant influence over certain credit parties to the Loan Agreement with FRX by virtue of voting representation on its board of managers and is therefore a related party. During the period ended June 30, 2026 and December 31, 2025, the Company made principal advances of $0. As of June 30, 2026 and December 31, 2025, the carrying value of $48.4 million and $47.1 million, respectively, is included in the line item, “Loans held for investment – related party” and had interest receivable of $0.7 million as of each period, on its loan to FRX. All accrued interest as of both June 30, 2026 and December 31, 2025 is current (Note 4).</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Loan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borrower of Loan #48, FarmaceuticalRX, LLC (a Pennsylvania limited liability company) and its subsidiaries and affiliates (“FRX PA”), is a portfolio company with operations in the commonwealth of Pennsylvania. Certain common control affiliates of the Company can exercise significant influence over certain credit parties to the Loan Agreement with FRX PA by virtue of convertible features embedded in other investments made by affiliates in FRX PA that, when converted provide for controlling interest in certain credit parties to the Company's loan. Accordingly, FRX PA is deemed to be a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Loan #48 has an outstanding principal balance of approximately $13.2 million, bears interest at a rate of Prime + 4.5% cash and 4.0% PIK per annum, and has a contractual maturity date of April 8, 2030. As of June 30, 2026, the interest receivable balance was $0.1 million.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#50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aforementioned Exchange, the Company acquired a term loan, Loan #50, to Intrinsic Manufacturing &amp; Processing, LLC (“Intrinsic”) with a principal balance and fair value of $12,922,248 and $12,768,066, respectively, as of the Exchange Date. Affiliates of the Company through common control relationships with the Manager, are co-invested in the subject loan and also beneficially hold equity interests in this portfolio company. As of June 30, 2026, the interest receivable balance was $0.1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Intrinsic is owned by David Kite, the Company’s President and Chief Operating Officer, who holds such interest as nominee for CACO. Pursuant to a written nominee agreement between Mr. Kite and CACO, the entire economic and beneficial interest in Intrinsic, including all economic risks and rewards of ownership, are attributable to CACO. Mr. Kite has recused himself from all deliberations regarding the acquisition of this loan and the transaction was subject to the review and approval of the Audit Committee in connection with the Exchange.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#51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26, 2026, the Company entered into a second-lien secured mortgage loan to 256 County Route 117 Perth, LLC, a property-holding company which is a wholly-owned indirect subsidiary of Vireo Growth, Inc ("Vireo"). Loan #51 has a principal balance of $41.0 million as of June 30, 2026 and bears interest at a rate of Prime plus 5.25% cash per annum, has a 24 month maturity, and is second-lien secured by a cultivation property in New York. As of June 30, 2026, the interest receivable balance was $0.4 million.</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John Mazarakis, who serves the Company's Executive Chairman of the Board, was appointed in December 2024 to serve as Chief Executive Officer and Co-Executive Chairman of the Board of Vireo. Certain affiliated investment funds that are managed by entities under common control with our Manager, and for which Mr. Mazarakis can exercise significant influence, also hold material equity interests in Vireo. Mr. Mazarakis has agreed to recuse himself from all matters that involve us, Vireo, and other target portfolio companies ancillary thereto; including as it relates to any actions that would arise, including exercise of rights and remedies under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credit agreements, if Vireo were to default on any potential obligations to us or if a similar material event occurred that presented a direct conflict between us and Vireo. As a result of the relationship between the Company and Vireo, the Company considers the origination of this loan to be a related party transaction and was subject to the review and approval by the Audit Committee.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described in Note 4, at the time of origination the Company elected the fair value option for this asset due to other indebtedness of the borrower that is senior to our loan and the potential sale of the asset which was contemplated at the time of underwriting. Both of these factors contributed to management's uncertainty with respect to the intent to hold the loan to maturity or payoff. Accordingly, upfront fees in the amount of approximately $0.8 million were recognized in earnings during three months ended June 30, 2026 and not deferred.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June 30, 2026 and December 31, 2025, the Company had unfunded commitments on existing loans of $2.4 million and $31.1 million,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Refer to “Note 3 - Loans Held for Investment, Net” for further information regarding the CECL Reserve attributed to unfunded commitments. Total original loan commitments include the impact of principal payments received since origination of the loan and future amounts to be advanced at sole discretion of the lender.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material commitments as of June 30, 2026:</w:t>
      </w:r>
    </w:p>
    <w:p>
      <w:pPr>
        <w:pStyle w:val="TextBody"/>
        <w:bidi w:val="0"/>
        <w:jc w:val="left"/>
        <w:rPr/>
      </w:pPr>
      <w:r>
        <w:rPr/>
        <w:t> </w:t>
      </w:r>
    </w:p>
    <w:tbl>
      <w:tblPr>
        <w:tblW w:w="8699" w:type="dxa"/>
        <w:jc w:val="left"/>
        <w:tblInd w:w="0" w:type="dxa"/>
        <w:tblLayout w:type="fixed"/>
        <w:tblCellMar>
          <w:top w:w="28" w:type="dxa"/>
          <w:left w:w="28" w:type="dxa"/>
          <w:bottom w:w="28" w:type="dxa"/>
          <w:right w:w="28" w:type="dxa"/>
        </w:tblCellMar>
      </w:tblPr>
      <w:tblGrid>
        <w:gridCol w:w="1786"/>
        <w:gridCol w:w="146"/>
        <w:gridCol w:w="196"/>
        <w:gridCol w:w="826"/>
        <w:gridCol w:w="146"/>
        <w:gridCol w:w="146"/>
        <w:gridCol w:w="252"/>
        <w:gridCol w:w="214"/>
        <w:gridCol w:w="146"/>
        <w:gridCol w:w="146"/>
        <w:gridCol w:w="196"/>
        <w:gridCol w:w="826"/>
        <w:gridCol w:w="146"/>
        <w:gridCol w:w="146"/>
        <w:gridCol w:w="252"/>
        <w:gridCol w:w="214"/>
        <w:gridCol w:w="146"/>
        <w:gridCol w:w="146"/>
        <w:gridCol w:w="252"/>
        <w:gridCol w:w="214"/>
        <w:gridCol w:w="146"/>
        <w:gridCol w:w="146"/>
        <w:gridCol w:w="252"/>
        <w:gridCol w:w="214"/>
        <w:gridCol w:w="146"/>
        <w:gridCol w:w="146"/>
        <w:gridCol w:w="495"/>
        <w:gridCol w:w="42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Undrawn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2,355,293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2,355,293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from time to time may be a party to litigation in the normal course of business. As of June 30, 2026, the Company is not aware of any legal claims that could materially impact its business,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Concurrent with our IPO, the Company established the 2021 Plan, which is administered by the Compensation Committee of the Board.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("RSA's")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0 and 6,469 shares forfeited during the six months ended June 30, 2026 and 2025, respectively. As individual awards and options become fully vested, stock-based compensation expense is adjusted to recognize actual forfeitures.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closing market price of our common stock on June 30, 2026 and December 31, 2025 of $10.72 and $12.26, respectively, the aggregate intrinsic value of our restricted stock awards was as follows:</w:t>
      </w:r>
    </w:p>
    <w:p>
      <w:pPr>
        <w:pStyle w:val="TextBody"/>
        <w:bidi w:val="0"/>
        <w:jc w:val="left"/>
        <w:rPr/>
      </w:pPr>
      <w:r>
        <w:rPr/>
        <w:t> </w:t>
      </w:r>
    </w:p>
    <w:tbl>
      <w:tblPr>
        <w:tblW w:w="8357" w:type="dxa"/>
        <w:jc w:val="left"/>
        <w:tblInd w:w="0" w:type="dxa"/>
        <w:tblLayout w:type="fixed"/>
        <w:tblCellMar>
          <w:top w:w="28" w:type="dxa"/>
          <w:left w:w="28" w:type="dxa"/>
          <w:bottom w:w="28" w:type="dxa"/>
          <w:right w:w="28" w:type="dxa"/>
        </w:tblCellMar>
      </w:tblPr>
      <w:tblGrid>
        <w:gridCol w:w="2376"/>
        <w:gridCol w:w="346"/>
        <w:gridCol w:w="211"/>
        <w:gridCol w:w="931"/>
        <w:gridCol w:w="146"/>
        <w:gridCol w:w="146"/>
        <w:gridCol w:w="211"/>
        <w:gridCol w:w="931"/>
        <w:gridCol w:w="146"/>
        <w:gridCol w:w="146"/>
        <w:gridCol w:w="211"/>
        <w:gridCol w:w="931"/>
        <w:gridCol w:w="146"/>
        <w:gridCol w:w="146"/>
        <w:gridCol w:w="211"/>
        <w:gridCol w:w="931"/>
        <w:gridCol w:w="191"/>
      </w:tblGrid>
      <w:tr>
        <w:trPr/>
        <w:tc>
          <w:tcPr>
            <w:tcW w:w="2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intrinsic value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restricted stock activity for the Company’s directors and officers and employees of the Manager during the six months ended June 30, 2026 and 2025.</w:t>
      </w:r>
    </w:p>
    <w:p>
      <w:pPr>
        <w:pStyle w:val="TextBody"/>
        <w:bidi w:val="0"/>
        <w:jc w:val="left"/>
        <w:rPr/>
      </w:pPr>
      <w:r>
        <w:rPr/>
        <w:t> </w:t>
      </w:r>
    </w:p>
    <w:tbl>
      <w:tblPr>
        <w:tblW w:w="8685" w:type="dxa"/>
        <w:jc w:val="left"/>
        <w:tblInd w:w="0" w:type="dxa"/>
        <w:tblLayout w:type="fixed"/>
        <w:tblCellMar>
          <w:top w:w="28" w:type="dxa"/>
          <w:left w:w="28" w:type="dxa"/>
          <w:bottom w:w="28" w:type="dxa"/>
          <w:right w:w="28" w:type="dxa"/>
        </w:tblCellMar>
      </w:tblPr>
      <w:tblGrid>
        <w:gridCol w:w="2886"/>
        <w:gridCol w:w="346"/>
        <w:gridCol w:w="337"/>
        <w:gridCol w:w="1943"/>
        <w:gridCol w:w="166"/>
        <w:gridCol w:w="146"/>
        <w:gridCol w:w="720"/>
        <w:gridCol w:w="1950"/>
        <w:gridCol w:w="191"/>
      </w:tblGrid>
      <w:tr>
        <w:trPr/>
        <w:tc>
          <w:tcPr>
            <w:tcW w:w="2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Restricted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685" w:type="dxa"/>
        <w:jc w:val="left"/>
        <w:tblInd w:w="0" w:type="dxa"/>
        <w:tblLayout w:type="fixed"/>
        <w:tblCellMar>
          <w:top w:w="28" w:type="dxa"/>
          <w:left w:w="28" w:type="dxa"/>
          <w:bottom w:w="28" w:type="dxa"/>
          <w:right w:w="28" w:type="dxa"/>
        </w:tblCellMar>
      </w:tblPr>
      <w:tblGrid>
        <w:gridCol w:w="2886"/>
        <w:gridCol w:w="346"/>
        <w:gridCol w:w="337"/>
        <w:gridCol w:w="1943"/>
        <w:gridCol w:w="166"/>
        <w:gridCol w:w="146"/>
        <w:gridCol w:w="720"/>
        <w:gridCol w:w="1950"/>
        <w:gridCol w:w="191"/>
      </w:tblGrid>
      <w:tr>
        <w:trPr/>
        <w:tc>
          <w:tcPr>
            <w:tcW w:w="2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Restricted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3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June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Restricted stock compensation expense is based on the Company’s stock price at the date of the grant and is amortized over the vesting period. Forfeitures are recognized as they occur. The share-based compensation expense for the Company was $1.8 million and $1.5 million for the six months ended June 30, 2026 and 2025, respectively. The unamortized share-based compensation expense for the Company was approximately $4.6 million and $5.5 million as of June 30, 2026 and 2025, respectively, which the Company expects to recognize over the remaining weighted-average term of 2.1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At-the-Market Offering Program (“ATM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20, 2023, the Company entered into separate At-the-Market Sales Agreement (each, a "Sales Agreement" and together, the “Previous Sales Agreements”) with BTIG, LLC, Compass Point Research &amp; Trading, LLC and Oppenheimer &amp; Co. Inc. (each a “Sales Agent” and together the “ Previous Sales Agents”) under which the Company may, from time to time, offer and sell shares of common stock, having an aggregate offering price of up to $75.0 million. Under the terms of the Previous Sales Agreement, the Company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agreed to pay the Sales Agents a commission of up to a maximum of 3.0% of the gross proceeds from each sale of common stock sold through the Sales Agents. On March 17, 2025, the Company entered into new separate at-the-market sales agreements (each a “New Sales Agreement” and together with the Previous Sales Agreements, the “Sales Agreements”) with BTIG, LLC, A.G.P./Alliance Global Partners LLC, ATB Capital Markets USA Inc. and Oppenheimer &amp; Co. Inc., (each a “New Sales Agent” and together with the Previous Sales Agents, the “Sales Agents”), which increased the aggregate offering size of the at-the-market offering from $75 million to $100 million and reduced the maximum commission paid to the Sales Agents from 3.0% to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2025, the Company sold an aggregate of 0 and 64,557 shares, respectively, of the Company’s common stock under the Sales Agreement. The weighted average sales price during the three and six months ended June 30, 2025 was $0 and $16.01 per share, generating net proceeds of approximately $0 and $1.0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shares sold by the Company under the Sales Agreement during the six months ended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shares of common stock sold pursuant to the registered direct offering in February 2023 and under the ATM Program are the only offerings that have been initiated under the Shelf Registration Statement.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EARNINGS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information sets forth the computations of basic earnings per common share for the three and six months ended June 30, 2026 and 2025,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8"/>
        <w:gridCol w:w="346"/>
        <w:gridCol w:w="211"/>
        <w:gridCol w:w="1036"/>
        <w:gridCol w:w="146"/>
        <w:gridCol w:w="146"/>
        <w:gridCol w:w="211"/>
        <w:gridCol w:w="1036"/>
        <w:gridCol w:w="146"/>
        <w:gridCol w:w="146"/>
        <w:gridCol w:w="211"/>
        <w:gridCol w:w="1036"/>
        <w:gridCol w:w="146"/>
        <w:gridCol w:w="146"/>
        <w:gridCol w:w="211"/>
        <w:gridCol w:w="1036"/>
        <w:gridCol w:w="146"/>
        <w:gridCol w:w="391"/>
      </w:tblGrid>
      <w:tr>
        <w:trPr/>
        <w:tc>
          <w:tcPr>
            <w:tcW w:w="34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18,918,686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Divided by: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21,242,557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20,931,025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21,487,106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21,599,634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earnings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earnings per common share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anti-dilutive shares excluded from the computations of earnings per common share for the three months ended June 30, 2026 and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INCOME TAX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2026 and 2025, we did not incur excise tax expense. The income tax provision for the Company was $0 for the six months ended June 30, 2026 and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Company does not have any unrecognized tax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Recurring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as of June 30, 2026:</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2836"/>
        <w:gridCol w:w="146"/>
        <w:gridCol w:w="410"/>
        <w:gridCol w:w="325"/>
        <w:gridCol w:w="146"/>
        <w:gridCol w:w="146"/>
        <w:gridCol w:w="410"/>
        <w:gridCol w:w="325"/>
        <w:gridCol w:w="146"/>
        <w:gridCol w:w="146"/>
        <w:gridCol w:w="211"/>
        <w:gridCol w:w="1036"/>
        <w:gridCol w:w="146"/>
        <w:gridCol w:w="146"/>
        <w:gridCol w:w="211"/>
        <w:gridCol w:w="10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at fair value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Warrants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41,510,435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41,510,435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Warrants are included within other receivables and assets, net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changes in assets classified within Level 3 of the fair value hierarchy during the six months ended June 30, 2026:</w:t>
      </w:r>
    </w:p>
    <w:p>
      <w:pPr>
        <w:pStyle w:val="TextBody"/>
        <w:bidi w:val="0"/>
        <w:spacing w:before="200" w:after="283"/>
        <w:jc w:val="left"/>
        <w:rPr/>
      </w:pPr>
      <w:r>
        <w:rPr/>
        <w:t> </w:t>
      </w:r>
    </w:p>
    <w:tbl>
      <w:tblPr>
        <w:tblW w:w="5323" w:type="dxa"/>
        <w:jc w:val="left"/>
        <w:tblInd w:w="0" w:type="dxa"/>
        <w:tblLayout w:type="fixed"/>
        <w:tblCellMar>
          <w:top w:w="28" w:type="dxa"/>
          <w:left w:w="28" w:type="dxa"/>
          <w:bottom w:w="28" w:type="dxa"/>
          <w:right w:w="28" w:type="dxa"/>
        </w:tblCellMar>
      </w:tblPr>
      <w:tblGrid>
        <w:gridCol w:w="3151"/>
        <w:gridCol w:w="146"/>
        <w:gridCol w:w="307"/>
        <w:gridCol w:w="1508"/>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w:t>
              <w:br/>
              <w:t>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41,510,435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following table summarizes the significant unobservable inputs used by the Company to value the assets categorized within Level 3 as of June 30, 2026. The tables are not intended to be all-inclusive, but instead capture the significant unobservable inputs relevant to the Company’s determination of fair values.</w:t>
      </w:r>
    </w:p>
    <w:tbl>
      <w:tblPr>
        <w:tblW w:w="10038" w:type="dxa"/>
        <w:jc w:val="left"/>
        <w:tblInd w:w="0" w:type="dxa"/>
        <w:tblLayout w:type="fixed"/>
        <w:tblCellMar>
          <w:top w:w="28" w:type="dxa"/>
          <w:left w:w="28" w:type="dxa"/>
          <w:bottom w:w="28" w:type="dxa"/>
          <w:right w:w="28" w:type="dxa"/>
        </w:tblCellMar>
      </w:tblPr>
      <w:tblGrid>
        <w:gridCol w:w="2836"/>
        <w:gridCol w:w="211"/>
        <w:gridCol w:w="1036"/>
        <w:gridCol w:w="146"/>
        <w:gridCol w:w="3106"/>
        <w:gridCol w:w="1456"/>
        <w:gridCol w:w="189"/>
        <w:gridCol w:w="742"/>
        <w:gridCol w:w="316"/>
      </w:tblGrid>
      <w:tr>
        <w:trPr/>
        <w:tc>
          <w:tcPr>
            <w:tcW w:w="2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Unobservable Input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Primary Valuation Technique</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at fair value - related party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Yield Analysis</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Option Pricing Model</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br/>
              <w:t>Volatility Factor</w:t>
              <w:br/>
              <w:t>Risk Free Rate</w:t>
              <w:br/>
              <w:t>Exercise Price</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 years</w:t>
              <w:br/>
              <w:t>64.00%</w:t>
              <w:br/>
              <w:t>4.20%</w:t>
              <w:br/>
              <w:t>$1.30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41,510,435</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310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portion of the fair value adjustments related to credit risk was determined based on a yield analysis and discount rate applied to the subject loan. Interest income on the loan measured at fair value is calculated based on the interest rate of the loan and is recorded in the interest income on the consolidated statement of operations. For the six months ended June 30, 2026, our loan held at fair value using the fair value option had $0 in unrealized gains (losses) in net income before income taxes, that are attributable to changes in instrument-specific credit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Assets and Liabilities Not Measured at Fair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carrying values and fair values of the Company’s financial assets and liabilities recorded at amortized cost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1"/>
        <w:gridCol w:w="346"/>
        <w:gridCol w:w="218"/>
        <w:gridCol w:w="293"/>
        <w:gridCol w:w="146"/>
        <w:gridCol w:w="146"/>
        <w:gridCol w:w="196"/>
        <w:gridCol w:w="1006"/>
        <w:gridCol w:w="146"/>
        <w:gridCol w:w="146"/>
        <w:gridCol w:w="196"/>
        <w:gridCol w:w="1006"/>
        <w:gridCol w:w="146"/>
        <w:gridCol w:w="146"/>
        <w:gridCol w:w="196"/>
        <w:gridCol w:w="1006"/>
        <w:gridCol w:w="346"/>
        <w:gridCol w:w="346"/>
        <w:gridCol w:w="196"/>
        <w:gridCol w:w="1006"/>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Carrying </w:t>
              <w:br/>
              <w:t>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held for 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407,899,817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405,343,060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407,364,639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14,948,884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14,948,884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4,009,800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4,009,800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 and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874,245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1,189,937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1,189,937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Revolving loan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90,852,703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49,100,000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48,853,380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49,452,551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49,444,674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49,334,459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49,383,677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10,639,254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10,639,254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11,157,220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11,157,220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payables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2,214,920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2,214,920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and incentive fees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3,098,576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3,098,576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1,348,334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1,348,334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loans are generally held for investment and are substantially secured by real estate, equipment, licenses and other assets of the borrowers to the extent permitted by the applicable laws and the regulations governing such borrowers. The aggregate fair value of the Company’s loans held for investment was approximately $405.3 million and $407.4 million, with gross unrecognized holding losses of $2.6 million and $1.6 million as of June 30, 2026 and December 31, 2025,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DIVIDENDS AND DISTRIBUTIONS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dividends declared during the three months ended June 30, 2026 and 2025.</w:t>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528"/>
        <w:gridCol w:w="417"/>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357"/>
        <w:gridCol w:w="588"/>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accompanying consolidated statements of income. In addition to other factors and metrics, the CODM utilizes net income as a key determinant of the amount of dividends to be distributed to the Company's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the Company’s operations comprise of a single reporting segment, the segment assets are reflected on the accompanying consolidated balance sheets as “total assets” and the significant segment expenses are listed on the accompanying consolidated statement of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PROPOSED MERGER WITH CHICAGO ATLANTIC BDC,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17, 2026, the Company entered into an Agreement and Plan of Merger (the “Merger Agreement”) with LIEN, Chicago Atlantic BDC Advisers, LLC, a Delaware limited liability company, the investment adviser to LIEN (the “LIEN Adviser”), and the Manager (together with LIEN Adviser, the “Advisers”). Pursuant to the terms of the Merger Agreement, the Company will merge with and into LIEN (the “Merger”), with LIEN continuing as the surviving company (the “Surviving Company”). Following the Merger, the Surviving Company intends to continue to be treated as a regulated investment company (a “RIC”) under Sections 851 and 852 of the Internal Revenue Code of 1986, as amended (the “Code”). The parties intend the Merger to be treated as a “reorganization” within the meaning of Section 368(a) of the Code. Prior to the Merger, the Company, which has previously elected to be taxed as a REIT, will elect to be regulated as a business development company (“BDC”) under the Investment Company Act of 1940, as amended (the “Investment Company Act”), by filing a Form N-54A with the United States Securities and Exchange Commission (the “SEC”) (the “BDC Election” and the time of such filing, the “BDC Election Time”). Prior to the BDC Election, the Company will adopt, subject to approval by its stockholders, a new investment advisory agreement (the “New BDC Advisory Agreement”) with the LIEN Adviser, which will remain in effect until the Merger Effective Time (defined herein). The Company’s current management agreement with the Manager will terminate automatically upon the BDC Election Time, and the New BDC Advisory Agreement will terminate automatically upon the Merger Effective Time, in each case without termination notice or termination payment. All capitalized terms not defined in this section have the meaning set forth in the Merger Agreement filed with the SEC on Form 8-K on June 18,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Merger Effective Time, each share of common stock, par value $0.01 per share, of the Company (“Company Common Stock”) issued and outstanding immediately prior to the Merger Effective Time (other than shares owned by LIEN or any of its consolidated subsidiaries, which will be cancelled for no consideration) will be converted into the right to receive a number of shares of common stock, par value $0.01 per share, of LIEN (“LIEN Common Stock”) equal to the Exchange Ratio (defined herein) (the “Merger Consideration”).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“Exchange Ratio” is the ratio of the net asset value per share of Company Common Stock (the “Closing Company Net Asset Value”) to the net asset value per share of LIEN Common Stock (the “LIEN Closing Net Asset Value”),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Agreement was approved by the Company’s Board of Directors upon the unanimous recommendation of a special committee comprised solely of independent directors, which received a fairness opinion from Oppenheimer and Co, Inc. Consummation of the Merger is subject to customary closing conditions, including, without limitation, approval by the Company’s and LIEN’s stockholders, the approvals required under Rule 17a-8 of the 1940 Act, effectiveness of a registration statement on Form N-14 (which will contain a joint proxy statement/prospectus), Nasdaq listing authorization for the shares to be issued, receipt of required regulatory approvals, and completion of the closing net asset value determinations. Concurrently with the Merger Agreement, certain stockholders of the Company and LIEN entered into support agreements covering approximately 4.8% of the Company’s outstanding common stock and approximately 12.9% of LIEN’s outstanding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Agreement may be terminated under specified circumstances, including if the Merger has not been consummated by June 30, 2027, and does not provide for a termination fee. Except for specified SEC and printing and mailing costs, fees and expenses incurred in connection with the Merger generally will be shared equally between the Company and LIEN, with our Manager paying $2.0 million of the Company's share. The Merger Agreement also provides that, prior to the effective time, the Board will consider in good faith the adoption of a share repurchase program of up to $25.0 million to be implemented following closing. The Merger had not closed as of June 30, 2026 and accordingly, no amounts related to the Merger are reflected in the accompanying financial statements. There can be no assurance that the Merger will be completed on the contemplated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Private Placement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9, 2026, the Company entered into a Loan Agreement with Koach Capital Fund I LLC, Koach Capital Fund II LP, Koach Capital Fund III LP and their respective wholly owned subsidiaries (collectively, “Koach”), pursuant to which the Company issued 4,306,754 shares of its common stock, par value $0.01 per share, at a price of $14.53 per share, in a private placement in reliance on Section 4(a)(2) of the Securities Act of 1933, as amended, and Rule 506 of Regulation D promulgated thereunder, in exchange for second lien promissory notes issued by Koach with an aggregate principal amount of approximately $62.5 million (the “Koach Notes”). The shares issued to Koach represented approximately 16.8% of the Company’s common stock outstanding immediately after giving effect to the issuance. The Koach Notes are secured by mortgages on 32 retail and related properties leased to cannabis operators, bear interest at an aggregate rate of 12.0% per annum, paid monthly, of which 10.0% is payable in cash and 2.0% payable in kind, and an additional exit fee of up to 2.5x the commitment amount of each Note, calculated net of interest and principal amortization, if any, paid through maturity. The Koach Notes have a weighted average remaining life of approximately 12.0 years.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Because the Koach Notes were received as consideration for the issuance of the Company’s common stock, the Koach Notes will be presented as a reduction of stockholders’ equity rather than as loans held for investment in accordance with ASC Topic 505 - </w:t>
      </w:r>
      <w:r>
        <w:rPr>
          <w:rFonts w:ascii="Times New Roman" w:hAnsi="Times New Roman"/>
          <w:i/>
          <w:color w:val="000000"/>
          <w:sz w:val="20"/>
        </w:rPr>
        <w:t>Equity</w:t>
      </w:r>
      <w:r>
        <w:rPr>
          <w:rFonts w:ascii="Times New Roman" w:hAnsi="Times New Roman"/>
          <w:color w:val="000000"/>
          <w:sz w:val="20"/>
        </w:rPr>
        <w:t>, and the associated cash flows shall be recorded through stockholders’ equity rather than as interest income or within total assets on the consolidated balance sheets. Accordingly, the transaction increased the number of shares of common stock outstanding but had no material net effect on total stockholders’ equity, and did not increase total assets, upon issuance. Notwithstanding this financial statement presentation, the Koach Notes constitute bona fide debt secured by real property and, for purposes of the Company’s qualification as a real estate investment trust, are treated as qualifying real estate assets that generate qualifying income under the applicable REIT gross income and asset tests.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issuance was permitted under, and the additional shares will be reflected in the exchange ratio inputs pursuant to, the Agreement and Plan of Merger, dated June 17, 2026, by and among the Company, Chicago Atlantic BDC, Inc. and the other parties thereto. For purposes of calculating the exchange ratio, the Koach Notes will be treated as assets of the Company rather than as a reduction of stockholders' equity. The shares issued in the private placement are subject to the terms of a lock-up letter pursuant to which the holders agree not to sell, transfer, pledge, or otherwise dispose of the common stock for a period of (i) three months (with respect to 20% of the Common Stock issued to such investor) and (ii) six months (with respect to the remaining 80% of such Common Stock), in each case following the closing date, subject to limited exceptions.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Payment of Dividend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15, 2026, the Company paid its regular quarterly dividend of $0.47 per common share relating to the second quarter of 2026 to stockholders of record as of the close of business on June 30, 2026. The total amount of the cash dividend payment was approximately $10.0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2_managements_discussion_analysis"/>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be updated, amended, or superseded from time to time by subsequent reports we file with the SEC. The forward-looking statements contained in this report involve a number of risks and uncertainties, including statements concerning: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future and projected operating results;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Manager to locate suitable loan opportunities for us, monitor and actively manage our loan portfolio, and implement our investment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allocation of loan opportunities to us by our Manager and its affiliates;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inflation on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actions and initiatives of the federal or state governments and changes to government policies related to cannabis and the execution and impact of these actions, initiatives, and policies, including the fact that cannabis remains illegal under federal law;</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estimated growth in and evolving market dynamics of the cannabis market;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demand for cannabis cultivation and processing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shifts in public opinion regarding cannabis;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state of the U.S. economy generally or in specific geographic regions;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economic trends and economic recoveries;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and timing of our cash flows, if any, from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and maintain financing arrangements;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leverage;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the values of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investment and underwriting process;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rates of default or decreased recovery rates on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to which any interest rate or other hedging strategies may or may not protect us from interest rate volatility;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interest rates and impacts of such changes on our results of operations, cash flows, and the value of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 mismatches between our loans and our borrowings used to fund such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departure of any of the executive officers or key personnel supporting and assisting us from our Manager or its affiliates;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impact of and changes in governmental regulations, tax law and rates, accounting guidance, and similar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exclusion or exemption from registration under the Investment Company Act;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qualify and maintain our qualification as a real estate investment trust (“REIT”) for U.S. federal income tax purposes;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estimates relating to our ability to make distributions to our stockholders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understanding of our competition;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trends in our industry, interest rates, real estate values, the securities markets or the general economy;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of the other risks, uncertainties and other factors we identify in our annual report on Form 10-K or this quarterly report on Form 10-Q.</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completion and expected benefits of our proposed merger with Chicago Atlantic BDC, Inc. (“LIEN”), and the risk that the anticipated benefits may not be realized;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obtain the required stockholder approvals of the Company and LIEN and the approvals required under Rule 17a-8 of the 1940 Act;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risk that required regulatory approvals or non-objections relating to our proposed merger with LIEN, may not be obtained, including SEC acceptance of the Company's election to be regulated as a business development company;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movement in the Exchange Ratio between signing of the merger agreement for our proposed merger with LIEN and closing of the transaction due to changes in the net asset values of the Company and LIEN;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incurrence of significant transaction and integration costs and the risk of litigation relating to the merger;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risk that the share repurchase program of up to $25.0 million that the Board has agreed to consider following completion of the proposed merger may not be adopted or may differ from current expectations; and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formed in March 2021 as a Maryland corporation and are structured as an externally managed mortgage real estate investment trust (“REIT”). We completed our initial public offering ("IPO") in December 2021 and have elected to be taxed as a REIT for United States federal income tax purposes under the Internal Revenue Code of 1986, as amended (the “Code”), commencing with our taxable year ended December 31, 2021.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aim to maintain a diversified portfolio across jurisdictions and verticals, including cultivators, processors, dispensaries, and other businesses ancillary thereto.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loans to portfolio companies operating in the cannabis industry may include companies that we determine, based on our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will not own any warrants or other forms of equity in any of our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cannabis operators’ limited access to traditional bank and non-bank financing has provided attractive opportunities for us to make loans to companies that exhibit strong fundamentals but require more customized financing structures and loan products than regulated financial institutions can provide in the current regulatory environment. We believe that continued state-level legalization of cannabis for medical and adult use creates an increased loan demand by companies operating in the cannabis industry and property owners leasing to cannabis tenants. Furthermore, we believe we are differentiated from our competitors because we seek to target operators and facilities that exhibit lower-risk characteristics on a relative basis, which we believe include generally limiting exposure to ground-up construction, lending to cannabis operators with operational and/or profitable facilities, diversification of geographies and distribution channels, among other factors. Additionally, the Manager seeks to invest in transactions that tend to be attractively priced and have stronger than normal covenants and amortization due to complexity of the industry and in cannabis companies that it believes have some or all of the following characteristics: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Growth or earnings before interest, income taxes, depreciation and amortization ("EBITDA") positive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that require capital but do not want to dilute their equity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that demonstrate strong cash flow performance with low leverage profiles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Low debt to enterprise value ratios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are generally secured by real estate and, when lending to owner-operators in the cannabis industry, other collateral, such as equipment, receivables, intellectual property, licenses or other assets of the borrowers to the extent permitted by applicable laws and regulations governing such borrowers. We also seek personal or corporate guarantees for additional credit protection on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occasionally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also invest in companies or properties that are not related to the cannabis industry that provide return characteristics consistent with our investment objective. From time to time, we may also invest in mezzanine loans, preferred equity or other forms of joint venture equity to the extent consistent with our exemption from registration under the Investment Company Act of 1940, as amended (the “Investment Company Act”) and maintaining our qualification as a REIT. We may enter into credit agreements with borrowers that permit them to incur debt that ranks equally with, or senior to, the loans we extend to such companies under such credit agreements. There is no assurance that we will achieve our investment objective. </w:t>
      </w:r>
    </w:p>
    <w:p>
      <w:pPr>
        <w:pStyle w:val="TextBody"/>
        <w:bidi w:val="0"/>
        <w:spacing w:before="200" w:after="283"/>
        <w:jc w:val="both"/>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generate revenue primarily in the form of interest income on loans which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components of interest and fee income for the three months and six months ended June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6"/>
        <w:gridCol w:w="146"/>
        <w:gridCol w:w="214"/>
        <w:gridCol w:w="1058"/>
        <w:gridCol w:w="146"/>
        <w:gridCol w:w="146"/>
        <w:gridCol w:w="214"/>
        <w:gridCol w:w="1058"/>
        <w:gridCol w:w="146"/>
        <w:gridCol w:w="146"/>
        <w:gridCol w:w="214"/>
        <w:gridCol w:w="1058"/>
        <w:gridCol w:w="146"/>
        <w:gridCol w:w="146"/>
        <w:gridCol w:w="214"/>
        <w:gridCol w:w="1058"/>
        <w:gridCol w:w="199"/>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income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11,289,666</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12,569,033</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23,184,030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25,265,517</w:t>
            </w:r>
          </w:p>
        </w:tc>
        <w:tc>
          <w:tcPr>
            <w:tcW w:w="199"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OID (amortization of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2,419,011</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1,519,837</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3,670,486</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3,014,966</w:t>
            </w:r>
          </w:p>
        </w:tc>
        <w:tc>
          <w:tcPr>
            <w:tcW w:w="199"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fee income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2,643,366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15,219,022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16,502,035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30,383,710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31,609,350</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Other fee income includes prepayment fees, make-whole fees, exit/success fees, and/or other upfront fees on loans for which the fair value option was elected, which are included in interest income on the Consolidated Statements of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bear interest rates that are either fixed or determined periodically on the basis of U.S. Prime Rate (“Prime”) or Secured Overnight Financing Rate (“SOFR”) plus a premium. Loans which bear interest on either Prime or SOFR are collectively referred to as "Floating-rate loans". The below table summarizes changes in Prime and SOFR since January 1,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Prime Rate</w:t>
      </w:r>
    </w:p>
    <w:tbl>
      <w:tblPr>
        <w:tblW w:w="2863" w:type="dxa"/>
        <w:jc w:val="left"/>
        <w:tblInd w:w="0" w:type="dxa"/>
        <w:tblLayout w:type="fixed"/>
        <w:tblCellMar>
          <w:top w:w="28" w:type="dxa"/>
          <w:left w:w="28" w:type="dxa"/>
          <w:bottom w:w="28" w:type="dxa"/>
          <w:right w:w="28" w:type="dxa"/>
        </w:tblCellMar>
      </w:tblPr>
      <w:tblGrid>
        <w:gridCol w:w="1741"/>
        <w:gridCol w:w="146"/>
        <w:gridCol w:w="157"/>
        <w:gridCol w:w="5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Rate</w:t>
            </w:r>
            <w:r>
              <w:rPr>
                <w:rFonts w:ascii="Times New Roman" w:hAnsi="Times New Roman"/>
                <w:b/>
                <w:color w:val="000000"/>
                <w:sz w:val="13"/>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Rate obtained from the Wall Street Journal’s “Bonds, Rates &amp; Yields” table.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SOFR Rate</w:t>
      </w:r>
    </w:p>
    <w:tbl>
      <w:tblPr>
        <w:tblW w:w="2863" w:type="dxa"/>
        <w:jc w:val="left"/>
        <w:tblInd w:w="0" w:type="dxa"/>
        <w:tblLayout w:type="fixed"/>
        <w:tblCellMar>
          <w:top w:w="28" w:type="dxa"/>
          <w:left w:w="28" w:type="dxa"/>
          <w:bottom w:w="28" w:type="dxa"/>
          <w:right w:w="28" w:type="dxa"/>
        </w:tblCellMar>
      </w:tblPr>
      <w:tblGrid>
        <w:gridCol w:w="1741"/>
        <w:gridCol w:w="146"/>
        <w:gridCol w:w="157"/>
        <w:gridCol w:w="5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Rate</w:t>
            </w:r>
            <w:r>
              <w:rPr>
                <w:rFonts w:ascii="Times New Roman" w:hAnsi="Times New Roman"/>
                <w:b/>
                <w:color w:val="000000"/>
                <w:sz w:val="13"/>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Rate obtained from the Federal Reserve Bank of New York's "Secured Overnight Financing Rate Data" 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below table summarizes the gross interest income derived from fixed and floating-rate loans during the three months and six months ended June 30, 2026 and 2025 based on portfolio composition as of the quarter end date.</w:t>
      </w:r>
    </w:p>
    <w:p>
      <w:pPr>
        <w:pStyle w:val="TextBody"/>
        <w:bidi w:val="0"/>
        <w:spacing w:before="200" w:after="283"/>
        <w:jc w:val="both"/>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6,996,396</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1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15,219,022</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6,246,141</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1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16,502,035</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18,060,282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30,383,710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19,644,979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31,609,350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primary operating expenses are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organizational and offering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quarterly valuation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payable to third parties relating to, or associated with, making loans and valuing loans (including third-party valuation firms);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and expenses associated with investor relations and marketing efforts (including attendance at investment conferences and similar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and loan servicing fees from our third party fund administrator;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and tax compliance fees and expenses from our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exchange listing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brokerage commissions;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proxy statements, stockholders’ reports and notices;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preparing government filings, including periodic and current reports with the SEC.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2026 and 2025, we did not incur excise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June 30, 2026 and 2025. Based on our evaluation, there is no reserve for any uncertain income tax positions. Accrued interest and penalties, if any, are included within other liabilities in the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Portfolio Composition and Investment Activity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Portfolio 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our loan portfolio included 29 loans held for investment, with an aggregate of $412.1 million in principal outstanding, and approximately $2.4 million in unfunded commitments under delayed draw term loan facilities. Our loans are generally classified as held for investment and carried at amortized cost on the consolidated balance sheets. Such loans are generally secured by real estate, equipment, licenses, intellectual property and other assets of the borrowers to the extent permitted by the applicable laws and the regulations governing such borrowers. The below table summarizes the total outstanding principal and carrying value, net of current expected credit loss reserves as of June 30, 2026 and December 31, 2025:</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412,125,652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407,899,817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398,528,899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 average remaining life is calculated based on the carrying value of the loans as of June 30, 2026 and December 31,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our loan portfolio had a weighted-average yield-to-maturity internal rate of return (“YTM IRR”) of 15.6% and 16.3%,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or amendment fees, which are not included in our YTM IRR calculations, but may increase YTM IRR if such extension options are exercised by borrowers.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bear interest rates that are either fixed or determined periodically on the basis of Prime or SOFR plus a premium. Loans which bear interest on either Prime or SOFR are collectively referred to as "Floating-rate loans". The below table summarizes our portfolio of loans held for investment by rate type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242,261,988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238,587,987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407,899,817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held one loan at fair value with a principal balance of $41 million, which bears a floating rate. As of December 31, 2025, none of our loans were held at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floating-rate loans typically include a Prime or SOFR interest rate floor that is generally set at the prevailing Prime or SOFR rate, as applicable, on the date of origination. As of June 30, 2026 and December 31, 2025 none of our loans were subject to an interest rate ceiling. We typically include an interest rate floor with our floating rate loans in order to provide us with protection against decreases in interest rates. As of June 30, 2026 and December 31, 2025, 58.8% and 58.2% of our loans were subject to an interest rate floor. As of June 30, 2026 and December 31, 2025, our portfolio had the following interest rate floors: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957"/>
        <w:gridCol w:w="146"/>
        <w:gridCol w:w="211"/>
        <w:gridCol w:w="1141"/>
        <w:gridCol w:w="146"/>
        <w:gridCol w:w="278"/>
        <w:gridCol w:w="891"/>
        <w:gridCol w:w="301"/>
        <w:gridCol w:w="241"/>
        <w:gridCol w:w="943"/>
        <w:gridCol w:w="301"/>
        <w:gridCol w:w="146"/>
        <w:gridCol w:w="211"/>
        <w:gridCol w:w="1141"/>
        <w:gridCol w:w="146"/>
        <w:gridCol w:w="278"/>
        <w:gridCol w:w="891"/>
        <w:gridCol w:w="301"/>
        <w:gridCol w:w="241"/>
        <w:gridCol w:w="943"/>
        <w:gridCol w:w="351"/>
      </w:tblGrid>
      <w:tr>
        <w:trPr/>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 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Cash Coupon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Cash Coupon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8.50%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44,642,571</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58,739,034</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62,121,045</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6.75%</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14,925,497</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54,010,009</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20,427,778</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169,863,664</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present changes in loans held for investment at carrying value as of and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65,536,425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(71,233,213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(71,233,213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3,356,544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(4,308,133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412,125,652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(9,370,918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398,528,899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404,721,554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398,130,177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(12,279,060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3,116,093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416,418,148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(2,442,664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(4,421,348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409,554,136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Portfolio Asset Quality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Manager uses an ongoing investment risk rating system to characterize and monitor our outstanding loans. The Manager's investment committee, with input from the portfolio management team, assesses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tbl>
      <w:tblPr>
        <w:tblW w:w="10205" w:type="dxa"/>
        <w:jc w:val="left"/>
        <w:tblInd w:w="0" w:type="dxa"/>
        <w:tblLayout w:type="fixed"/>
        <w:tblCellMar>
          <w:top w:w="28" w:type="dxa"/>
          <w:left w:w="28" w:type="dxa"/>
          <w:bottom w:w="28" w:type="dxa"/>
          <w:right w:w="28" w:type="dxa"/>
        </w:tblCellMar>
      </w:tblPr>
      <w:tblGrid>
        <w:gridCol w:w="691"/>
        <w:gridCol w:w="146"/>
        <w:gridCol w:w="9368"/>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Definition</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low risk</w:t>
            </w:r>
          </w:p>
        </w:tc>
      </w:tr>
      <w:tr>
        <w:trPr/>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risk</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Moderate/average risk</w:t>
            </w:r>
          </w:p>
        </w:tc>
      </w:tr>
      <w:tr>
        <w:trPr/>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risk/potential for loss: a loan that has a risk of realizing a principal loss</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Impaired/loss likely: a loan that has a high risk of realizing principal loss, has incurred principal loss or an impairment has been recorded</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June 30, 2026 and December 31, 2025 consider borrower specific credit history and performance and reflect a quarterly re-evaluation of overall current macroeconomic conditions affecting the Company’s borrowers, specifically those designated as held for investment. The below table presents the categorization of our loan portfolio on the above rating scale, at carrying value as of June 30,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480"/>
        <w:gridCol w:w="630"/>
        <w:gridCol w:w="146"/>
        <w:gridCol w:w="224"/>
        <w:gridCol w:w="1216"/>
        <w:gridCol w:w="146"/>
        <w:gridCol w:w="421"/>
        <w:gridCol w:w="1649"/>
        <w:gridCol w:w="301"/>
        <w:gridCol w:w="146"/>
        <w:gridCol w:w="224"/>
        <w:gridCol w:w="1216"/>
        <w:gridCol w:w="146"/>
        <w:gridCol w:w="421"/>
        <w:gridCol w:w="1649"/>
        <w:gridCol w:w="346"/>
      </w:tblGrid>
      <w:tr>
        <w:trPr/>
        <w:tc>
          <w:tcPr>
            <w:tcW w:w="48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189,344,847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170,771,521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201,201,645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37,647,568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407,899,817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Developments During the Second Quarter of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Updates to Our Loan Portfolio during the Second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from April 1, 2026 through June 30, 2026, we advanced approximately $56.9 million of principal, excluding capitalized PIK interest and fees, to new and existing borrowers under delayed draw and revolving loan facilities. Additionally, we received approximately $19.7 million of repayments, comprised of $3.3 million in scheduled amortization payments, $1.0 million in partial prepayments and $15.4 million from full repayments. A brief description of certain investment activities are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the Company received a full repayment of Loan #30 amounting to approximately $9.4 million, of which $9.3 million and $0.1 million related to principal repayment and accrued interest,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the Company received a full repayment of Loan #6 amounting to approximately $3.2 million, all of which related to principal repayment.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the Company entered into an amendment for Loan #36, in which a portion of the unpaid outstanding interest was capitalized and added to the outstanding principal amount of the Loan. Further, the Company amended the terms of interest income wherein all future interest income amounts are payable in kind ("PIK"), monthly. The agreed upon PIK interest rate is 13.75% as of the date of the amendment. No other terms of the loan were modified in connection with this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Loan #8 was amended to extend the maturity date to September 30, 2026. No other terms of the loan were modified in connection with this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Company received a full repayment of Loans #38a and 38b amounting to approximately $2.9 million, all of which related to principal repayment.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Company acquired a $41.0 million second-lien secured mortgage loan (Loan #51) to a subsidiary of Vireo Growth, Inc., an entity considered a related party by virtue of the relationship between the Company’s Executive Chairman and Vireo. The loan bears interest at Prime plus 5.25% and has a 24-month maturity. See Note 8 for additional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Company completed a non-cash exchange with Chicago Atlantic Credit Opportunities, LLC (“CACO”), an affiliated private investment fund, pursuant to which the Company transferred one loan with a fair value of approximately $27.1 million and received five loans of equal aggregate fair value. See Note 8 for additional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Proposed Merger with Chicago Atlantic BDC, Inc.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17, 2026, we entered into an Agreement and Plan of Merger with LIEN pursuant to which the Company will elect to be regulated as a business development company under the Investment Company Act of 1940, as amended (the "Investment Company Act"), and merge with and into LIEN, with LIEN as the surviving company and continuing to trade on Nasdaq under the symbol “LIEN.” REFI stockholders will receive shares of LIEN common stock based on an Exchange Ratio determined by the relative adjusted net asset values per share of the Company and LIEN shortly before closing. The Merger, which is subject to stockholder approvals, regulatory approvals, effectiveness of a Form N-14 registration statement filed by LIEN on July 31, 2026, which contains a joint proxy statement/prospectus, and other customary conditions, is currently expected to close in the fourth quarter of 2026. There can be no assurance that the Merger will be completed on the anticipated terms or timing, or at all. See Note 16 to the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Subsequent Updates to Our Loan Portfolio during the Third Quarter of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period from July 1, 2026 through August 11, 2026, we advanced approximately $4.2 million of principal to new and existing borrowers under delayed draw and revolving loan facilities, inclusive of $0.2 million to related parties. The amounts advanced exclude incremental loans issued in connection with the Koach Transaction, as further explained below. Additionally, we received approximately $2.3 million of repayments, comprised entirely of scheduled amortization payments. A brief description of certain investment activities are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Loan #21 was amended to extend the maturity date to August 18, 2026. No other terms of the loan were modified in connection with this amendment.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Private Placement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9, 2026, the Company entered into a Loan Agreement with Koach, pursuant to which the Company issued 4,306,754 shares of its common stock at a price of $14.53 per share in a private placement, in exchange for second-lien promissory notes issued by Koach with an aggregate principal amount of approximately $62.5 million. The shares issued represent approximately 16.8% of the Company’s common stock outstanding immediately after giving effect to the issuance. The Koach Notes are secured by mortgages on 32 retail and related properties leased to cannabis operators, bear interest at an aggregate rate of 12.0% per annum (10.0% cash and 2.0% payable in kind), provide for an exit fee of up to 2.5x the commitment amount of each Note, and have a weighted average remaining life of approximately 12.0 years. The shares issued in connection with the transaction will be reflected in the inputs used to determine the Exchange Ratio for the Merger. See Note 17 to the consolidated financial statements.</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Dividends Declared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we declared an ordinary cash dividend of $0.47 per share of our common stock, relating to the second quarter of 2026, which was paid on July 15, 2026 to stockholders of record as of the close of business on June 30, 2026. The total amount of the cash dividend payment was approximately $10.0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payment of this dividend is not indicative of our ability to pay such dividends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months ended June 30, 2026, the Company paid approximately $1.0 million of accrued dividends relating to the 234,120 restricted stock awards which vested to common shares during the period.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Factors Impacting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pStyle w:val="TextBody"/>
        <w:bidi w:val="0"/>
        <w:spacing w:before="200" w:after="283"/>
        <w:jc w:val="both"/>
        <w:rPr>
          <w:rFonts w:ascii="Times New Roman" w:hAnsi="Times New Roman"/>
          <w:sz w:val="20"/>
        </w:rPr>
      </w:pPr>
      <w:r>
        <w:rPr>
          <w:rFonts w:ascii="Times New Roman" w:hAnsi="Times New Roman"/>
          <w:b/>
          <w:i/>
          <w:color w:val="000000"/>
          <w:sz w:val="20"/>
        </w:rPr>
        <w:t>Market Conditions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bidi w:val="0"/>
        <w:spacing w:before="200" w:after="283"/>
        <w:jc w:val="both"/>
        <w:rPr>
          <w:rFonts w:ascii="Times New Roman" w:hAnsi="Times New Roman"/>
          <w:sz w:val="20"/>
        </w:rPr>
      </w:pPr>
      <w:r>
        <w:rPr>
          <w:rFonts w:ascii="Times New Roman" w:hAnsi="Times New Roman"/>
          <w:color w:val="000000"/>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2026, 55.7% of our portfolio is fully secured by real estate, and 2.6% has no real estate collateral. Our portfolio on average had real estate collateral coverage of 1.2x as of June 30, 2026. Our loans are generally secured by equity pledges of the borrower and all asset liens and our portfolio had a weighted average loan to enterprise value ratio of 46.0%. As of June 30, 2025, 47.6% of our portfolio was fully secured by real estate and 2.3% had no real estate collateral. Our portfolio on average had real estate collateral coverage of 1.2x as of June 30, 2025, and a weighted average loan to enterprise value ratio of 43.2%.</w:t>
      </w:r>
      <w:r>
        <w:rPr>
          <w:rFonts w:ascii="Times New Roman" w:hAnsi="Times New Roman"/>
          <w:color w:val="FFFF00"/>
          <w:sz w:val="20"/>
        </w:rPr>
        <w: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Federal Action on Medical Cannabis Rescheduling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23, 2026, the U.S. Department of Justice (“DOJ”), acting through the Drug Enforcement Administration (“DEA”), issued an order to reclassify certain cannabis products under the CSA from Schedule I to Schedule III. The order applies to (i) cannabis-derived products approved by the U.S. Food and Drug Administration and (ii) cannabis produced and distributed in compliance with state-licensed medical cannabis programs, subject to applicable federal enforcement parameters. The order does not extend to cannabis produced or distributed outside such frameworks, including products intended for adult-use markets, which remain classified as Schedule I controlled substances under current federal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2026 order represents a significant shift in federal policy and is expected to be followed by additional administrative proceedings. The DEA commenced additional hearings in June 2026 to consider related regulatory considerations for adult-use cannabis, and further rulemaking, interpretive guidance, or enforcement policy statements may be issued thereafter. Closing briefs and in-person hearings, if any, are expected to occur in August 2026. As a result, the scope, implementation, and practical effects of the rescheduling action remain subject to ongoing administrative review and uncertainty.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rescheduling of qualifying medical cannabis activities may affect the financial and operating profile of the borrowers within our portfolio. In particular, to the extent such activities are no longer subject to the limitations of Section 280E of the Code, affected operators may experience improved after-tax cash flows and liquidity. However, many of our borrowers operate integrated businesses that include both medical and adult-use cannabis activities, and it is unclear how the rescheduling will be applied in practice to such operations. Accordingly, any potential benefit from changes to Section 280E may be partial, delayed, or subject to further regulatory clarification.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differentiated federal treatment of medical and adult-use cannabis may introduce operational and compliance complexities for our borrowers. These may include the need to segment operations, maintain separate reporting and controls, and adapt to evolving federal and state regulatory expectations. The extent to which federal agencies will enforce distinctions between qualifying medical cannabis activities and non-qualifying activities remains uncertain and may vary over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2026 action may also influence the availability of capital to the cannabis industry. To the extent rescheduling reduces perceived regulatory risk for certain market participants, it may facilitate increased participation by financial institutions and other capital providers, particularly with respect to operators focused on medical cannabis. Increased competition could result in compression of lending spreads, changes in transaction structures, and reduced origination opportunities for our platform. At the same time, continued federal prohibition of adult-use cannabis may limit the extent of such effects across the broader industry.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of this Quarterly Report, no final regulatory framework has been established with respect to cannabis rescheduling beyond the April 2026 order and June 2026 administrative hearings, and no formal action has been taken to reclassify or de-schedule adult-use cannabis. While federal authorities have initiated additional administrative proceedings, the outcome, timing, and scope of any further actions remain uncertain.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6"/>
        <w:gridCol w:w="146"/>
        <w:gridCol w:w="233"/>
        <w:gridCol w:w="1150"/>
        <w:gridCol w:w="184"/>
        <w:gridCol w:w="161"/>
        <w:gridCol w:w="233"/>
        <w:gridCol w:w="1150"/>
        <w:gridCol w:w="166"/>
        <w:gridCol w:w="146"/>
        <w:gridCol w:w="211"/>
        <w:gridCol w:w="991"/>
        <w:gridCol w:w="166"/>
        <w:gridCol w:w="146"/>
        <w:gridCol w:w="146"/>
        <w:gridCol w:w="421"/>
        <w:gridCol w:w="419"/>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15,219,022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16,502,035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(2,384,377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12,834,645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Management and incentive fees,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1,604,328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495,084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551,294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5,137,319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unrealized (loss)/gain on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(224,000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7,473,326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7,473,326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income decreased by approximately $1.3 million during the quarter ended June 30, 2026, compared to the quarter ended June 30, 2025. The decrease was driven primarily by a decrease of $1.0 million in exit/success fees associated with the repayments and amendments of certain loans during the respective periods. During the second quarter of 2026, the Company recognized $0.9 million associated with amendments of its existing loans during the period. In the second quarter of 2025, the Company recognized $1.0 million related to an amendment of one of its existing loans, $0.5 million of success fees on one of its loans, and $0.4 million related to OID accelerations. Interest income from acceleration of original issue discounts and other upfront fees generated approximately $0.4 million and $0.3 million of gross interest income during the three months ended June 30, 2026 and 2025, respectively. Additionally, the weighted average YTM IRR on our portfolio decreased from 16.8% at June 30, 2025 to 15.6% at June 30, 2026, as a result of certain re-pricing amendments relating to de-risking of our portfolio and the impact of the 75 basis point prime rate decline on our floating rate portfolio during the comparative periods, resulting in a $1.3 million decrease in cash interest income, offset by an additional $0.9 million in PIK interest income.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remained relatively consistent over the comparative period. The increase is driven primarily by an increase in the weighted average outstanding balance on the Revolving Loan, which was approximately $67.5 million and $42.3 million, as of June 30, 2026 and 2025, respectively.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and incentive fees payable to our Manager slightly decreased over the comparative period. Management fees were approximately $1.2 million for the three months ended June 30, 2026 and 2025. The origination fee offsets in the three months ended June 30, 2026 was $108 thousand, compared to approximately $133 thousand for the three months ended June 30, 2025. Incentive fees were approximately $0.5 million for the three months ended June 30, 2026, compared to $0.8 million for the three months ended June 30,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and professional fees increased by approximately $258 thousand for the three months ended June 30, 2026, as compared to the three months ended June 30, 2025. The increase was primarily due to an increase in overhead reimbursements for costs incurred by the Manager on behalf of the Company, which were approximately $1.4 million for the three months ended June 30, 2026, compared to approximately $1.1 million for the three months ended June 30, 2025.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based compensation expense increased slightly by approximately $0.1 million for the three months ended June 30, 2026, as compared to the three months ended June 30, 2025. The increase over the comparative period is driven by the incremental expense recognized on the 229,764 of restricted stock awards granted during 2026, which had not been granted as of June 30,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quarterly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the Company recorded reserves on new originations of approximately $0.5 million, which were offset by $0.3 million of reserves which were reversed as a result of full loan repayments during the quarter. The net effect of new originations and full repayments on the CECL reserve was approximately a $0.2 million increase for the three months ended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relating to loans with a risk rating of "2" and "3" was 4.6 million or 1.2% of outstanding principal of such loans, as of June 30, 2026 and $2.9 million or 0.8% of outstanding principal of such loans, as of March 31, 2026. Management notes that loans risk rated "2" and "3" are generally deemed to be performing loans and generally carry similar CECL reserves.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for loans included in risk rating "4" was $3.7 million or 9.8% of outstanding principal of such loans, as of June 30, 2026 and $4.7 million or 12.7% of outstanding principal of such loans, as of June 30, 2025. Loans that are risk rated "4" are high risk for potential loss and require regular monitoring.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remaining on non-accrual for the three months ended June 30, 2026, specifically Loan #4 and Loan #34, the CECL reserve remained flat compared to March 31, 2026. When the loans were placed on non-accrual status in December 2025, an aggregate of $0.9 million of accrued interest receivable was reversed. The non-performing nature of these loans as of June 30, 2026 is a key input to the Company's CECL analysis.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#36 CECL reserve decreased $1.0 million during the three months ended June 30, 2026. LTV increased to 107.2% as of June 30, 2026 from 96.4% as of March 31, 2026. The Company collected all past due interest in early April 2026 and Management kept Loan #36 on accrual status as of June 30, 2026. In May 2026, Loan #36 was amended to 0% cash, 7.5% default interest and 13.75% PIK.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4346"/>
        <w:gridCol w:w="146"/>
        <w:gridCol w:w="221"/>
        <w:gridCol w:w="1089"/>
        <w:gridCol w:w="173"/>
        <w:gridCol w:w="152"/>
        <w:gridCol w:w="221"/>
        <w:gridCol w:w="1089"/>
        <w:gridCol w:w="166"/>
        <w:gridCol w:w="146"/>
        <w:gridCol w:w="211"/>
        <w:gridCol w:w="991"/>
        <w:gridCol w:w="166"/>
        <w:gridCol w:w="146"/>
        <w:gridCol w:w="146"/>
        <w:gridCol w:w="376"/>
        <w:gridCol w:w="420"/>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30,383,710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31,609,350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(4,424,979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25,958,731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Management and incentive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3,323,823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998,633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1,822,932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4,389,145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13,215,041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unrealized (loss)/gain on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12,313,690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18,918,686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(6,604,996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12,313,690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18,918,686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(6,604,996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decreased by approximately $1.2 million during the quarter ended June 30, 2026, compared to the quarter ended June 30, 2025. The decrease was driven primarily by a decrease of $0.1 million in exit/success fees associated with the repayments and amendments of certain loans during the respective periods. Interest income from acceleration of original issue discounts and other upfront fees generated approximately $1.0 million and $0.7 million of gross interest income during the three months ended June 30, 2026 and 2025, respectively. Additionally, the weighted average YTM IRR on our portfolio decreased from 16.8% at June 30, 2025 to 15.6% at June 30, 2026, as a result of certain re-pricing amendments relating to de-risking of our portfolio and the impact of the 75 basis point prime rate decline on our floating rate portfolio during the comparative periods, resulting in a $2.1 million decrease in cash interest income, offset by an additional $0.7 million in PIK interest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increased over the comparative period. The increase is driven primarily by an increase in the weighted average outstanding balance on the Revolving Loan, which was approximately $67.5 million and $42.3 million, as of June 30, 2026 and 2025, respectively.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and incentive fees payable to our Manager slightly decreased over the comparative period. Management fees were approximately $2.4 million for the six months ended June 30, 2026 and 2025. The origination fee offsets in the six months ended June 30, 2026 was $108 thousand, compared to approximately $137 thousand for the six months ended June 30, 2025. Incentive fees were approximately $1.0 million for the six months ended June 30, 2026, compared to $1.4 million for the six months ended June 30,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and professional fees increased by approximately $213 thousand for the six months ended June 30, 2026, as compared to the six months ended June 30, 2025. The increase was primarily due to an increase in overhead reimbursements for costs incurred by the Manager on behalf of the Company, which were approximately $2.4 million for the six months ended June 30, 2026 compared to $2.3 million during the six months ended June 30, 2025. Further, there was an increase in consulting and legal expenses during the comparative periods by $70 thousand, partially offset by net decreases in other professional fee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based compensation expense increased slightly by approximately $0.3 million for the three months ended June 30, 2026, as compared to the three months ended June 30, 2025. The increase over the comparative period is driven by the incremental expense recognized on the 229,764 of restricted stock awards granted during 2026, which had not been granted as of June 30,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year over year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 months ended June 30, 2026, the Company recorded reserves on new originations of approximately $1.1 million, which were offset by $0.5 million of reserves which existed at June 30, 2025 and were reversed as a result of full loan repayments. The net effect of new originations and full repayments on the CECL reserve was approximately a $0.9 million increase.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relating to loans with a risk rating of "2" and "3" was $4.6 million or 1.2% of outstanding principal of such loans, as of June 30, 2026 and $1.9 million or 0.6% of outstanding principal of such loans, as of June 30, 2025. Management notes that loans risk rated "2" and "3" are generally deemed to be performing loans and generally carry similar CECL reserves.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for loans included in risk rating "4" was $3.7 million or 9.8% of outstanding principal of such loans, as of June 30, 2026 and $2.6 million or 6.6% of outstanding principal of such loans, as of June 30, 2025. Loans that are risk rated "4" are high risk for potential loss and require regular monitoring.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remaining on non-accrual for the six months ended June 30, 2026, specifically Loan #4 and Loan #34, resulted in a $1.5 million increase to the CECL reserve compared to June 30, 2025. When the loans were placed on non-accrual status in December 2025, an aggregate of $0.9 million of accrued interest receivable was reversed. The non-performing nature of these loans as of June 30, 2026 is a key input to the Company's CECL analysis.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#36 CECL reserve increased $1.5 million during the six months ended June 30, 2026. LTV increased to 107.2% as of June 30, 2026 from 65.3% as of December 31, 2025 and payments were delayed during the three months ended March 31, 2026. The Company collected all past due interest in early April 2026 and Management kept Loan #36 on accrual status as of June 30, 2026.</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Measures and Key Financial Measures and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commercial mortgage real estate investment trust, we believe the key financial measures and indicators for our business are Distributable Earnings, Adjusted Distributable Earnings, book value per share, and dividends declared per share.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Distributable Earnings and Adjusted Distributable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a reconciliation of GAAP net income to Distributable Earnings and Adjusted Distributable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16"/>
        <w:gridCol w:w="213"/>
        <w:gridCol w:w="1048"/>
        <w:gridCol w:w="146"/>
        <w:gridCol w:w="213"/>
        <w:gridCol w:w="1048"/>
        <w:gridCol w:w="166"/>
        <w:gridCol w:w="146"/>
        <w:gridCol w:w="213"/>
        <w:gridCol w:w="1048"/>
        <w:gridCol w:w="146"/>
        <w:gridCol w:w="146"/>
        <w:gridCol w:w="213"/>
        <w:gridCol w:w="1048"/>
        <w:gridCol w:w="395"/>
      </w:tblGrid>
      <w:tr>
        <w:trPr/>
        <w:tc>
          <w:tcPr>
            <w:tcW w:w="40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18,918,686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net income</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1,530,440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220,458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(loss)/gain on investment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Distributable Earnings</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9,290,163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10,850,941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19,123,182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20,578,598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shares of common stock outstanding (in shares)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21,242,557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20,931,025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Distributable Earnings per Weighted Average Share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of common stock outstanding (in shares)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21,599,634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21,376,645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Distributable Earnings per Weighted Average Share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Book Value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book value per share of our common stock as of June 30, 2026 and December 31, 2025 was approximately $14.15 and $14.60,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all of our cash was unrestricted and totaled approximately $13.4 million and $14.9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Capital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seek to raise further equity capital and issue debt securities in order to fund our future investments in loans. Our prior Shelf Registration Statement on Form S-3 became effective on January 19, 2023 (the "Previous Registration Statement") and expired on January 19, 2026. On January 16, 2026 we filed a replacement Shelf Registration Statement on Form S-3 (the “New Registration Statement), to replace the Previous Registration Statement. We were permitted to continue to offer and sell securities under the Previous Registration Statement for a period of up to 180 days following its expiration or until the New Registration Statement was declared effective, whichever occurred first. That 180-day period expired on July 18, 2026, and as of the date of this Quarterly Report on Form 10-Q, the New Registration Statement has not been declared effective by the SEC. Accordingly, we do not currently have an effective shelf registration statement, and we are not currently able to conduct primary offerings of our securities under a shelf registration statement, including offerings under our ATM Program (as defined below). Once the New Registration Statement is declared effective, it will allow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and amended in March 2025, pursuant to which we may sell, from time to time, up to $100.0 million of our common stock. Sales under the ATM Program are conducted pursuant to prospectus supplements filed under our shelf registration statement. Because the Previous Registration Statement has expired and the New Registration Statement has not been declared effective, sales under the ATM Program are currently suspended. Once the New Registration Statement is declared effective and a prospectus supplement is filed thereunder, we expect to be able to resume sales under the ATM Program, subject to the restrictions on equity issuances contained in the Merger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Merger Agreement, the Company has agreed that, subject to specified exceptions and absent LIEN’s prior written consent, it will not issue or sell shares of its capital stock or other equity securities, or securities convertible into or exercisable for such securities, pending completion of the merger. Accordingly, even if the New Registration Statement becomes effective, the Company will remain subject to these restrictions unless an applicable exception applies or LIEN provides its prior written consent.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six months ended June 30, 2025, the Company sold an aggregate of 64,557 shares of the Company’s common stock under the Sales Agreements relating to our ATM Program at a weighted average price of $16.01 per share, generating net proceeds of approximately $1.0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sold 0 shares of the Company’s common stock under the Sales Agreements.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unamortized debt issuance costs related to the Revolving Loan, including all amendments and restatements thereto, as applicable, of $197,297 and $246,620, respectively, are recorded in other receivables and assets, net on the consolidated balance sheets.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and for the three months ended June 30, 2026, the Company had net borrowings of $42.0 million against the Revolving Loan. As of June 30, 2026, the Company had $19.0 million available and $91.1 million outstanding under the Revolving Loan (Note 6 </w:t>
      </w:r>
      <w:r>
        <w:rPr>
          <w:rFonts w:ascii="Segoe UI;sans-serif" w:hAnsi="Segoe UI;sans-serif"/>
          <w:color w:val="000000"/>
          <w:sz w:val="18"/>
        </w:rPr>
        <w:t>o</w:t>
      </w:r>
      <w:r>
        <w:rPr>
          <w:rFonts w:ascii="Times New Roman" w:hAnsi="Times New Roman"/>
          <w:color w:val="000000"/>
          <w:sz w:val="20"/>
        </w:rPr>
        <w:t xml:space="preserve">f Part 1, Item 1 - </w:t>
      </w:r>
      <w:r>
        <w:rPr>
          <w:rFonts w:ascii="Times New Roman" w:hAnsi="Times New Roman"/>
          <w:i/>
          <w:color w:val="000000"/>
          <w:sz w:val="20"/>
        </w:rPr>
        <w:t>Financial Information</w:t>
      </w:r>
      <w:r>
        <w:rPr>
          <w:rFonts w:ascii="Times New Roman" w:hAnsi="Times New Roman"/>
          <w:color w:val="000000"/>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Notes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 credit rating. As of June 30, 2026, the Company is in compliance with all financial covenants with respect to the Unsecured Notes.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changes in cash and cash equivalents for the six months ended June 30, 2026 and 2025, respectively:</w:t>
      </w:r>
    </w:p>
    <w:p>
      <w:pPr>
        <w:pStyle w:val="TextBody"/>
        <w:bidi w:val="0"/>
        <w:jc w:val="both"/>
        <w:rPr/>
      </w:pPr>
      <w:r>
        <w:rPr/>
        <w:t> </w:t>
      </w:r>
    </w:p>
    <w:tbl>
      <w:tblPr>
        <w:tblW w:w="9911" w:type="dxa"/>
        <w:jc w:val="left"/>
        <w:tblInd w:w="0" w:type="dxa"/>
        <w:tblLayout w:type="fixed"/>
        <w:tblCellMar>
          <w:top w:w="28" w:type="dxa"/>
          <w:left w:w="28" w:type="dxa"/>
          <w:bottom w:w="28" w:type="dxa"/>
          <w:right w:w="28" w:type="dxa"/>
        </w:tblCellMar>
      </w:tblPr>
      <w:tblGrid>
        <w:gridCol w:w="6601"/>
        <w:gridCol w:w="146"/>
        <w:gridCol w:w="217"/>
        <w:gridCol w:w="1130"/>
        <w:gridCol w:w="171"/>
        <w:gridCol w:w="150"/>
        <w:gridCol w:w="217"/>
        <w:gridCol w:w="1068"/>
        <w:gridCol w:w="21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12,313,690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18,918,686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 and</w:t>
              <w:br/>
              <w:t>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(4,830,181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12,219,169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14,088,505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(34,915,647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21,099,293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(6,878,912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(1,597,185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9,161,636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Net Cash Provided by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and 2025, we reported “Net cash provided by operating activities” of approximately $12.2 million and $14.1 million, respectively. Net cash provided by operating activities decreased approximately $1.9 million, primarily attributable to an increase in other receivables and assets of $2.5 million, a decrease in related party net payable of approximately $2.5 million related to timely collections of interest income, an increase in management and incentive fees payable of approximately $0.6 million, and a decrease in net income over the comparable period of approximately $6.6 million. These changes were offset by a provision for current expected credit losses of $4.3 million during the first six months of 2026 compared to $0.1 million during the first six months of 2025. Further, there was an increase in the interest reserve for applied interest payments of approximately $3.6 million, a decrease in interest receivable of $0.8 million consisting of certain 'past due' amounts, an increase in interest payable of approximately $0.4 million, an increase in stock based compensation of approximately $0.3 million, a $0.4 million unrealized loss on investments, compared to a $0.2 million gain over the comparable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Cash (Used in)/Provided by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and 2025, we reported “Net cash (used in)/provided by investing activities” of approximately $(34.9) million and $5.5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cash outflows primarily related to $65.5 million used for the origination and funding of loans held for investment and $40.6 million used for the origination and funding of loans held at fair value, partially offset by $71.2 million of cash received from the principal repayment of loans held for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2025, cash outflows primarily related to $10.3 million used for the origination and funding of loans held for investment, partially offset by $12.3 million of cash received from the principal repayment of loans held for investment.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Cash Provided by/(Used in) 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and 2025, we reported “Net cash provided by/(used in) financing activities” of approximately $21.1 million and ($6.9)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we reported cash inflows of approximately $42.0 million in net draws on our Revolving Loan, which were offset by approximately $20.8 million in dividends paid and approximately $30 thousand in debt issuance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2025, we reported cash inflows of approximately $1.0 million related to proceeds received from sales of our common stock through the registered at-the-market offering and approximately $16.2 million in net draws on our Revolving Loan, which were offset by $24.0 million in dividends paid and approximately $82 thousand in offering costs associated with the registered at-the-market offering.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Leverage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dividends declared during the three months ended June 30, 2026 and 2025, respectively.</w:t>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528"/>
        <w:gridCol w:w="417"/>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357"/>
        <w:gridCol w:w="588"/>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 current expected credit loss reserve ("CECL Reserve") for our loans held for investment. The CECL Reserve is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portfolio turnover from the date of our initial public offering. However, the Company’s Sponsor and its affiliates have had operations for the past three fiscal periods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multiples of publicly-traded comparable companies obtained from sources such as Bloomberg and/or S&amp;P Capital IQ as of June 30, 2026,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 </w:t>
      </w:r>
    </w:p>
    <w:p>
      <w:pPr>
        <w:pStyle w:val="TextBody"/>
        <w:bidi w:val="0"/>
        <w:spacing w:before="200" w:after="283"/>
        <w:jc w:val="left"/>
        <w:rPr>
          <w:rFonts w:ascii="Times New Roman" w:hAnsi="Times New Roman"/>
          <w:sz w:val="20"/>
        </w:rPr>
      </w:pPr>
      <w:r>
        <w:rPr>
          <w:rFonts w:ascii="Times New Roman" w:hAnsi="Times New Roman"/>
          <w:b/>
          <w:color w:val="000000"/>
          <w:sz w:val="20"/>
        </w:rPr>
        <w:t>Accounting Policies and Estimates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As of June 30, 2026, there were no significant changes in the application of our accounting policies or estimates from those presented in our annual report on Form 10-K. Refer to Note 2 to our consolidated financial statements for the three months ended June 30, 2026, titled “</w:t>
      </w:r>
      <w:r>
        <w:rPr>
          <w:rFonts w:ascii="Times New Roman" w:hAnsi="Times New Roman"/>
          <w:i/>
          <w:color w:val="000000"/>
          <w:sz w:val="20"/>
        </w:rPr>
        <w:t>Significant Accounting Policies</w:t>
      </w:r>
      <w:r>
        <w:rPr>
          <w:rFonts w:ascii="Times New Roman" w:hAnsi="Times New Roman"/>
          <w:color w:val="000000"/>
          <w:sz w:val="20"/>
        </w:rPr>
        <w:t>” for information on recent accounting pronouncements.</w:t>
      </w:r>
    </w:p>
    <w:p>
      <w:pPr>
        <w:pStyle w:val="TextBody"/>
        <w:bidi w:val="0"/>
        <w:spacing w:before="200" w:after="283"/>
        <w:jc w:val="left"/>
        <w:rPr>
          <w:rFonts w:ascii="Times New Roman" w:hAnsi="Times New Roman"/>
          <w:sz w:val="20"/>
        </w:rPr>
      </w:pPr>
      <w:bookmarkStart w:id="10" w:name="item_3"/>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Uncertainty with respect to the economic effects of political tensions in the United States and around the world have introduced significant volatility in the financial markets, and the effect of the volatility could materially impact our market risks, including those listed below. We are subject to certain financial market risks, including valuation risk, interest rate risk and credit risk.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Valuation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results of operations and financial condition are subject to valuation risk related to its real estate–related investments, including mortgage loans, real estate owned, if any, and other financial assets measured at fair value or evaluated for impairment or credit loss. The valuation of these assets involves the use of significant judgments, estimates, and assumptions, many of which are inherently subjective and may be impacted by changes in 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generally hold our investments as long-term loans classified as held for investment; however, we may occasionally classify some of our loans as held for sale. We may carry our loans at fair value or carrying value in our consolidated balance sheet. As of June 30, 2026, the Company held one loan that was carried at fair value within loans held at fair value in our consolidated balance sheets, with changes in fair value recorded through earnings. There were no such loans held as of December 31, 2025. We evaluate our loans on a quarterly basis and fair value is determined by our Manager's Investment Committee. We use an independent third-party valuation firm to provide input in the valuation of all of our unquoted investments, which we consider along with other various subjective and objective factors in making our evaluations.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Warrants are recorded at fair value on the consolidated balance sheets and unrealized gains and losses are included within the line item, change in unrealized loss on investment, in the consolidated statements of income. As of June 30, 2026, we carried $0.9 million of warrants at fair value which are included within the line item other receivables and assets, net, in our consolidated balance sheet.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Valuations of real estate collateral are generally based on third-party appraisals, broker price opinions, or other valuation techniques that rely on assumptions regarding future cash flows, capitalization rates, discount rates, comparable sales, market absorption, and prevailing economic conditions. Appraisals and similar valuation metrics may not reflect current market conditions, particularly during periods of market volatility, reduced transaction activity, or declining property values. Actual realized values may differ materially from appraised or estimated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with respect to the Company's loans held for investment, which are carried at amortized costs, the Manager applies judgment in estimating expected credit losses under its CECL valuation methodology. The determination of CECL reserves requires management to make assumptions regarding borrower performance, collateral values, historical loss experience, current conditions, and reasonable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supportable forecasts of future economic conditions. Changes in these assumptions, including adverse changes in real estate values, interest rates, occupancy levels, or macroeconomic conditions, could result in material increases in the Company’s allowance for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reviews valuation methodologies, assumptions, and key inputs on an ongoing basis and may adjust valuations or credit loss estimates as market conditions evolve. However, there can be no assurance that such estimates will accurately reflect the prices at which assets could ultimately be sold or the actual credit losses that may be realized. As a result, changes in valuations or CECL assumptions could have a material adverse effect on the Company’s financial condition, results of operations, and liquidity.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Market Interest Rates and Effect on Net 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operating results depend in large part on differences between the income earned on our assets and our cost of borrowing. The cost of our borrowings is generally based on prevailing market interest rates. During periods of rising interest rates, our borrowing costs generally increase. To the extent we fund fixed-rate investments with floating-rate borrowings, rising rates could reduce our net interest spread and net interest margin. For floating-rate investments, changes in yields may lag increases in borrowing costs due to interest rate floors, timing of rate resets, or differences in spreads, which could also adversely affect our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15 floating-rate loans, representing approximately 58.8% of our loan portfolio based on aggregate outstanding principal balances. The remaining 41.2% is represented by fixed rate loans. As of June 30, 2025, 59.3% and 40.7% of outstanding principal was represented by floating rate loans and fixed rate loans, respectively. Our loans generally have a rate floor established at the prevailing benchmark rate, as applicable, at the time of origination. Refer to Note 3 for rate floor by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Revolving Loan is exposed to similar interest rate risk. Our Revolving Loan bears interest at the greater of (1) the Prime Rate plus the applicable margin and (2) 3.25%. As of June 30, 2026, we had an outstanding balance of $91.1 million under the Revolving Loan, and an additional $19.0 million of availability which incurs an unused fee of 25 basis points. An increase in the Prime Rate is expected to result in an increase in interest expenses and therefore a decrease in net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Consolidated Statement of Operations for the period ended June 30, 2026, the following table shows the estimated annualized impact on net income resulting from hypothetical benchmark rate changes on our floating-rate portfolio (considering interest rate floors, as applicable). Management estimates reflect the characteristics of its loan portfolio as of June 30, 2026 and exclude assumptions relating to unscheduled prepayments, deployment of unfunded commitments or new originations.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734"/>
        <w:gridCol w:w="146"/>
        <w:gridCol w:w="305"/>
        <w:gridCol w:w="2075"/>
        <w:gridCol w:w="166"/>
        <w:gridCol w:w="146"/>
        <w:gridCol w:w="311"/>
        <w:gridCol w:w="2112"/>
        <w:gridCol w:w="166"/>
        <w:gridCol w:w="146"/>
        <w:gridCol w:w="366"/>
        <w:gridCol w:w="2338"/>
        <w:gridCol w:w="194"/>
      </w:tblGrid>
      <w:tr>
        <w:trPr/>
        <w:tc>
          <w:tcPr>
            <w:tcW w:w="1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Net Investment Income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300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7,267,860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2,731,500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4,536,360</w:t>
            </w:r>
          </w:p>
        </w:tc>
        <w:tc>
          <w:tcPr>
            <w:tcW w:w="19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3,024,240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100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2,422,620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1,512,120</w:t>
            </w:r>
          </w:p>
        </w:tc>
        <w:tc>
          <w:tcPr>
            <w:tcW w:w="19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200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(1,494,511</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326,489</w:t>
            </w:r>
          </w:p>
        </w:tc>
        <w:tc>
          <w:tcPr>
            <w:tcW w:w="19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300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Consolidated Statement of Operations for the year ended June 30, 2025, the following table shows the estimated annualized impact on net income resulting from hypothetical benchmark rate changes on our floating-rate portfolio (considering interest rate floors, as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304"/>
        <w:gridCol w:w="2071"/>
        <w:gridCol w:w="166"/>
        <w:gridCol w:w="146"/>
        <w:gridCol w:w="310"/>
        <w:gridCol w:w="2108"/>
        <w:gridCol w:w="166"/>
        <w:gridCol w:w="146"/>
        <w:gridCol w:w="365"/>
        <w:gridCol w:w="2332"/>
        <w:gridCol w:w="214"/>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Net Investment Income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300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7,139,122</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5,999,122</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3,999,415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100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2,379,707</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1,999,707</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200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(1,064,966</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(304,966</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300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Floor and Cap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Mismatch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Credit Risk</w:t>
      </w:r>
    </w:p>
    <w:p>
      <w:pPr>
        <w:pStyle w:val="TextBody"/>
        <w:bidi w:val="0"/>
        <w:spacing w:before="200" w:after="283"/>
        <w:jc w:val="both"/>
        <w:rPr>
          <w:rFonts w:ascii="Times New Roman" w:hAnsi="Times New Roman"/>
          <w:sz w:val="20"/>
        </w:rPr>
      </w:pPr>
      <w:r>
        <w:rPr>
          <w:rFonts w:ascii="Times New Roman" w:hAnsi="Times New Roman"/>
          <w:color w:val="000000"/>
          <w:sz w:val="20"/>
        </w:rPr>
        <w:t>We are subject to varying degrees of credit risk in connection with our loans and interest receivable, which include credit risk on our commercial real estate loans and other targeted types of loans. Our Manager will seek to manage credit risk by performing deep credit fundamental analysis of potential assets and through the use of non-recourse financing, when and where available and appropriate. Credit risk will also be addressed through our Manager’s on-going review, and loans will be monitored for variance from expected prepayments, defaults, severities, losses and cash flow on a quarterly basis. Nevertheless, unanticipated credit losses could occur that could adversely impact our operating results. For additional information regarding the credit risk associated with our loans and interest receivables, see “</w:t>
      </w:r>
      <w:r>
        <w:rPr>
          <w:rFonts w:ascii="Times New Roman" w:hAnsi="Times New Roman"/>
          <w:i/>
          <w:color w:val="000000"/>
          <w:sz w:val="20"/>
        </w:rPr>
        <w:t xml:space="preserve">Risk Factors- Loans to relatively new and/or small companies and companies operating in the cannabis industry generally involve significant risks” </w:t>
      </w:r>
      <w:r>
        <w:rPr>
          <w:rFonts w:ascii="Times New Roman" w:hAnsi="Times New Roman"/>
          <w:color w:val="000000"/>
          <w:sz w:val="20"/>
        </w:rPr>
        <w:t>in our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Manager or affiliates of our Manager generally originate all of our loans and intend to continue to originate our loans, but we may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Concentration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total loan portfolio as of June 30, 2026 and December 31, 2025, was concentrated with the top three borrowers representing approximately 31.5% and 25.6% of principal outstanding, respectively. As of and for the six months ended June 30, 2026 and 2025, the top three borrowers represented approximately 23.2% and 26.0% of the total interest income, respectively. The largest loan represented approximately 11.8% and 11.1% of principal outstanding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our borrowers have operations in the jurisdiction noted within the table below based on real estate collateral location or principal place of business:</w:t>
      </w:r>
    </w:p>
    <w:tbl>
      <w:tblPr>
        <w:tblW w:w="10205" w:type="dxa"/>
        <w:jc w:val="left"/>
        <w:tblInd w:w="0" w:type="dxa"/>
        <w:tblLayout w:type="fixed"/>
        <w:tblCellMar>
          <w:top w:w="28" w:type="dxa"/>
          <w:left w:w="28" w:type="dxa"/>
          <w:bottom w:w="28" w:type="dxa"/>
          <w:right w:w="28" w:type="dxa"/>
        </w:tblCellMar>
      </w:tblPr>
      <w:tblGrid>
        <w:gridCol w:w="1291"/>
        <w:gridCol w:w="146"/>
        <w:gridCol w:w="211"/>
        <w:gridCol w:w="1141"/>
        <w:gridCol w:w="146"/>
        <w:gridCol w:w="146"/>
        <w:gridCol w:w="1933"/>
        <w:gridCol w:w="146"/>
        <w:gridCol w:w="1276"/>
        <w:gridCol w:w="146"/>
        <w:gridCol w:w="211"/>
        <w:gridCol w:w="1141"/>
        <w:gridCol w:w="146"/>
        <w:gridCol w:w="146"/>
        <w:gridCol w:w="1979"/>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501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Loan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Loan Portfolio</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85,272,862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66,516,744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63,648,865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61,555,804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37,520,363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27,316,846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22,068,401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453,125,652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rFonts w:ascii="Times New Roman" w:hAnsi="Times New Roman"/>
          <w:color w:val="000000"/>
          <w:sz w:val="20"/>
        </w:rPr>
      </w:pPr>
      <w:r>
        <w:rPr>
          <w:rFonts w:ascii="Times New Roman" w:hAnsi="Times New Roman"/>
          <w:color w:val="000000"/>
          <w:sz w:val="20"/>
        </w:rPr>
        <w:t>* Represents less than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loans not secured by real estate collateral are included in the jurisdiction representing the principal place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Connecticut, Washington, and New Jersey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Real Estate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2026, 55.5% of our portfolio is fully secured by real estate. Our portfolio on average had real estate collateral coverage of 1.2x as of June 30, 2026, and all of our loans are secured by equity pledges of the borrower entities and all asset liens. As of June 30, 2025, 47.6% of our portfolio was fully secured by real estate. Our portfolio on average had real estate collateral coverage of 1.2x as of June 30, 2025 and all of our loans were secured by equity pledges of the borrower and all asset liens.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manage our portfolio through an interactive process with our Manager and service our self-originated loans through our Manager’s servicer;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in a mix of floating-rate and fixed-rate loans to mitigate the interest rate risk associated with the financing of our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preparation of this quarterly report on Form 10-Q, our management, including the Principal Executive Officer and Principal Financial Officer, evaluated the effectiveness of the design and operation of our disclosure controls and procedures as of June 30, 2026. Based on that evaluation, our Principal Executive Officer and Principal Financial Officer have concluded that our disclosure controls and procedures were effective at the reasonable assurance level as of June 30, 2026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discussed in the preceding paragraph, there were no changes in our internal control over financial reporting (as defined in Rules 13a-15(f) and 15d-15(f) under the Exchange Act) during the quarter ended June 30, 2026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 - OTHER INFORMATION</w:t>
      </w:r>
    </w:p>
    <w:p>
      <w:pPr>
        <w:pStyle w:val="TextBody"/>
        <w:bidi w:val="0"/>
        <w:spacing w:before="200" w:after="283"/>
        <w:jc w:val="left"/>
        <w:rPr>
          <w:rFonts w:ascii="Times New Roman" w:hAnsi="Times New Roman"/>
          <w:b/>
          <w:color w:val="000000"/>
          <w:sz w:val="20"/>
        </w:rPr>
      </w:pPr>
      <w:bookmarkStart w:id="13" w:name="item1_legal"/>
      <w:bookmarkEnd w:id="13"/>
      <w:r>
        <w:rPr>
          <w:rFonts w:ascii="Times New Roman" w:hAnsi="Times New Roman"/>
          <w:b/>
          <w:color w:val="000000"/>
          <w:sz w:val="20"/>
        </w:rPr>
        <w:t>Item 1.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normal course of business, we may be subject to various legal proceedings from time to time. We are not party to any material pending legal proceedings required to be disclosed pursuant to Item 103 of Regulation S-K.</w:t>
      </w:r>
    </w:p>
    <w:p>
      <w:pPr>
        <w:pStyle w:val="TextBody"/>
        <w:bidi w:val="0"/>
        <w:spacing w:before="200" w:after="283"/>
        <w:jc w:val="left"/>
        <w:rPr>
          <w:rFonts w:ascii="Times New Roman" w:hAnsi="Times New Roman"/>
          <w:sz w:val="20"/>
        </w:rPr>
      </w:pPr>
      <w:bookmarkStart w:id="14" w:name="item1a_risk_factors"/>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2025. The following material risk factors update or supplement the risk factors described in our Annual Report on Form 10-K for the year ended December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the Proposed Merger with Chicago Atlantic BDC, Inc.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proposed merger with LIEN is subject to various closing conditions, and there can be no assurance that the merger will be completed on the anticipated terms or timing,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17, 2026, we entered into an Agreement and Plan of Merger with LIEN. Completion of the merger is subject to numerous conditions that may not be satisfied, including the receipt of REFI and LIEN stockholder approvals (including a majority-of-the-minority vote of REFI’s unaffiliated stockholders), REFI’s election to be regulated as a business development company under the Investment Company Act, approval of a new investment advisory agreement, approvals required under Rule 17a-8 of the Investment Company Act, effectiveness of a Form N-14 registration statement, receipt of regulatory approvals and third-party consents, and other customary conditions. Failure to satisfy any of these conditions could result in delay of the merger or termination of the Merger Agreement. In addition, the pendency of the merger could have adverse effects on our business, including diversion of management attention, disruption of borrower relationships, and difficulty attracting or retaining employees of our Manager.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Movement in the Exchange Ratio between signing and closing may result in REFI stockholders receiving fewer shares of LIEN common stock than currently anticipated.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Exchange Ratio is calculated based on the relative net asset values of REFI and LIEN as of a date no earlier than 48 hours prior to the Merger Effective Time. Changes in either company’s net asset value between the date of the Merger Agreement and closing, including changes attributable to credit losses, changes in the value of our loans, share issuances (such as the July 2026 Koach issuance), and other factors will affect the Exchange Ratio, and REFI stockholders may receive fewer shares of LIEN common stock than they would have received based on net asset values calculated at earlier 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REFI’s election to be regulated as a business development company under the Investment Company Act would fundamentally change REFI’s regulatory framework.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proposed merger, REFI will elect to be regulated as a business development company under the Investment Company Act. As a business development company, REFI would be subject to a materially different regulatory regime than it is subject to today as a REIT, including limitations on leverage, affiliate transactions, and portfolio composition.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 may be filed against REFI or LIEN in connection with the proposed merger, which could delay or prevent the merger and result in the incurrence of substantial defense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Transactions such as the proposed merger frequently result in litigation, including litigation seeking to enjoin the transaction, litigation alleging breaches of fiduciary duties by directors, and litigation asserting disclosure claims under the federal securities laws. Any such litigation could delay completion of the merger, result in the incurrence of substantial defense costs, or, if the litigation is successful, prevent the merger from being completed on the anticipated terms or timing,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pStyle w:val="TextBody"/>
        <w:bidi w:val="0"/>
        <w:spacing w:before="200" w:after="283"/>
        <w:jc w:val="left"/>
        <w:rPr>
          <w:rFonts w:ascii="Times New Roman" w:hAnsi="Times New Roman"/>
          <w:sz w:val="20"/>
        </w:rPr>
      </w:pPr>
      <w:bookmarkStart w:id="15" w:name="item2_unregistred"/>
      <w:bookmarkEnd w:id="15"/>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9, 2026, the Company issued 4,306,754 shares of its common stock to Koach at a price of $14.53 per share in exchange for the Koach Notes. The shares were issued in a private placement in reliance on Section 4(a)(2) of the Securities Act of 1933, as amended, and Rule 506 of Regulation D promulgated thereunder. No underwriter or placement agent was engaged in connection with the transaction, and no underwriting discounts or commissions were or will be paid by the Company. Additional information regarding the transaction was previously reported in the Company’s Current Report on Form 8-K filed with the SEC on July 13, 2026, and is described in Note 17 to the consolidated financial statements included in this Quarterly Report on Form 10-Q.</w:t>
      </w:r>
    </w:p>
    <w:p>
      <w:pPr>
        <w:pStyle w:val="TextBody"/>
        <w:bidi w:val="0"/>
        <w:spacing w:before="200" w:after="283"/>
        <w:jc w:val="left"/>
        <w:rPr>
          <w:rFonts w:ascii="Times New Roman" w:hAnsi="Times New Roman"/>
          <w:b/>
          <w:color w:val="000000"/>
          <w:sz w:val="20"/>
        </w:rPr>
      </w:pPr>
      <w:bookmarkStart w:id="16" w:name="item3_defaults_upon"/>
      <w:bookmarkEnd w:id="16"/>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7" w:name="item4_mine_safety_disclosures"/>
      <w:bookmarkEnd w:id="17"/>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18" w:name="item5_other"/>
      <w:bookmarkEnd w:id="18"/>
      <w:r>
        <w:rPr>
          <w:rFonts w:ascii="Times New Roman" w:hAnsi="Times New Roman"/>
          <w:b/>
          <w:color w:val="000000"/>
          <w:sz w:val="20"/>
        </w:rPr>
        <w:t>Item 5. Other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 of the Company’s officers or directors have adopted, modified or terminated trading plans under either a Rule 10b5-1 or non-Rule 10b5-1 trading arrangement (as such terms are defined in Item 408 of Regulation S-K of the Securities Act of 1933) for the three months ended June 30, 2026.</w:t>
      </w:r>
    </w:p>
    <w:p>
      <w:pPr>
        <w:pStyle w:val="TextBody"/>
        <w:bidi w:val="0"/>
        <w:spacing w:before="200" w:after="283"/>
        <w:jc w:val="left"/>
        <w:rPr>
          <w:rFonts w:ascii="Times New Roman" w:hAnsi="Times New Roman"/>
          <w:b/>
          <w:color w:val="000000"/>
          <w:sz w:val="20"/>
        </w:rPr>
      </w:pPr>
      <w:bookmarkStart w:id="19" w:name="item_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9278"/>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8"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8"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June 17, 2026, by and among Chicago Atlantic Real Estate Finance, Inc., Chicago Atlantic BDC, Inc., Chicago Atlantic BDC Advisers, LLC, and Chicago Atlantic REIT Manager, LLC (incorporated by reference to Exhibit 2.1 of the Company’s Current Report on Form 8-K filed on June 18,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Support Agreement (Company Stockholders), dated as of June 17, 2026, by and among Chicago Atlantic Real Estate Finance, Inc., Chicago Atlantic BDC, Inc., and the stockholders party thereto (incorporated by reference to Exhibit 10.1 of the Company’s Current Report of Form 8-K filed on June 18, 2026).</w:t>
              </w:r>
            </w:hyperlink>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Support Agreement (Acquiror Stockholders), dated as of June 17, 2026, by and among Chicago Atlantic Real Estate Finance, Inc., Chicago Atlantic BDC, Inc., and the Acquiror stockholders party thereto (incorporated by reference to Exhibit 10.2 of the Company’s Current Report of Form 8-K filed on June 18,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Loan Agreement, dated as of July 9, 2026, by and among Chicago Atlantic Real Estate Finance, Inc. and Koach Capital Fund I LLC, Koach Capital Fund II LP, Koach Capital Fund III LP and their respective wholly-owned subsidiaries (incorporated by reference to Exhibit 10.1 of the Company’s Current Report on Form 8-K filed on July 13, 2026).</w:t>
              </w:r>
            </w:hyperlink>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Lock-Up Letter (incorporated by reference to Exhibit 10.2 of the Company's Current Report on Form 8-K filed on July 13, 2026).</w:t>
              </w:r>
            </w:hyperlink>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fi-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fi-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fi-ex32_1.htm">
              <w:r>
                <w:rPr>
                  <w:rStyle w:val="InternetLink"/>
                  <w:rFonts w:ascii="Times New Roman" w:hAnsi="Times New Roman"/>
                  <w:color w:val="0000FF"/>
                  <w:sz w:val="20"/>
                  <w:u w:val="single"/>
                </w:rPr>
                <w:t>Certification of Principal Executive Officer pursuant to Section 906 of the Sarbanes-Oxley Act of 2002.</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fi-ex32_2.htm">
              <w:r>
                <w:rPr>
                  <w:rStyle w:val="InternetLink"/>
                  <w:rFonts w:ascii="Times New Roman" w:hAnsi="Times New Roman"/>
                  <w:color w:val="0000FF"/>
                  <w:sz w:val="20"/>
                  <w:u w:val="single"/>
                </w:rPr>
                <w:t>Certification of Principal Financial Officer pursuant to Section 906 of the Sarbanes-Oxley Act of 2002.</w:t>
              </w:r>
            </w:hyperlink>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Document–the instance document does not appear in the Interactive Data File as its XBRL tags are embedded within the Inline XBRL document.*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7006" w:type="dxa"/>
        <w:jc w:val="left"/>
        <w:tblInd w:w="0" w:type="dxa"/>
        <w:tblLayout w:type="fixed"/>
        <w:tblCellMar>
          <w:top w:w="28" w:type="dxa"/>
          <w:left w:w="28" w:type="dxa"/>
          <w:bottom w:w="28" w:type="dxa"/>
          <w:right w:w="28" w:type="dxa"/>
        </w:tblCellMar>
      </w:tblPr>
      <w:tblGrid>
        <w:gridCol w:w="2056"/>
        <w:gridCol w:w="525"/>
        <w:gridCol w:w="4425"/>
      </w:tblGrid>
      <w:tr>
        <w:trPr/>
        <w:tc>
          <w:tcPr>
            <w:tcW w:w="205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425"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CHICAGO ATLANTIC REAL ESTATE FINANCE, INC.</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11, 2026</w:t>
            </w:r>
          </w:p>
        </w:tc>
        <w:tc>
          <w:tcPr>
            <w:tcW w:w="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2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Sack</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Co-Chief Executive Officer and Director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4878" w:type="dxa"/>
        <w:jc w:val="left"/>
        <w:tblInd w:w="0" w:type="dxa"/>
        <w:tblLayout w:type="fixed"/>
        <w:tblCellMar>
          <w:top w:w="28" w:type="dxa"/>
          <w:left w:w="28" w:type="dxa"/>
          <w:bottom w:w="28" w:type="dxa"/>
          <w:right w:w="28" w:type="dxa"/>
        </w:tblCellMar>
      </w:tblPr>
      <w:tblGrid>
        <w:gridCol w:w="2056"/>
        <w:gridCol w:w="406"/>
        <w:gridCol w:w="2416"/>
      </w:tblGrid>
      <w:tr>
        <w:trPr/>
        <w:tc>
          <w:tcPr>
            <w:tcW w:w="20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Silverman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bookmarkStart w:id="20" w:name="refi-ex31_1.htm"/>
      <w:bookmarkStart w:id="21" w:name="ksrefi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Peter Sack, Co-Chief Executive Officer of Chicago Atlantic Real Estate Finance, Inc.,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Chicago Atlantic Real Estate Finance,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78" w:type="dxa"/>
        <w:jc w:val="left"/>
        <w:tblInd w:w="0" w:type="dxa"/>
        <w:tblLayout w:type="fixed"/>
        <w:tblCellMar>
          <w:top w:w="28" w:type="dxa"/>
          <w:left w:w="28" w:type="dxa"/>
          <w:bottom w:w="28" w:type="dxa"/>
          <w:right w:w="28" w:type="dxa"/>
        </w:tblCellMar>
      </w:tblPr>
      <w:tblGrid>
        <w:gridCol w:w="1951"/>
        <w:gridCol w:w="406"/>
        <w:gridCol w:w="34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Peter Sack</w:t>
            </w:r>
          </w:p>
          <w:p>
            <w:pPr>
              <w:pStyle w:val="TableContents"/>
              <w:bidi w:val="0"/>
              <w:jc w:val="left"/>
              <w:rPr>
                <w:rFonts w:ascii="Times New Roman" w:hAnsi="Times New Roman"/>
                <w:color w:val="000000"/>
                <w:sz w:val="20"/>
              </w:rPr>
            </w:pPr>
            <w:r>
              <w:rPr>
                <w:rFonts w:ascii="Times New Roman" w:hAnsi="Times New Roman"/>
                <w:color w:val="000000"/>
                <w:sz w:val="20"/>
              </w:rPr>
              <w:t>Co-Chief Executive Officer and Director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refi-ex31_2.htm"/>
      <w:bookmarkStart w:id="23" w:name="ksrefi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Phillip Silverman, Chief Financial Officer of Chicago Atlantic Real Estate Finance, Inc.,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Chicago Atlantic Real Estate Finance,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78" w:type="dxa"/>
        <w:jc w:val="left"/>
        <w:tblInd w:w="0" w:type="dxa"/>
        <w:tblLayout w:type="fixed"/>
        <w:tblCellMar>
          <w:top w:w="28" w:type="dxa"/>
          <w:left w:w="28" w:type="dxa"/>
          <w:bottom w:w="28" w:type="dxa"/>
          <w:right w:w="28" w:type="dxa"/>
        </w:tblCellMar>
      </w:tblPr>
      <w:tblGrid>
        <w:gridCol w:w="1951"/>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Phillip Silverman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efi-ex32_1.htm"/>
      <w:bookmarkStart w:id="25" w:name="ksrefiex32_1"/>
      <w:bookmarkEnd w:id="24"/>
      <w:bookmarkEnd w:id="25"/>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for the quarterly period ended June 30, 2026 (the “Report”) of Chicago Atlantic Real Estate Finance, Inc. (the “Registrant”), as filed with the Securities and Exchange Commission on the date hereof, I, Peter Sack, the Co-Chief Executive Officer of the Registrant, hereby certify, to the best of my knowledge,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5778" w:type="dxa"/>
        <w:jc w:val="left"/>
        <w:tblInd w:w="0" w:type="dxa"/>
        <w:tblLayout w:type="fixed"/>
        <w:tblCellMar>
          <w:top w:w="28" w:type="dxa"/>
          <w:left w:w="28" w:type="dxa"/>
          <w:bottom w:w="28" w:type="dxa"/>
          <w:right w:w="28" w:type="dxa"/>
        </w:tblCellMar>
      </w:tblPr>
      <w:tblGrid>
        <w:gridCol w:w="1951"/>
        <w:gridCol w:w="406"/>
        <w:gridCol w:w="34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Peter Sack</w:t>
            </w:r>
          </w:p>
          <w:p>
            <w:pPr>
              <w:pStyle w:val="TableContents"/>
              <w:bidi w:val="0"/>
              <w:jc w:val="left"/>
              <w:rPr>
                <w:rFonts w:ascii="Times New Roman" w:hAnsi="Times New Roman"/>
                <w:color w:val="000000"/>
                <w:sz w:val="20"/>
              </w:rPr>
            </w:pPr>
            <w:r>
              <w:rPr>
                <w:rFonts w:ascii="Times New Roman" w:hAnsi="Times New Roman"/>
                <w:color w:val="000000"/>
                <w:sz w:val="20"/>
              </w:rPr>
              <w:t>Co-Chief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efi-ex32_2.htm"/>
      <w:bookmarkStart w:id="27" w:name="ksrefiex32_2"/>
      <w:bookmarkEnd w:id="26"/>
      <w:bookmarkEnd w:id="27"/>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br/>
        <w:t>PURSUANT TO</w:t>
        <w:br/>
        <w:t>SECTION 906 OF THE SARBANES-OXLEY ACT OF 2002 (18 U.S.C.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for the quarterly period ended June 30, 2026 (the “Report”) of Chicago Atlantic Real Estate Finance, Inc. (the “Registrant”), as filed with the Securities and Exchange Commission on the date hereof, I, Phillip Silverman, the Chief Financial Officer of the Registrant, hereby certify, to the best of my knowledge,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4878" w:type="dxa"/>
        <w:jc w:val="left"/>
        <w:tblInd w:w="0" w:type="dxa"/>
        <w:tblLayout w:type="fixed"/>
        <w:tblCellMar>
          <w:top w:w="28" w:type="dxa"/>
          <w:left w:w="28" w:type="dxa"/>
          <w:bottom w:w="28" w:type="dxa"/>
          <w:right w:w="28" w:type="dxa"/>
        </w:tblCellMar>
      </w:tblPr>
      <w:tblGrid>
        <w:gridCol w:w="1951"/>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Phillip Silverman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67949/000121390026069861/ea0295037-8k425_chicago.htm" TargetMode="External"/><Relationship Id="rId3" Type="http://schemas.openxmlformats.org/officeDocument/2006/relationships/hyperlink" Target="https://www.sec.gov/ix?doc=/Archives/edgar/data/0001867949/000121390026069861/ea0295037-8k425_chicago.htm" TargetMode="External"/><Relationship Id="rId4" Type="http://schemas.openxmlformats.org/officeDocument/2006/relationships/hyperlink" Target="https://www.sec.gov/ix?doc=/Archives/edgar/data/0001867949/000121390026069861/ea0295037-8k425_chicago.htm" TargetMode="External"/><Relationship Id="rId5" Type="http://schemas.openxmlformats.org/officeDocument/2006/relationships/hyperlink" Target="https://www.sec.gov/Archives/edgar/data/1867949/000121390026077585/ea029747601ex10-1.htm" TargetMode="External"/><Relationship Id="rId6" Type="http://schemas.openxmlformats.org/officeDocument/2006/relationships/hyperlink" Target="https://www.sec.gov/Archives/edgar/data/1867949/000121390026077585/ea029747601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35872</Words>
  <Characters>192736</Characters>
  <CharactersWithSpaces>229661</CharactersWithSpaces>
  <Paragraphs>9861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