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880" w:right="940" w:hanging="2932"/>
        <w:spacing w:after="0" w:line="486" w:lineRule="auto"/>
        <w:tabs>
          <w:tab w:leader="none" w:pos="115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5" w:lineRule="exact"/>
        <w:rPr>
          <w:rFonts w:ascii="MS PGothic" w:cs="MS PGothic" w:eastAsia="MS PGothic" w:hAnsi="MS PGothic"/>
          <w:sz w:val="18"/>
          <w:szCs w:val="18"/>
          <w:color w:val="auto"/>
          <w:highlight w:val="black"/>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001-41123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8"/>
              </w:rPr>
              <w:t>86-3125132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7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8"/>
              </w:rPr>
              <w:t>420 North Wabash Avenue, Suite 500,</w:t>
            </w:r>
          </w:p>
        </w:tc>
        <w:tc>
          <w:tcPr>
            <w:tcW w:w="3640" w:type="dxa"/>
            <w:vAlign w:val="bottom"/>
          </w:tcPr>
          <w:p>
            <w:pPr>
              <w:spacing w:after="0"/>
              <w:rPr>
                <w:sz w:val="24"/>
                <w:szCs w:val="24"/>
                <w:color w:val="auto"/>
              </w:rPr>
            </w:pPr>
          </w:p>
        </w:tc>
      </w:tr>
      <w:tr>
        <w:trPr>
          <w:trHeight w:val="220"/>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Chicago, IL 60611</w:t>
            </w:r>
          </w:p>
        </w:tc>
        <w:tc>
          <w:tcPr>
            <w:tcW w:w="3640" w:type="dxa"/>
            <w:vAlign w:val="bottom"/>
          </w:tcPr>
          <w:p>
            <w:pPr>
              <w:spacing w:after="0"/>
              <w:rPr>
                <w:sz w:val="19"/>
                <w:szCs w:val="19"/>
                <w:color w:val="auto"/>
              </w:rPr>
            </w:pPr>
          </w:p>
        </w:tc>
      </w:tr>
      <w:tr>
        <w:trPr>
          <w:trHeight w:val="234"/>
        </w:trPr>
        <w:tc>
          <w:tcPr>
            <w:tcW w:w="760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40" w:type="dxa"/>
            <w:vAlign w:val="bottom"/>
          </w:tcPr>
          <w:p>
            <w:pPr>
              <w:spacing w:after="0"/>
              <w:rPr>
                <w:sz w:val="20"/>
                <w:szCs w:val="20"/>
                <w:color w:val="auto"/>
              </w:rPr>
            </w:pPr>
          </w:p>
        </w:tc>
      </w:tr>
      <w:tr>
        <w:trPr>
          <w:trHeight w:val="414"/>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(312) 809-7002</w:t>
            </w:r>
          </w:p>
        </w:tc>
        <w:tc>
          <w:tcPr>
            <w:tcW w:w="3640" w:type="dxa"/>
            <w:vAlign w:val="bottom"/>
          </w:tcPr>
          <w:p>
            <w:pPr>
              <w:spacing w:after="0"/>
              <w:rPr>
                <w:sz w:val="24"/>
                <w:szCs w:val="24"/>
                <w:color w:val="auto"/>
              </w:rPr>
            </w:pPr>
          </w:p>
        </w:tc>
      </w:tr>
      <w:tr>
        <w:trPr>
          <w:trHeight w:val="234"/>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1"/>
                <w:szCs w:val="21"/>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REFI</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August 5, 2022</w:t>
            </w:r>
          </w:p>
        </w:tc>
      </w:tr>
      <w:tr>
        <w:trPr>
          <w:trHeight w:val="216"/>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17,657,913</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771"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2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CHICAGO ATLANTIC REAL ESTATE FINANCE, INC.</w:t>
            </w:r>
          </w:p>
        </w:tc>
        <w:tc>
          <w:tcPr>
            <w:tcW w:w="8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9"/>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94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880" w:type="dxa"/>
            <w:vAlign w:val="bottom"/>
            <w:shd w:val="clear" w:color="auto" w:fill="CCEEFF"/>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880" w:type="dxa"/>
            <w:vAlign w:val="bottom"/>
            <w:tcBorders>
              <w:top w:val="single" w:sz="8" w:color="CCEEFF"/>
            </w:tcBorders>
            <w:gridSpan w:val="13"/>
          </w:tcPr>
          <w:p>
            <w:pPr>
              <w:spacing w:after="0"/>
              <w:rPr>
                <w:sz w:val="15"/>
                <w:szCs w:val="15"/>
                <w:color w:val="auto"/>
              </w:rPr>
            </w:pPr>
          </w:p>
        </w:tc>
        <w:tc>
          <w:tcPr>
            <w:tcW w:w="880" w:type="dxa"/>
            <w:vAlign w:val="bottom"/>
            <w:tcBorders>
              <w:top w:val="single" w:sz="8" w:color="CCEEFF"/>
            </w:tcBorders>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61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June 30, 2022 (unaudited) and December 31, 2021</w:t>
            </w:r>
          </w:p>
        </w:tc>
        <w:tc>
          <w:tcPr>
            <w:tcW w:w="3280" w:type="dxa"/>
            <w:vAlign w:val="bottom"/>
            <w:tcBorders>
              <w:bottom w:val="single" w:sz="8" w:color="CCEEFF"/>
            </w:tcBorders>
            <w:gridSpan w:val="5"/>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20" w:type="dxa"/>
            <w:vAlign w:val="bottom"/>
          </w:tcPr>
          <w:p>
            <w:pPr>
              <w:spacing w:after="0"/>
              <w:rPr>
                <w:sz w:val="15"/>
                <w:szCs w:val="15"/>
                <w:color w:val="auto"/>
              </w:rPr>
            </w:pPr>
          </w:p>
        </w:tc>
        <w:tc>
          <w:tcPr>
            <w:tcW w:w="874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Income for the three and six months ended June 30, 2022 (unaudited) and for the period from</w:t>
            </w:r>
          </w:p>
        </w:tc>
        <w:tc>
          <w:tcPr>
            <w:tcW w:w="70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9440" w:type="dxa"/>
            <w:vAlign w:val="bottom"/>
            <w:gridSpan w:val="20"/>
          </w:tcPr>
          <w:p>
            <w:pPr>
              <w:ind w:left="160"/>
              <w:spacing w:after="0" w:line="196" w:lineRule="exact"/>
              <w:rPr>
                <w:sz w:val="20"/>
                <w:szCs w:val="20"/>
                <w:color w:val="auto"/>
              </w:rPr>
            </w:pPr>
            <w:r>
              <w:rPr>
                <w:rFonts w:ascii="Times New Roman" w:cs="Times New Roman" w:eastAsia="Times New Roman" w:hAnsi="Times New Roman"/>
                <w:sz w:val="18"/>
                <w:szCs w:val="18"/>
                <w:color w:val="0000EE"/>
              </w:rPr>
              <w:t>March 30, 2021 (inception) to June 30, 2021 (unaudited)</w:t>
            </w:r>
          </w:p>
        </w:tc>
        <w:tc>
          <w:tcPr>
            <w:tcW w:w="88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2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Equity for the three and six months ended June 30, 2022 (unaudited) and for the period from March</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9440" w:type="dxa"/>
            <w:vAlign w:val="bottom"/>
            <w:gridSpan w:val="20"/>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30, 2021 (inception) to June 30, 2021 (unaudited)</w:t>
            </w:r>
          </w:p>
        </w:tc>
        <w:tc>
          <w:tcPr>
            <w:tcW w:w="880" w:type="dxa"/>
            <w:vAlign w:val="bottom"/>
            <w:shd w:val="clear" w:color="auto" w:fill="CCEEFF"/>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12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June 30, 2022 (unaudited) and for the period from March 30,</w:t>
            </w:r>
          </w:p>
        </w:tc>
        <w:tc>
          <w:tcPr>
            <w:tcW w:w="32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9440" w:type="dxa"/>
            <w:vAlign w:val="bottom"/>
            <w:gridSpan w:val="20"/>
          </w:tcPr>
          <w:p>
            <w:pPr>
              <w:ind w:left="160"/>
              <w:spacing w:after="0" w:line="196" w:lineRule="exact"/>
              <w:rPr>
                <w:sz w:val="20"/>
                <w:szCs w:val="20"/>
                <w:color w:val="auto"/>
              </w:rPr>
            </w:pPr>
            <w:r>
              <w:rPr>
                <w:rFonts w:ascii="Times New Roman" w:cs="Times New Roman" w:eastAsia="Times New Roman" w:hAnsi="Times New Roman"/>
                <w:sz w:val="18"/>
                <w:szCs w:val="18"/>
                <w:color w:val="0000EE"/>
              </w:rPr>
              <w:t>2021 (inception) to June 30, 2021 (unaudited)</w:t>
            </w:r>
          </w:p>
        </w:tc>
        <w:tc>
          <w:tcPr>
            <w:tcW w:w="88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8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100" w:type="dxa"/>
            <w:vAlign w:val="bottom"/>
            <w:tcBorders>
              <w:top w:val="single" w:sz="8" w:color="CCEEFF"/>
            </w:tcBorders>
            <w:gridSpan w:val="6"/>
          </w:tcPr>
          <w:p>
            <w:pPr>
              <w:spacing w:after="0"/>
              <w:rPr>
                <w:sz w:val="15"/>
                <w:szCs w:val="15"/>
                <w:color w:val="auto"/>
              </w:rPr>
            </w:pPr>
          </w:p>
        </w:tc>
        <w:tc>
          <w:tcPr>
            <w:tcW w:w="880" w:type="dxa"/>
            <w:vAlign w:val="bottom"/>
            <w:tcBorders>
              <w:top w:val="single" w:sz="8" w:color="CCEEFF"/>
            </w:tcBorders>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4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8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40" w:type="dxa"/>
            <w:vAlign w:val="bottom"/>
            <w:tcBorders>
              <w:bottom w:val="single" w:sz="8" w:color="CCEEFF"/>
            </w:tcBorders>
            <w:gridSpan w:val="17"/>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120" w:type="dxa"/>
            <w:vAlign w:val="bottom"/>
            <w:tcBorders>
              <w:bottom w:val="single" w:sz="8" w:color="CCEEFF"/>
            </w:tcBorders>
            <w:gridSpan w:val="11"/>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9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8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15"/>
                <w:szCs w:val="15"/>
                <w:color w:val="auto"/>
              </w:rPr>
            </w:pPr>
          </w:p>
        </w:tc>
        <w:tc>
          <w:tcPr>
            <w:tcW w:w="8140" w:type="dxa"/>
            <w:vAlign w:val="bottom"/>
            <w:tcBorders>
              <w:top w:val="single" w:sz="8" w:color="CCEEFF"/>
            </w:tcBorders>
            <w:gridSpan w:val="16"/>
          </w:tcPr>
          <w:p>
            <w:pPr>
              <w:spacing w:after="0"/>
              <w:rPr>
                <w:sz w:val="15"/>
                <w:szCs w:val="15"/>
                <w:color w:val="auto"/>
              </w:rPr>
            </w:pPr>
          </w:p>
        </w:tc>
        <w:tc>
          <w:tcPr>
            <w:tcW w:w="880" w:type="dxa"/>
            <w:vAlign w:val="bottom"/>
            <w:tcBorders>
              <w:top w:val="single" w:sz="8" w:color="CCEEFF"/>
            </w:tcBorders>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330,201,986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(1,203,424)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(134,542)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328,998,562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196,850,024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6,623,096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80,248,526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975,572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956,438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337,553,668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278,170,455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reserve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6,370,024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8,405,865</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739,950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for investment purchased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6,629,075</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1,247,561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533,682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68,926,157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14,092,487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shares authorized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 and 17,752,290 and 17,453,553 shares issued and outstanding at June 30, 2022 and December 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176,579</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268,803,970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264,081,977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(353,038)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(177,560)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268,627,511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264,077,968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337,553,668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278,170,455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30,</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11,850,028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21,683,081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1,154,489</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(449,556)</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(16,712)</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(521,824)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(16,712)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11,400,472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1,247,561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1,919,066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777,212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1,045,665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1,097,008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69,226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743,670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1,300,574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122,525</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243,465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3,936,633</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69,226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5,893,466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69,226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7,463,839</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1,068,551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15,267,791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1,068,551</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7,463,839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1,068,551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15,267,791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1,068,551</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 (in dollars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 (in dollars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17,657,913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2,407,329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17,649,548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2,355,559</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17,752,413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2,407,329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17,745,234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2,355,559</w:t>
            </w: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99,936</w:t>
            </w:r>
          </w:p>
        </w:tc>
        <w:tc>
          <w:tcPr>
            <w:tcW w:w="14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3,618,401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36,184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56,263,560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56,299,744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1,068,551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3,624,828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56,363,496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56,399,744</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17,453,553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264,081,977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264,077,968</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initial public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and concurrent private placement, net of offering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underwriting discounts and commissions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4,478,528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4,481,556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120,940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(7,100,875)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(7,100,875)</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7,803,952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7,803,952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17,752,603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268,681,445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526,492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269,384,516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(8,343,576)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(8,343,576)</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7,463,839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7,463,839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17,752,290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268,803,970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(353,038</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268,627,511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15,267,791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deferred loan origination fees and other discounts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(1,362,776)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Payment-in-kind interest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(2,400,627)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1,097,008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(777,837)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(146,102)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reserve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(6,162,392)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613,663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739,950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342,438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292,669</w:t>
            </w:r>
          </w:p>
        </w:tc>
        <w:tc>
          <w:tcPr>
            <w:tcW w:w="100" w:type="dxa"/>
            <w:vAlign w:val="bottom"/>
          </w:tcPr>
          <w:p>
            <w:pPr>
              <w:spacing w:after="0"/>
              <w:rPr>
                <w:sz w:val="14"/>
                <w:szCs w:val="14"/>
                <w:color w:val="auto"/>
              </w:rPr>
            </w:pPr>
          </w:p>
        </w:tc>
        <w:tc>
          <w:tcPr>
            <w:tcW w:w="11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(43,501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7,374,682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and fundings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(125,383,782)</w:t>
      </w:r>
      <w:r>
        <w:rPr>
          <w:sz w:val="20"/>
          <w:szCs w:val="20"/>
          <w:color w:val="auto"/>
        </w:rPr>
        <w:tab/>
      </w:r>
      <w:r>
        <w:rPr>
          <w:rFonts w:ascii="Times New Roman" w:cs="Times New Roman" w:eastAsia="Times New Roman" w:hAnsi="Times New Roman"/>
          <w:sz w:val="18"/>
          <w:szCs w:val="18"/>
          <w:color w:val="auto"/>
        </w:rPr>
        <w:t>(32,017,500)</w:t>
      </w:r>
    </w:p>
    <w:p>
      <w:pPr>
        <w:spacing w:after="0" w:line="27" w:lineRule="exact"/>
        <w:rPr>
          <w:sz w:val="20"/>
          <w:szCs w:val="20"/>
          <w:color w:val="auto"/>
        </w:rPr>
      </w:pPr>
    </w:p>
    <w:p>
      <w:pPr>
        <w:ind w:left="240"/>
        <w:spacing w:after="0"/>
        <w:tabs>
          <w:tab w:leader="none" w:pos="1780" w:val="left"/>
        </w:tabs>
        <w:rPr>
          <w:sz w:val="20"/>
          <w:szCs w:val="20"/>
          <w:color w:val="auto"/>
        </w:rPr>
      </w:pPr>
      <w:r>
        <w:rPr>
          <w:rFonts w:ascii="Times New Roman" w:cs="Times New Roman" w:eastAsia="Times New Roman" w:hAnsi="Times New Roman"/>
          <w:sz w:val="18"/>
          <w:szCs w:val="18"/>
          <w:color w:val="auto"/>
        </w:rPr>
        <w:t>6,654,703</w:t>
      </w:r>
      <w:r>
        <w:rPr>
          <w:sz w:val="20"/>
          <w:szCs w:val="20"/>
          <w:color w:val="auto"/>
        </w:rPr>
        <w:tab/>
      </w:r>
      <w:r>
        <w:rPr>
          <w:rFonts w:ascii="Times New Roman" w:cs="Times New Roman" w:eastAsia="Times New Roman" w:hAnsi="Times New Roman"/>
          <w:sz w:val="18"/>
          <w:szCs w:val="18"/>
          <w:color w:val="auto"/>
        </w:rPr>
        <w:t>46,667</w:t>
      </w:r>
    </w:p>
    <w:p>
      <w:pPr>
        <w:spacing w:after="0" w:line="2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(118,729,079)</w:t>
      </w:r>
      <w:r>
        <w:rPr>
          <w:sz w:val="20"/>
          <w:szCs w:val="20"/>
          <w:color w:val="auto"/>
        </w:rPr>
        <w:tab/>
      </w:r>
      <w:r>
        <w:rPr>
          <w:rFonts w:ascii="Times New Roman" w:cs="Times New Roman" w:eastAsia="Times New Roman" w:hAnsi="Times New Roman"/>
          <w:sz w:val="18"/>
          <w:szCs w:val="18"/>
          <w:b w:val="1"/>
          <w:bCs w:val="1"/>
          <w:color w:val="auto"/>
        </w:rPr>
        <w:t>(31,970,833)</w:t>
      </w:r>
    </w:p>
    <w:p>
      <w:pPr>
        <w:spacing w:after="0" w:line="36" w:lineRule="exact"/>
        <w:rPr>
          <w:sz w:val="20"/>
          <w:szCs w:val="20"/>
          <w:color w:val="auto"/>
        </w:rPr>
      </w:pPr>
    </w:p>
    <w:p>
      <w:pPr>
        <w:sectPr>
          <w:pgSz w:w="11900" w:h="16838" w:orient="portrait"/>
          <w:cols w:equalWidth="0" w:num="2">
            <w:col w:w="8120" w:space="720"/>
            <w:col w:w="240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4,505,664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31,359,323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on revolving line of credit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(11,575,495)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(23,941)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37,728,967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31,359,323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(73,625,430)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843,585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80,248,526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6,623,096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943,585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acquired for issuance of shares of common stock</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24,940,421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reserve withheld from funding of loan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5,895,863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820,388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OID withheld from funding of loans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1,835,592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682,500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and not yet paid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8,380,271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1,068,551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102,500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all of its REIT taxable income prior to the deduction for dividends paid and complies with various other requirements as a REIT.</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LLC (the “Sponsor”).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2021. In the opinion of the Company, all normal recurring adjustments have been made that are necessary to present fairly the results of operations and financial position as of and for the periods presented. Operating results for the three and six-month periods ended June 30, 2022 are not necessarily indicative of the results that may be expected for the year ending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Interest expense was previously presented as an operating expense and has been reclassified as a reduction to revenue on the consolidated statements of income. General and administrative expense reimbursements due to the Manager, which were previously included in the line item, and management and incentive fees payable, have been reclassified into related party payable in the consolidated balance sheets. In addition, other receivables amounts have been reclassified to other receivables and assets, net in the consolidated balance sheets. These reclassifications do not result in any changes to previously reported total assets and net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transactions are reported on a trade-date basis. Unsettled trades as of the balance sheet date are included in payable for investments purchased.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2022, there are no recent accounting pronouncements that have been issued that are expected to have a significant impact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Company’s portfolio was comprised of 22 and 21 loans, respectively, held on the consolidated balance sheet at amortized cost. The Company’s aggregate loan commitments and outstanding principal were approximately $357.1 million and $334.3 million as of June 30, 2022, and $235.1 million and $200.6 million as of December 31, 2021. For the six months ended June 30, 2022, the Company funded approximately $137.9 million in new loan principal.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approximately 59.8% and 53.2%, respectively, of its portfolio was comprised of floating rate loans that pay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the prime rate plus an applicable margin, and were subject to prime rate floors. The outstanding principal of these loans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and $106.7 million as of June 30, 2022 and December 31, 2021, respectively. The remaining 40.2% and 46.8% of the portfolio as of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2022 and December 31, 2021, respectively, was comprised of fixed rate loans that had outstanding principal of approximately $134.3 million and $93.9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did not have any loans held for investment with floating interest rates tied to the London Inter-bank Offered Rate (“LIBOR”) or other benchmark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June 30, 2022 and December 31, 2021: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4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334,322,292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330,201,986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(1,203,424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334,322,292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(4,120,306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328,998,562</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4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200,632,056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196,984,566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presents changes in loans held at carrying value as of and for the six months ended June 30, 2022 and the period from March 30, 2021 (inception) to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137,944,312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(1,835,592)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136,108,720</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(6,654,703)</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(6,654,703)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1,362,776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1,362,776</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2,400,627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2,400,627</w:t>
            </w: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(1,068,882)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(1,068,882)</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vMerge w:val="continue"/>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334,322,292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(4,120,306</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(1,203,424</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328,998,562</w:t>
            </w:r>
          </w:p>
        </w:tc>
        <w:tc>
          <w:tcPr>
            <w:tcW w:w="0" w:type="dxa"/>
            <w:vAlign w:val="bottom"/>
          </w:tcPr>
          <w:p>
            <w:pPr>
              <w:spacing w:after="0"/>
              <w:rPr>
                <w:sz w:val="1"/>
                <w:szCs w:val="1"/>
                <w:color w:val="auto"/>
              </w:rPr>
            </w:pPr>
          </w:p>
        </w:tc>
      </w:tr>
      <w:tr>
        <w:trPr>
          <w:trHeight w:val="21"/>
        </w:trPr>
        <w:tc>
          <w:tcPr>
            <w:tcW w:w="4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25,185,837</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(245,416)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24,940,421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32,700,000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32,017,500</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(46,667)</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(46,667)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64,061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64,061</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51,767</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51,767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57,890,937</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(863,855</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57,027,082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June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Funding</w:t>
            </w:r>
          </w:p>
        </w:tc>
        <w:tc>
          <w:tcPr>
            <w:tcW w:w="0" w:type="dxa"/>
            <w:vAlign w:val="bottom"/>
          </w:tcPr>
          <w:p>
            <w:pPr>
              <w:spacing w:after="0"/>
              <w:rPr>
                <w:sz w:val="1"/>
                <w:szCs w:val="1"/>
                <w:color w:val="auto"/>
              </w:rPr>
            </w:pPr>
          </w:p>
        </w:tc>
      </w:tr>
      <w:tr>
        <w:trPr>
          <w:trHeight w:val="238"/>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00" w:type="dxa"/>
            <w:vAlign w:val="bottom"/>
          </w:tcPr>
          <w:p>
            <w:pPr>
              <w:spacing w:after="0"/>
              <w:rPr>
                <w:sz w:val="20"/>
                <w:szCs w:val="20"/>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Principal(1)</w:t>
            </w:r>
          </w:p>
        </w:tc>
        <w:tc>
          <w:tcPr>
            <w:tcW w:w="18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Premium/(Discount)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Value(1)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Rate(4)</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Date(2)</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Terms(3)</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Date(1)</w:t>
            </w: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(403,455)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29,596,545</w:t>
            </w:r>
          </w:p>
        </w:tc>
        <w:tc>
          <w:tcPr>
            <w:tcW w:w="15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10.07%</w:t>
            </w:r>
            <w:r>
              <w:rPr>
                <w:rFonts w:ascii="Times New Roman" w:cs="Times New Roman" w:eastAsia="Times New Roman" w:hAnsi="Times New Roman"/>
                <w:sz w:val="29"/>
                <w:szCs w:val="29"/>
                <w:color w:val="auto"/>
                <w:w w:val="94"/>
                <w:vertAlign w:val="superscript"/>
              </w:rPr>
              <w:t>(6)</w:t>
            </w:r>
          </w:p>
        </w:tc>
        <w:tc>
          <w:tcPr>
            <w:tcW w:w="100" w:type="dxa"/>
            <w:vAlign w:val="bottom"/>
            <w:vMerge w:val="continue"/>
            <w:shd w:val="clear" w:color="auto" w:fill="CCEEFF"/>
          </w:tcPr>
          <w:p>
            <w:pPr>
              <w:spacing w:after="0"/>
              <w:rPr>
                <w:sz w:val="22"/>
                <w:szCs w:val="22"/>
                <w:color w:val="auto"/>
              </w:rPr>
            </w:pP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05/30/2023</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07/02/2020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Pennsylvania</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6,957,500</w:t>
            </w:r>
          </w:p>
        </w:tc>
        <w:tc>
          <w:tcPr>
            <w:tcW w:w="1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(262,946)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6,694,554</w:t>
            </w:r>
          </w:p>
        </w:tc>
        <w:tc>
          <w:tcPr>
            <w:tcW w:w="16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P + 11.00%</w:t>
            </w:r>
            <w:r>
              <w:rPr>
                <w:rFonts w:ascii="Times New Roman" w:cs="Times New Roman" w:eastAsia="Times New Roman" w:hAnsi="Times New Roman"/>
                <w:sz w:val="29"/>
                <w:szCs w:val="29"/>
                <w:color w:val="auto"/>
                <w:w w:val="95"/>
                <w:vertAlign w:val="superscript"/>
              </w:rPr>
              <w:t>(5)</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01/31/2025</w:t>
            </w:r>
          </w:p>
        </w:tc>
        <w:tc>
          <w:tcPr>
            <w:tcW w:w="2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00"/>
              <w:spacing w:after="0" w:line="239" w:lineRule="exact"/>
              <w:rPr>
                <w:sz w:val="20"/>
                <w:szCs w:val="20"/>
                <w:color w:val="auto"/>
              </w:rPr>
            </w:pPr>
            <w:r>
              <w:rPr>
                <w:rFonts w:ascii="Times New Roman" w:cs="Times New Roman" w:eastAsia="Times New Roman" w:hAnsi="Times New Roman"/>
                <w:sz w:val="17"/>
                <w:szCs w:val="17"/>
                <w:color w:val="auto"/>
              </w:rPr>
              <w:t>P + 6.65%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Michigan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36,343,859</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(202,484)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36,141,375</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 PIK</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12/31/2024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03/05/2021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20"/>
              <w:spacing w:after="0" w:line="239" w:lineRule="exact"/>
              <w:rPr>
                <w:sz w:val="20"/>
                <w:szCs w:val="20"/>
                <w:color w:val="auto"/>
              </w:rPr>
            </w:pPr>
            <w:r>
              <w:rPr>
                <w:rFonts w:ascii="Times New Roman" w:cs="Times New Roman" w:eastAsia="Times New Roman" w:hAnsi="Times New Roman"/>
                <w:sz w:val="17"/>
                <w:szCs w:val="17"/>
                <w:color w:val="auto"/>
              </w:rPr>
              <w:t>P + 10.375%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20,539,287</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(514,431)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20,024,856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2.75% PIK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03/31/2024</w:t>
            </w: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Arizona</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11,229,539</w:t>
            </w:r>
          </w:p>
        </w:tc>
        <w:tc>
          <w:tcPr>
            <w:tcW w:w="1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11,229,539</w:t>
            </w:r>
          </w:p>
        </w:tc>
        <w:tc>
          <w:tcPr>
            <w:tcW w:w="15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19.85%</w:t>
            </w:r>
            <w:r>
              <w:rPr>
                <w:rFonts w:ascii="Times New Roman" w:cs="Times New Roman" w:eastAsia="Times New Roman" w:hAnsi="Times New Roman"/>
                <w:sz w:val="29"/>
                <w:szCs w:val="29"/>
                <w:color w:val="auto"/>
                <w:w w:val="94"/>
                <w:vertAlign w:val="superscript"/>
              </w:rPr>
              <w:t>(7)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04/28/2023</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04/19/2021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Massachusetts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1,500,000</w:t>
            </w:r>
          </w:p>
        </w:tc>
        <w:tc>
          <w:tcPr>
            <w:tcW w:w="16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P + 12.25%</w:t>
            </w:r>
            <w:r>
              <w:rPr>
                <w:rFonts w:ascii="Times New Roman" w:cs="Times New Roman" w:eastAsia="Times New Roman" w:hAnsi="Times New Roman"/>
                <w:sz w:val="29"/>
                <w:szCs w:val="29"/>
                <w:color w:val="auto"/>
                <w:w w:val="95"/>
                <w:vertAlign w:val="superscript"/>
              </w:rPr>
              <w:t>(5)</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04/28/2023</w:t>
            </w:r>
          </w:p>
        </w:tc>
        <w:tc>
          <w:tcPr>
            <w:tcW w:w="2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04/19/2021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right="100"/>
              <w:spacing w:after="0" w:line="242" w:lineRule="exact"/>
              <w:rPr>
                <w:sz w:val="20"/>
                <w:szCs w:val="20"/>
                <w:color w:val="auto"/>
              </w:rPr>
            </w:pPr>
            <w:r>
              <w:rPr>
                <w:rFonts w:ascii="Times New Roman" w:cs="Times New Roman" w:eastAsia="Times New Roman" w:hAnsi="Times New Roman"/>
                <w:sz w:val="17"/>
                <w:szCs w:val="17"/>
                <w:color w:val="auto"/>
              </w:rPr>
              <w:t>P + 10.75%</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Pennsylvania</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13,129,000</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13,129,000</w:t>
            </w:r>
          </w:p>
        </w:tc>
        <w:tc>
          <w:tcPr>
            <w:tcW w:w="1680" w:type="dxa"/>
            <w:vAlign w:val="bottom"/>
            <w:gridSpan w:val="2"/>
            <w:shd w:val="clear" w:color="auto" w:fill="CCEEFF"/>
          </w:tcPr>
          <w:p>
            <w:pPr>
              <w:jc w:val="center"/>
              <w:ind w:right="100"/>
              <w:spacing w:after="0" w:line="271" w:lineRule="exact"/>
              <w:rPr>
                <w:sz w:val="20"/>
                <w:szCs w:val="20"/>
                <w:color w:val="auto"/>
              </w:rPr>
            </w:pPr>
            <w:r>
              <w:rPr>
                <w:rFonts w:ascii="Times New Roman" w:cs="Times New Roman" w:eastAsia="Times New Roman" w:hAnsi="Times New Roman"/>
                <w:sz w:val="18"/>
                <w:szCs w:val="18"/>
                <w:color w:val="auto"/>
                <w:w w:val="92"/>
              </w:rPr>
              <w:t>4% PIK</w:t>
            </w:r>
            <w:r>
              <w:rPr>
                <w:rFonts w:ascii="Times New Roman" w:cs="Times New Roman" w:eastAsia="Times New Roman" w:hAnsi="Times New Roman"/>
                <w:sz w:val="29"/>
                <w:szCs w:val="29"/>
                <w:color w:val="auto"/>
                <w:w w:val="92"/>
                <w:vertAlign w:val="superscript"/>
              </w:rPr>
              <w:t>(8)</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05/31/2025</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05/28/2021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Michigan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4,493,435</w:t>
            </w:r>
          </w:p>
        </w:tc>
        <w:tc>
          <w:tcPr>
            <w:tcW w:w="16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P + 9.00%</w:t>
            </w:r>
            <w:r>
              <w:rPr>
                <w:rFonts w:ascii="Times New Roman" w:cs="Times New Roman" w:eastAsia="Times New Roman" w:hAnsi="Times New Roman"/>
                <w:sz w:val="29"/>
                <w:szCs w:val="29"/>
                <w:color w:val="auto"/>
                <w:w w:val="95"/>
                <w:vertAlign w:val="superscript"/>
              </w:rPr>
              <w:t>(5)</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02/20/2024</w:t>
            </w:r>
          </w:p>
        </w:tc>
        <w:tc>
          <w:tcPr>
            <w:tcW w:w="2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08/20/2021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23,020,760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(265,189)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22,755,571</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13% Cash, 2.5% PIK</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08/30/2024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08/24/2021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7"/>
                <w:szCs w:val="17"/>
                <w:color w:val="auto"/>
              </w:rPr>
              <w:t>P + 9.25%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West Virginia</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9,648,063</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(137,521)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9,510,542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 PIK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09/01/2024</w:t>
            </w: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09/01/2021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00"/>
              <w:spacing w:after="0" w:line="239" w:lineRule="exact"/>
              <w:rPr>
                <w:sz w:val="20"/>
                <w:szCs w:val="20"/>
                <w:color w:val="auto"/>
              </w:rPr>
            </w:pPr>
            <w:r>
              <w:rPr>
                <w:rFonts w:ascii="Times New Roman" w:cs="Times New Roman" w:eastAsia="Times New Roman" w:hAnsi="Times New Roman"/>
                <w:sz w:val="17"/>
                <w:szCs w:val="17"/>
                <w:color w:val="auto"/>
              </w:rPr>
              <w:t>P + 10.75%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Pennsylvania</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15,379,246</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15,379,246</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 PIK</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06/30/2024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09/03/2021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Michigan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352,808</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352,808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09/30/2024</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09/20/2021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00"/>
              <w:spacing w:after="0" w:line="239" w:lineRule="exact"/>
              <w:rPr>
                <w:sz w:val="20"/>
                <w:szCs w:val="20"/>
                <w:color w:val="auto"/>
              </w:rPr>
            </w:pPr>
            <w:r>
              <w:rPr>
                <w:rFonts w:ascii="Times New Roman" w:cs="Times New Roman" w:eastAsia="Times New Roman" w:hAnsi="Times New Roman"/>
                <w:sz w:val="17"/>
                <w:szCs w:val="17"/>
                <w:color w:val="auto"/>
              </w:rPr>
              <w:t>P + 8.75%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Maryland</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32,314,053</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(804,949)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31,509,104</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 PIK</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09/30/2024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09/30/2021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(235,478)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19,764,522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10/31/2024</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Michigan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10,600,000</w:t>
            </w:r>
          </w:p>
        </w:tc>
        <w:tc>
          <w:tcPr>
            <w:tcW w:w="1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(56,401)</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10,543,599</w:t>
            </w:r>
          </w:p>
        </w:tc>
        <w:tc>
          <w:tcPr>
            <w:tcW w:w="1680" w:type="dxa"/>
            <w:vAlign w:val="bottom"/>
            <w:gridSpan w:val="2"/>
            <w:shd w:val="clear" w:color="auto" w:fill="CCEEFF"/>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P + 7.00%</w:t>
            </w:r>
            <w:r>
              <w:rPr>
                <w:rFonts w:ascii="Times New Roman" w:cs="Times New Roman" w:eastAsia="Times New Roman" w:hAnsi="Times New Roman"/>
                <w:sz w:val="29"/>
                <w:szCs w:val="29"/>
                <w:color w:val="auto"/>
                <w:w w:val="95"/>
                <w:vertAlign w:val="superscript"/>
              </w:rPr>
              <w:t>(5)</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11/22/2022</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 Cash, 2.5% PIK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12/27/2026</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20"/>
              <w:spacing w:after="0" w:line="201" w:lineRule="exact"/>
              <w:rPr>
                <w:sz w:val="20"/>
                <w:szCs w:val="20"/>
                <w:color w:val="auto"/>
              </w:rPr>
            </w:pPr>
            <w:r>
              <w:rPr>
                <w:rFonts w:ascii="Times New Roman" w:cs="Times New Roman" w:eastAsia="Times New Roman" w:hAnsi="Times New Roman"/>
                <w:sz w:val="18"/>
                <w:szCs w:val="18"/>
                <w:color w:val="auto"/>
              </w:rPr>
              <w:t>10.50% Cash, 1% to</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Michigan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3,692,478</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(67,438)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3,625,040</w:t>
            </w:r>
          </w:p>
        </w:tc>
        <w:tc>
          <w:tcPr>
            <w:tcW w:w="1680" w:type="dxa"/>
            <w:vAlign w:val="bottom"/>
            <w:gridSpan w:val="2"/>
            <w:shd w:val="clear" w:color="auto" w:fill="CCEEFF"/>
          </w:tcPr>
          <w:p>
            <w:pPr>
              <w:jc w:val="center"/>
              <w:ind w:right="100"/>
              <w:spacing w:after="0" w:line="271" w:lineRule="exact"/>
              <w:rPr>
                <w:sz w:val="20"/>
                <w:szCs w:val="20"/>
                <w:color w:val="auto"/>
              </w:rPr>
            </w:pPr>
            <w:r>
              <w:rPr>
                <w:rFonts w:ascii="Times New Roman" w:cs="Times New Roman" w:eastAsia="Times New Roman" w:hAnsi="Times New Roman"/>
                <w:sz w:val="18"/>
                <w:szCs w:val="18"/>
                <w:color w:val="auto"/>
                <w:w w:val="92"/>
              </w:rPr>
              <w:t>5% PIK</w:t>
            </w:r>
            <w:r>
              <w:rPr>
                <w:rFonts w:ascii="Times New Roman" w:cs="Times New Roman" w:eastAsia="Times New Roman" w:hAnsi="Times New Roman"/>
                <w:sz w:val="29"/>
                <w:szCs w:val="29"/>
                <w:color w:val="auto"/>
                <w:w w:val="92"/>
                <w:vertAlign w:val="superscript"/>
              </w:rPr>
              <w:t>(9)</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12/29/2023</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12/29/2021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7,500,000</w:t>
            </w:r>
          </w:p>
        </w:tc>
        <w:tc>
          <w:tcPr>
            <w:tcW w:w="1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(62,557)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7,437,443</w:t>
            </w:r>
          </w:p>
        </w:tc>
        <w:tc>
          <w:tcPr>
            <w:tcW w:w="16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P + 9.25%</w:t>
            </w:r>
            <w:r>
              <w:rPr>
                <w:rFonts w:ascii="Times New Roman" w:cs="Times New Roman" w:eastAsia="Times New Roman" w:hAnsi="Times New Roman"/>
                <w:sz w:val="29"/>
                <w:szCs w:val="29"/>
                <w:color w:val="auto"/>
                <w:w w:val="95"/>
                <w:vertAlign w:val="superscript"/>
              </w:rPr>
              <w:t>(5)</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12/31/2024</w:t>
            </w:r>
          </w:p>
        </w:tc>
        <w:tc>
          <w:tcPr>
            <w:tcW w:w="200" w:type="dxa"/>
            <w:vAlign w:val="bottom"/>
          </w:tcPr>
          <w:p>
            <w:pPr>
              <w:spacing w:after="0"/>
              <w:rPr>
                <w:sz w:val="22"/>
                <w:szCs w:val="22"/>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Florida</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15,000,000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(325,660)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14,674,340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01/31/2025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01/18/2022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7"/>
                <w:szCs w:val="17"/>
                <w:color w:val="auto"/>
              </w:rPr>
              <w:t>P + 8.25%</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Cash,</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Ohio</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30,369,303</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(521,320)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29,847,983</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PIK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02/28/2025</w:t>
            </w: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02/03/2022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11.00% Cash, 3%</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Florida</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20,172,651</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(91,826)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20,080,825</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PIK</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08/29/2025</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03/11/2022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11.00% Cash, 3%</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Missouri</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17,073,745</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(162,086)</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16,911,659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PIK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05/30/2025</w:t>
            </w: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Current expected credit</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loss reserve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(1,203,424)</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960" w:type="dxa"/>
            <w:vAlign w:val="bottom"/>
            <w:tcBorders>
              <w:top w:val="single" w:sz="8" w:color="CCEEFF"/>
              <w:right w:val="single" w:sz="8" w:color="CCEEFF"/>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loans held at</w:t>
            </w: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96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carry value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334,322,292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40"/>
              <w:spacing w:after="0" w:line="278" w:lineRule="exact"/>
              <w:rPr>
                <w:sz w:val="20"/>
                <w:szCs w:val="20"/>
                <w:color w:val="auto"/>
              </w:rPr>
            </w:pPr>
            <w:r>
              <w:rPr>
                <w:rFonts w:ascii="Times New Roman" w:cs="Times New Roman" w:eastAsia="Times New Roman" w:hAnsi="Times New Roman"/>
                <w:sz w:val="17"/>
                <w:szCs w:val="17"/>
                <w:b w:val="1"/>
                <w:bCs w:val="1"/>
                <w:color w:val="auto"/>
              </w:rPr>
              <w:t>(4,120,306</w:t>
            </w:r>
            <w:r>
              <w:rPr>
                <w:rFonts w:ascii="Times New Roman" w:cs="Times New Roman" w:eastAsia="Times New Roman" w:hAnsi="Times New Roman"/>
                <w:sz w:val="32"/>
                <w:szCs w:val="32"/>
                <w:b w:val="1"/>
                <w:bCs w:val="1"/>
                <w:color w:val="auto"/>
                <w:vertAlign w:val="superscript"/>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328,998,562</w:t>
            </w: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purchase discount, deferred loan fees and loan origination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 = principal and interest. I/O = interest only. P/I loans may include interest only periods for a portion of the loan term.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 in kind interest.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prime rate floor.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#1 includes a $4.005 million initial advance which has an interest rate of 15.25%, a second advance of $15.995 million which has an interest rate of 9.75%, and a third advance of $10.0 million which has an interest rate of 8.5%. The statistics presented reflect the weighted average of the terms under all three advances for the total aggregate loan commitment.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#5 includes a $9.3 million initial advance which has a base interest rate of 15.25% and PIK interest rate of 2%, and a second advance of $2.0 million which has an interest rate of 39%.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not below 2% if borrower receives at least two consecutive quarters of positive cash flow after the closing date.</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PIK is variable with an initial rate of five percent (5.00%) per annum, until borrower’s delivery of audited financial statements for the fiscal year ended December 31, 2021, at which time the PIK interest rate shall be adjusted to a rate of 1% to 5% contingent on the financial results of the borrower.</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2022, all loans are current, and none have been placed on non-accrual status. The aggregate fair value of the Company’s loan portfolio was $329,977,829 and $197,901,779, with gross unrecognized holding losses of $224,155 and unrecognized holding gains of $917,213 as of June 30, 2022 and December 31, 2021,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ind w:left="26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40" w:hanging="671"/>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671"/>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7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140" w:hanging="671"/>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240" w:hanging="5111"/>
        <w:spacing w:after="0" w:line="761" w:lineRule="auto"/>
        <w:tabs>
          <w:tab w:leader="none" w:pos="1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2021 to June 30, 2022, are not due to any borrower specific credit issues relating to the borrowers, but rather, is primarily due to the Company’s quarterly re-evaluation of overall current macroeconomic conditions affecting its borrowers. This decline in risk ratings did not have a significant effect on the level of the current expected credit loss reserve because the loans continue to perform as agreed and the fair value of the underlying collateral exceeds the amount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 June 30, 2022</w:t>
            </w:r>
            <w:r>
              <w:rPr>
                <w:rFonts w:ascii="Times New Roman" w:cs="Times New Roman" w:eastAsia="Times New Roman" w:hAnsi="Times New Roman"/>
                <w:sz w:val="29"/>
                <w:szCs w:val="29"/>
                <w:b w:val="1"/>
                <w:bCs w:val="1"/>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34,546,303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29,596,545</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64,142,848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135,076,307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32,242,114</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590,384</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167,908,805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87,808,199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82,382,609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6,694,554</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176,885,362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29,075,761</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29,075,761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29,847,983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54,325,793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84,173,776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gridSpan w:val="2"/>
            <w:vMerge w:val="continue"/>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117,656,182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176,254,705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36,291,099</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330,201,986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164,152,068</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32,242,114</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590,384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196,984,566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Amounts are presented by loan origination year with subsequent advances shown in the original year of origination.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June 30, 2022 and December 31, 2021:</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June 30, 2022 Real Estate Collateral Coverage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1.0x - 1.25x</w:t>
            </w: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1.50x - 1.75x</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1.75x - 2.0x</w:t>
            </w: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&gt; 2.0x</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20,080,825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16,911,659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90,768,826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132,761,310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15,631,997</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96,761,189</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20,054,141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24,358,539</w:t>
            </w:r>
          </w:p>
        </w:tc>
        <w:tc>
          <w:tcPr>
            <w:tcW w:w="1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40,634,810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197,440,676</w:t>
            </w:r>
          </w:p>
        </w:tc>
      </w:tr>
      <w:tr>
        <w:trPr>
          <w:trHeight w:val="216"/>
        </w:trPr>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20,631,997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96,761,189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20,080,825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36,965,800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24,358,539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131,403,636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330,201,986</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2021 Real Estate Collateral Coverage</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&lt; 1.0</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1.0 - 1.25</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1.25 - 1.5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1.50 - 1.75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1.75 - 2.0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&gt; 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7,017,793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35,836,099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45,373,778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91,313,968</w:t>
            </w:r>
          </w:p>
        </w:tc>
        <w:tc>
          <w:tcPr>
            <w:tcW w:w="100" w:type="dxa"/>
            <w:vAlign w:val="bottom"/>
            <w:shd w:val="clear" w:color="auto" w:fill="CCEEFF"/>
          </w:tcPr>
          <w:p>
            <w:pPr>
              <w:spacing w:after="0"/>
              <w:rPr>
                <w:sz w:val="18"/>
                <w:szCs w:val="18"/>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8,925,068</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18,022,518</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30,029,953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32,377,087</w:t>
            </w:r>
          </w:p>
        </w:tc>
        <w:tc>
          <w:tcPr>
            <w:tcW w:w="1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16,315,972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105,670,598</w:t>
            </w:r>
          </w:p>
        </w:tc>
      </w:tr>
      <w:tr>
        <w:trPr>
          <w:trHeight w:val="216"/>
        </w:trPr>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15,942,861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18,022,518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35,836,099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33,116,251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32,377,087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61,689,750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196,984,566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 In the future, we may use other acceptable methods, such as a discounted cash flow method, WARM method, or other methods permitted under the standard.</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loans,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has had operations for the past two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in determining the extent to which a CECL Reserve shall be recorded.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we forecast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We utilize a third-party valuation appraiser to assist management with our valuation process. primarily using comparable transactions to estimate enterprise value of our portfolio companies and supplement such analysis with a multiple-based approach to enterprise value to revenue multiples of publicly-traded comparable companies obtained from S&amp;P CapitalIQ as of June 30, 2022, to which we apply a private company discount based on our current borrower profile. These estimates may change in future periods based on available future macro-economic data and might result in a material change in the Company’s future estimates of expected credit losses for its loan portfolio.</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8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ind w:right="300"/>
        <w:spacing w:after="0" w:line="266"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six months ended June 30, 2022 is presented in the table below. The Company had no CECL Reserve as of and for the period March 30, 2021 (inception) to June 30,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3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9"/>
                <w:szCs w:val="29"/>
                <w:b w:val="1"/>
                <w:bCs w:val="1"/>
                <w:color w:val="auto"/>
                <w:vertAlign w:val="superscript"/>
              </w:rPr>
              <w:t>(1)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1,068,882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1,097,008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charged</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1,203,424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41,533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1,244,957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50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CECL Reserve related to outstanding balances on loans at carrying value is recorded within current expected credit loss reserve in the Company’s consolidated balance sheets.</w:t>
      </w:r>
    </w:p>
    <w:p>
      <w:pPr>
        <w:ind w:left="340" w:right="30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CECL Reserve related to unfunded commitments on loans at carrying value is recorded within accounts payable and other liabilities in the Company’s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Unfunded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1,020,586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25,079</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1,203,424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41,533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($975,572 as of June 30, 2022)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accruing interest on loans if deemed to be uncollectible, with any previously accrued uncollected interest on the loan charged to interest income in the same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2022 there were no loans with principal or interest greater than 30 days past due.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INTEREST RECEIVABLE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by the Company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PIK interest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fees receivable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90,444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975,572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197,735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INTEREST RESERVE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2022, the Company had five loans that included a loan funded interest reserve.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June 30, 2022 and December 31, 2021, respectively: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reserves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reserves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5,895,863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9,223,802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disbursed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(6,162,392)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(2,587,249)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interest reserve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6,370,024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6,636,553</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our financing subsidiary, CAL, we were assigned a secured revolving credit facility (the “Revolving Loan”). The Revolving Loan has an aggregate borrowing base of up to $10,000,000 and bears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is the earlier of (i) February 12, 2023 and (ii) the date on which the Revolving Loan is terminated pursuant to terms in the Revolving Loan Agreement.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16, 2021, the Company amended the Revolving Loan Agreement (the “First Amendment”). The First Amendment increased the loan commitment from $10,000,000 to $45,000,000 and decreased the interest rate, from the greater of the (1) Prime Rate plus 1.00% and (2) 4.75% to the greater of (1) the Prime Rate plus the applicable margin and (2) 3.25%. The applicable margin depends on the ratio of debt to equity of CAL and increases from 0% at a ratio of 0.25 to 1 to 1.25% at a ratio of 1.5 to 1. The First Amendment also extended the maturity date from February 12, 2023 to the earlier of</w:t>
      </w:r>
    </w:p>
    <w:p>
      <w:pPr>
        <w:spacing w:after="0" w:line="3" w:lineRule="exact"/>
        <w:rPr>
          <w:sz w:val="20"/>
          <w:szCs w:val="20"/>
          <w:color w:val="auto"/>
        </w:rPr>
      </w:pPr>
    </w:p>
    <w:p>
      <w:pPr>
        <w:ind w:right="140" w:firstLine="8"/>
        <w:spacing w:after="0" w:line="290" w:lineRule="auto"/>
        <w:tabs>
          <w:tab w:leader="none" w:pos="2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December 16, 2023 and (ii) the date on which the Revolving Loan is terminated pursuant to the terms in the Revolving Loan agreement. The Company incurred debt issuance costs of $859,500 related to the First Amendment, which were capitalized and are subsequently being amortized through maturity.</w:t>
      </w:r>
    </w:p>
    <w:p>
      <w:pPr>
        <w:spacing w:after="0" w:line="15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May 12, 2022, the Company amended the Revolving Loan Agreement a second time (the “Second Amendment”). The Second Amendment increased the loan commitment from $45,000,000 to $65,000,000. No other material terms of the Revolving Loan were modified as a result of the execution of the Second Amendment. The Company incurred debt issuance costs of $177,260 related to the Second Amendment, which were capitalized and are subsequently being amortized through maturity. As of June 30, 2022 and December 31, 2021, unamortized debt issuance costs related to the Revolving Loan and the First and Second Amendments of $804,188 and $868,022, respectively, are recorded in other receivables and assets, net on the consolidated balance sheets.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Revolving Loan incurs unused fees at a rate of 0.25% per annum beginning July 1, 2022 pursuant to the Second Amendment. Additionally, for the period from January 1, 2022 to June 30, 2022, the Company borrowed $45.0 million against the Revolving Loan and incurred $276,562 in interest expense for the period then ended.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Second Amendment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June 30, 2022, we were in compliance with all financial covenants with respect to the Revolving Loan.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and six months ended June 30, 2022. There was no interest expense incurred during the period March 30, 2021 (inception) to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three</w:t>
            </w:r>
          </w:p>
        </w:tc>
        <w:tc>
          <w:tcPr>
            <w:tcW w:w="16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six</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276,562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Unused Fee – Line of Credit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168,827</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241,095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b w:val="1"/>
                <w:bCs w:val="1"/>
                <w:color w:val="auto"/>
                <w:w w:val="95"/>
              </w:rPr>
              <w:t>449,556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521,824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six months ended June 30, 2022, the Base Management Fee payable was reduced by Outside Fees in the amount of $1,082,251.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means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Independent Directors and approved by a majority of the Independent Directors. Incentive compensation for the six months ended June 30, 2022 was $980,906.</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party costs incurred by the Company and amounts payable to the Manager for the periods ended June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earned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1,013,298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2,020,411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Outside Fees earned</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(364,500)</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(1,082,251)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fees,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648,798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598,763</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980,906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incentive fees earned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686,981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1,151,471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1,934,542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3,070,537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June 30, 2022 and December 31, 2021. Amounts payable to the Manager as of June 30, 2022 and December 31, 2021 were approximately $2.0 million and $2.7 million, respectively, which included bonuses accrued for the year which are not reimbursed to the Manager until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and for the six months ended June 30, 2022, 14 of the Company’s loans were co-invested by affiliates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June 30, 2022 and December 31, 2021, the Company had the following commitments to fund various existing loans.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357,117,706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235,063,593</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drawn commitments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(331,954,897)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(200,359,026)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25,162,809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34,704,567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June 30, 2022, the Company is not aware of any legal claims that could materially impact its business, financial condition or results of operations.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adversely affect its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which may result in the Company realizing a loss on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January 5, 2022, the underwriters in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period from March 30, 2021 (inception) to December 31, 2021, the Company issued 10,636,363 shares of its common stock pursuant to transactions that were exempt from registration pursuant to Section 4(a)(2) of the Securities Act of 1933, as amended.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10, 2021, the Company completed its IPO of 6,250,000 shares of its common stock at a price of $16.00 per share, raising $100,000,000 in gross proceeds. The underwriting commission of $7,000,000 is reflected as a reduction of additional paid-in capital on the consolidated statements of stockholders’ equity. The Company incurred approximately $1,265,877 of expenses in connection with the IPO, which is reflected as a reduction in additional paid-in capital. The net proceeds to the Company totaled approximately $91,734,123. Concurrent with the closing of the IPO, the Company sold 468,750 shares of its common stock at the public offering price of $16.00 per share in a private placement to John Mazarakis, the Company’s Executive Chairman, Anthony Cappell, the Company’s Chief Executive Officer, and Dr. Andreas Bodmeier, the Company’s Co-President. Gross proceeds received were $7,500,000, and no underwriting discounts or commissions were paid in respect of these shares.</w:t>
      </w:r>
    </w:p>
    <w:p>
      <w:pPr>
        <w:spacing w:after="0" w:line="18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On October 21, 2021, the Board approved a 6,427-for-one stock split of the Company’s common stock. All common shares and per share information presented in the consolidated financial statements have been adjusted to reflect the stock split on a retroactive basis for all periods presented, including reclassifying an amount equal to the increase in par value of common stock from additional paid-in capital. There was no change in the par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approved restricted stock award grants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maximum number of shares of the Company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 There were 4,063 shares forfeited during the six months ended June 30, 2022.</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us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as of June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98,440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Restricted stock grant expense is based on the Company’s stock price at the time of the grant and amortized over the vesting period. Forfeitures are recognized as they occur. The share-based compensation expense for the Company was approximately $243,465 for the six months ended June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six months ended June 30, 2022 and for the period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2021 (inception) to June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7,463,839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15,267,791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1,068,551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Divided by: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17,657,913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2,407,329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17,649,548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2,355,559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17,752,413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2,407,329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17,745,234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2,355,559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0.45</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0.42</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0.44</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Company was $0 for the six months ended June 30, 2022.</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incurred no expense for United Stated federal excise tax. If it is determined that the Company’s estimated current year taxable income will be in excess of estimated dividend distributions (including capital gain dividend) for the current year from such income, the Company will accrue excise tax on estimated excess taxable income as such taxable income is earned. The annual expense is calculated in accordance with applicable tax regulations.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does not have any unrecognized tax benefits and does not expect that to change in the next 12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DIVIDENDS AND DISTRIBUTIONS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six months ended June 30, 2022. There were no dividends declared for the six months ended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0" w:type="dxa"/>
            <w:vAlign w:val="bottom"/>
          </w:tcPr>
          <w:p>
            <w:pPr>
              <w:spacing w:after="0"/>
              <w:rPr>
                <w:sz w:val="1"/>
                <w:szCs w:val="1"/>
                <w:color w:val="auto"/>
              </w:rPr>
            </w:pPr>
          </w:p>
        </w:tc>
      </w:tr>
      <w:tr>
        <w:trPr>
          <w:trHeight w:val="184"/>
        </w:trPr>
        <w:tc>
          <w:tcPr>
            <w:tcW w:w="1700" w:type="dxa"/>
            <w:vAlign w:val="bottom"/>
            <w:tcBorders>
              <w:top w:val="single" w:sz="8" w:color="CCEEFF"/>
            </w:tcBorders>
            <w:shd w:val="clear" w:color="auto" w:fill="CCEEFF"/>
          </w:tcPr>
          <w:p>
            <w:pPr>
              <w:jc w:val="center"/>
              <w:ind w:right="670"/>
              <w:spacing w:after="0" w:line="184" w:lineRule="exact"/>
              <w:rPr>
                <w:sz w:val="20"/>
                <w:szCs w:val="20"/>
                <w:color w:val="auto"/>
              </w:rPr>
            </w:pPr>
            <w:r>
              <w:rPr>
                <w:rFonts w:ascii="Times New Roman" w:cs="Times New Roman" w:eastAsia="Times New Roman" w:hAnsi="Times New Roman"/>
                <w:sz w:val="18"/>
                <w:szCs w:val="18"/>
                <w:color w:val="auto"/>
              </w:rPr>
              <w:t>Regular cash</w:t>
            </w:r>
          </w:p>
        </w:tc>
        <w:tc>
          <w:tcPr>
            <w:tcW w:w="1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7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8"/>
              </w:rPr>
              <w:t>dividend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8"/>
        </w:trPr>
        <w:tc>
          <w:tcPr>
            <w:tcW w:w="17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Regular cash</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dividend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7"/>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vMerge w:val="continue"/>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0.87</w:t>
            </w:r>
          </w:p>
        </w:tc>
        <w:tc>
          <w:tcPr>
            <w:tcW w:w="0" w:type="dxa"/>
            <w:vAlign w:val="bottom"/>
          </w:tcPr>
          <w:p>
            <w:pPr>
              <w:spacing w:after="0"/>
              <w:rPr>
                <w:sz w:val="1"/>
                <w:szCs w:val="1"/>
                <w:color w:val="auto"/>
              </w:rPr>
            </w:pPr>
          </w:p>
        </w:tc>
      </w:tr>
      <w:tr>
        <w:trPr>
          <w:trHeight w:val="21"/>
        </w:trPr>
        <w:tc>
          <w:tcPr>
            <w:tcW w:w="1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July 8, 2022, the Company sold a senior secured loan to an affiliate under common control. The selling price of approximately $6.7 million was determined using Level 3 inputs and was approved by the audit committee of the Board. The fair value approximated the carrying value of the loan plus accrued and unpaid interest through July 8,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4, 2022, we assigned $10.0 million of unfunded commitment of a senior secured loan to an affiliate.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94"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the global economy, including disruptions to the supply chain;</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1" w:name="page22"/>
    <w:bookmarkEnd w:id="21"/>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REIT for U.S. federal income tax purposes;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4"/>
          </w:cols>
          <w:pgMar w:left="976" w:top="877"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 recently-formed commercial real estate finance company.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$30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a one to two year maturity are generally interest only loans.</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our portfolio is comprised primarily of first mortgages to established multi-state or single-state cannabis operators or property owners. We consider cannabis operators to be established if they are state-licensed and are deemed to be operational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ending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secured by real estate, equipment, licenses and other assets of the borrowers to the extent permitted by the applicable laws and the regulations governing such borrowers.</w:t>
      </w:r>
    </w:p>
    <w:p>
      <w:pPr>
        <w:spacing w:after="0" w:line="17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June 30, 2022 and December 31, 2021, approximately 59.8% and 53.2%, respectively, of our portfolio was comprised of floating rate loans, and 40.2% and 46.8% of our portfolio was comprised of fixed rate loans, respectively. As of June 30, 2022 and December 31, 2021, none of our loans earn interest at a variable rate tied to the London Inter-bank Offered Rate (“LIBOR”). Interest on our loans is generally payable monthly . The floating rate loans described above are variable based upon the prime rate plus an applicable margin, and in many cases, a prime rate floor. The prime rate was 3.25% for the period from January 1, 2022 through March 16, 2022, and increased to 3.50% effective March 17, 2022. It was increased to 4.00% effective May 5, 2022 and increased again to 4.75% on June 16,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principal amount of our loans and any accrued but unpaid interest thereon generally become due at the applicable maturity date. In some cases, our interest income includes a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and recognized upon repayment of the outstanding principal. We also generate revenue from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our taxable year ending December 31, 2021. We believe that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firstLine="648"/>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and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accrue excise tax on estimated excess taxable income as such taxable income is earned. The annual expense is calculated in accordance with applicable tax regulations. Excise tax expense is included in the line item, income tax expense.</w:t>
      </w:r>
    </w:p>
    <w:p>
      <w:pPr>
        <w:spacing w:after="0" w:line="19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June 30, 2022. Based on our evaluation, there is no reserve for any uncertain income tax positions. Accrued interest and penalties, if any, are included within other liabilities in the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Second Quarter of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Second Quarter of 2022</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we closed a credit facility with one new borrower, which included an aggregate commitment of $17.0 million, all of which was advanced at closing. Additionally, we advanced $34.2 million in aggregate principal on existing credit facilities to seven different borrowers.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July 8, 2022, the Company sold a senior secured loan to an affiliate under common control. The selling price of approximately $6.7 million was determined using Level 3 inputs and approved by the audit committee of the Board. The fair value approximated the carrying value of the loan plus accrued and unpaid interest through July 8,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4, 2022, we assigned $10.0 million of unfunded commitment of a senior secured loan to an affiliate.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period from April 1, 2022 through June 30, 2022, we declared a cash dividend of $0.47 per share of our common stock, relating to the second quarter of 2022, which was paid on July 15, 2022 to stockholders of record as of the close of business on June 30, 2022. The total amount of the cash dividend payment was approximately $8.3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payment of these dividends is not indicative of our ability to pay such dividends in the future.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2022 and March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11,850,028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9,833,053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(449,556)</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(72,268)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11,400,472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1,247,561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671,505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777,212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556,141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1,045,665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51,343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743,670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556,904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122,525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120,940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7,463,839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7,803,952</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7,463,839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7,803,952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as we deployed approximately $51.2 million in loans for the three months ended June 30, 2022 reflecting an increase in interest income as compared to the three months ended March 31, 2022.</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drew $45.0 million on the revolver during the three months ended June 30, 2022 contributing to an increase in interest expense that previously included only amortization of deferred financing costs.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base management and incentive fees payable to our Manager of approximately $1.2 million for the three months ended June 30, 2022 as compared to $671,505 for the three months ended March 31, 2022 primarily as a result of lower origination fees in the three months ended June 30, 2022 compared to the three months ended March 31, 2022 that reduce the base management fee and higher annualized core earnings for incentive fees in the three months ended June 30, 2022 as compared to the three months ended March 31, 2022.</w:t>
      </w:r>
    </w:p>
    <w:p>
      <w:pPr>
        <w:spacing w:after="0" w:line="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for the three months ended June 30, 2022 as compared to the three months ended March 31, 2022 primarily due to an increase overhead reimbursements for costs incurred by the Manager on behalf of the Company.</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increased in the three months ended June 30, 2022 as compared to the three months ended March 31, 2022 primarily due to our quarterly re-evaluation of overall current macroeconomic conditions and not related to specific factors impacting the credit quality of our borrowers. The current expected credit loss reserve represents 35 basis points of our total loans held at carrying value commitment balance of approximately $357.1 million and was bifurcated between (i) the current expected credit loss reserve (contra-asset) related to outstanding balances on loans held at carrying value of approximately $1.2 million and (ii) a liability for unfunded commitments of $41,532.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1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in the three months ended June 30, 2022 as compared to the three months ended March 31, 2022 primarily as a result of higher audit and consulting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2022 and period from March 30, 2021 (inception) to June 30, 2021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21,683,081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1,154,489</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(521,824)</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(16,712)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1,919,066</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69,226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1,097,008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1,300,574</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243,465</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5,893,466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69,226</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15,267,791</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1,068,551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15,267,791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1,068,551</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commenced operations on March 30, 2021 and, therefore, the comparative period for the three and six months ended June 30, 2022 is from March 30, 2021 to June 30, 2021 (the “Prior Period” or “period ended June 30, 2021”).</w:t>
      </w:r>
    </w:p>
    <w:p>
      <w:pPr>
        <w:spacing w:after="0" w:line="81"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as we deployed a significant amount of capital subsequent to June 30, 2021 as a result of our initial public offering, reflecting an increasing trend in interest income.</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drew $45.0 million on the revolver during the six months ended June 30, 2022 contributing to an increase in interest expense that previously included only amortization of deferred financing costs for the comparative prior year period.</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base management fees payable to our Manager for the six months ended June 30, 2022 of approximately $1.9 million and $0 for the period of inception to June 30, 2021. Pursuant to Fee Waiver Letter Agreements executed by our Manager, dated June 30, 2021, all base management fees that would have been payable to our Manager for the period from May 1, 2021 to June 30, 2021 were voluntarily waived and are not subject to recoupment at a later date. Our Manager has incurred general administrative expenses on our behalf and was reimbursed approximately $1.2 million for six months ended June 30, 2022. For the period ended June 30, 2021, all reimbursements to our Manager for general and administrative expenses were waived.</w:t>
      </w:r>
    </w:p>
    <w:p>
      <w:pPr>
        <w:spacing w:after="0" w:line="10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increased in the six months ended June 30, 2022 as compared to the period ended June 30, 2021 primarily due to our quarterly re-evaluation of overall current macroeconomic conditions and not related to specific factors impacting the credit quality of our borrowers. The current expected credit loss reserve represents 35 basis points of our total loans held at carrying value commitment balance of approximately $357.1 million and was bifurcated between (i) the current expected credit loss reserve (contra-asset) related to outstanding balances on loans held at carrying value of approximately $1.2 million and (ii) a liability for unfunded commitments of $41,532.</w:t>
      </w:r>
    </w:p>
    <w:p>
      <w:pPr>
        <w:spacing w:after="0" w:line="1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in the six months ended June 30, 2022 as compared to the period ended June 30, 2021 primarily as a result of higher audit and consulting fees.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was issued in December 2021 resulting in $243,465 in stock compensation expense for the six months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As of June 30, 2022 and December 31, 2021, our portfolio included 22 and 21 loans held for investment of approximately $330.2 million and $197.0 million of loans receivable, respectively. The aggregate originated commitment under these loans was approximately $357.1 million and $235.1 million and outstanding principal was approximately $334.3 million and $200.6 million as of June 30, 2022 and December 31, 2021, respectively. As of June 30, 2022 and December 31, 2021, our loan portfolio had a weighted-average yield-to-maturity internal rate of return (“YTM IRR”) of 17.7% and 18.6%, respectively and was secured by real estate and, with respect to certain of our loans, substantially all assets in the borrowers and certain of their subsidiaries, including equipment, receivables, and licenses. YTM IRR is calculated using various inputs, including (i) cash and payment-in-kind (“PIK”) interest, which is capitalized and added to the outstanding principal balance of the applicable loan, (ii) original issue discount (“OID”), (iii) amortization,</w:t>
      </w:r>
    </w:p>
    <w:p>
      <w:pPr>
        <w:spacing w:after="0" w:line="3" w:lineRule="exact"/>
        <w:rPr>
          <w:sz w:val="20"/>
          <w:szCs w:val="20"/>
          <w:color w:val="auto"/>
        </w:rPr>
      </w:pPr>
    </w:p>
    <w:p>
      <w:pPr>
        <w:ind w:right="200" w:firstLine="8"/>
        <w:spacing w:after="0" w:line="260"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fees, and (v) exit fees. Certain of our loans have extension fees, which are not included in our YTM IRR calculations, but may increase YTM IRR if such extension options are exercised by borrowers.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41" w:gutter="0" w:footer="0" w:header="0"/>
        </w:sectPr>
      </w:pPr>
    </w:p>
    <w:bookmarkStart w:id="27" w:name="page28"/>
    <w:bookmarkEnd w:id="27"/>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Company did not have any loans held for investment with floating interest rates tied to LIBOR. As of June 30, 2022 and December 31, 2021, approximately 59.8% and 53.2%, respectively, of its portfolio was comprised of floating rate loans that pay interest at the prime rate plus an applicable margin, and were subject to a prime rate floor. The prime rate was 3.25% for the period from January 1, 2022 through March 16, 2022, increased to 3.5% effective March 17, 2022, increased to 4.0% effective May 5, 2022, and increased again to 4.75% effective June 16, 2022. The below summarizes our portfolio as of June 30,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Our Loan</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Periodic</w:t>
            </w:r>
          </w:p>
        </w:tc>
        <w:tc>
          <w:tcPr>
            <w:tcW w:w="14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YTM</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Commitment (3)</w:t>
            </w:r>
          </w:p>
        </w:tc>
        <w:tc>
          <w:tcPr>
            <w:tcW w:w="10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Fundings</w:t>
            </w:r>
          </w:p>
        </w:tc>
        <w:tc>
          <w:tcPr>
            <w:tcW w:w="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 (4)</w:t>
            </w:r>
          </w:p>
        </w:tc>
        <w:tc>
          <w:tcPr>
            <w:tcW w:w="140" w:type="dxa"/>
            <w:vAlign w:val="bottom"/>
          </w:tcPr>
          <w:p>
            <w:pPr>
              <w:spacing w:after="0"/>
              <w:rPr>
                <w:sz w:val="20"/>
                <w:szCs w:val="20"/>
                <w:color w:val="auto"/>
              </w:rPr>
            </w:pPr>
          </w:p>
        </w:tc>
        <w:tc>
          <w:tcPr>
            <w:tcW w:w="1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Payment (5) IRR (6)</w:t>
            </w:r>
          </w:p>
        </w:tc>
        <w:tc>
          <w:tcPr>
            <w:tcW w:w="0" w:type="dxa"/>
            <w:vAlign w:val="bottom"/>
          </w:tcPr>
          <w:p>
            <w:pPr>
              <w:spacing w:after="0"/>
              <w:rPr>
                <w:sz w:val="1"/>
                <w:szCs w:val="1"/>
                <w:color w:val="auto"/>
              </w:rPr>
            </w:pPr>
          </w:p>
        </w:tc>
      </w:tr>
      <w:tr>
        <w:trPr>
          <w:trHeight w:val="27"/>
        </w:trPr>
        <w:tc>
          <w:tcPr>
            <w:tcW w:w="460" w:type="dxa"/>
            <w:vAlign w:val="bottom"/>
            <w:tcBorders>
              <w:right w:val="single" w:sz="8" w:color="CCEEFF"/>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tcBorders>
              <w:right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1</w:t>
            </w:r>
            <w:r>
              <w:rPr>
                <w:rFonts w:ascii="Times New Roman" w:cs="Times New Roman" w:eastAsia="Times New Roman" w:hAnsi="Times New Roman"/>
                <w:sz w:val="13"/>
                <w:szCs w:val="13"/>
                <w:b w:val="1"/>
                <w:bCs w:val="1"/>
                <w:color w:val="auto"/>
              </w:rPr>
              <w:t>(8)</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7/2/2020</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29,596,545</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I/O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11/19/2020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6,957,500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6,694,554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P + 11.00%</w:t>
            </w:r>
            <w:r>
              <w:rPr>
                <w:rFonts w:ascii="Times New Roman" w:cs="Times New Roman" w:eastAsia="Times New Roman" w:hAnsi="Times New Roman"/>
                <w:sz w:val="29"/>
                <w:szCs w:val="29"/>
                <w:color w:val="auto"/>
                <w:w w:val="93"/>
                <w:vertAlign w:val="superscript"/>
              </w:rPr>
              <w:t>(7)</w:t>
            </w:r>
          </w:p>
        </w:tc>
        <w:tc>
          <w:tcPr>
            <w:tcW w:w="14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8"/>
        </w:trPr>
        <w:tc>
          <w:tcPr>
            <w:tcW w:w="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line="239" w:lineRule="exact"/>
              <w:rPr>
                <w:sz w:val="20"/>
                <w:szCs w:val="20"/>
                <w:color w:val="auto"/>
              </w:rPr>
            </w:pPr>
            <w:r>
              <w:rPr>
                <w:rFonts w:ascii="Times New Roman" w:cs="Times New Roman" w:eastAsia="Times New Roman" w:hAnsi="Times New Roman"/>
                <w:sz w:val="17"/>
                <w:szCs w:val="17"/>
                <w:color w:val="auto"/>
              </w:rPr>
              <w:t>P + 6.65%</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7"/>
                <w:szCs w:val="17"/>
                <w:color w:val="auto"/>
              </w:rPr>
              <w:t xml:space="preserve"> Cash,</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CCEEFF"/>
            </w:tcBorders>
            <w:vMerge w:val="continue"/>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35,891,667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36,343,859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36,141,375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PIK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I/O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98"/>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13.625% Cash,</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vMerge w:val="continue"/>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20,105,628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20,539,287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20,024,856</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2.75% PIK</w:t>
            </w:r>
          </w:p>
        </w:tc>
        <w:tc>
          <w:tcPr>
            <w:tcW w:w="14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7"/>
        </w:trPr>
        <w:tc>
          <w:tcPr>
            <w:tcW w:w="460" w:type="dxa"/>
            <w:vAlign w:val="bottom"/>
            <w:tcBorders>
              <w:right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5</w:t>
            </w:r>
            <w:r>
              <w:rPr>
                <w:rFonts w:ascii="Times New Roman" w:cs="Times New Roman" w:eastAsia="Times New Roman" w:hAnsi="Times New Roman"/>
                <w:sz w:val="13"/>
                <w:szCs w:val="13"/>
                <w:b w:val="1"/>
                <w:bCs w:val="1"/>
                <w:color w:val="auto"/>
              </w:rPr>
              <w:t>(9)</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4/28/2023</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11,229,539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11,229,539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1,619,952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4/28/2023</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2,000,000</w:t>
            </w:r>
          </w:p>
        </w:tc>
        <w:tc>
          <w:tcPr>
            <w:tcW w:w="15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P + 12.25%</w:t>
            </w:r>
            <w:r>
              <w:rPr>
                <w:rFonts w:ascii="Times New Roman" w:cs="Times New Roman" w:eastAsia="Times New Roman" w:hAnsi="Times New Roman"/>
                <w:sz w:val="29"/>
                <w:szCs w:val="29"/>
                <w:color w:val="auto"/>
                <w:w w:val="95"/>
                <w:vertAlign w:val="superscript"/>
              </w:rPr>
              <w:t>(7)</w:t>
            </w:r>
          </w:p>
        </w:tc>
        <w:tc>
          <w:tcPr>
            <w:tcW w:w="14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2"/>
        </w:trPr>
        <w:tc>
          <w:tcPr>
            <w:tcW w:w="4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line="242" w:lineRule="exact"/>
              <w:rPr>
                <w:sz w:val="20"/>
                <w:szCs w:val="20"/>
                <w:color w:val="auto"/>
              </w:rPr>
            </w:pPr>
            <w:r>
              <w:rPr>
                <w:rFonts w:ascii="Times New Roman" w:cs="Times New Roman" w:eastAsia="Times New Roman" w:hAnsi="Times New Roman"/>
                <w:sz w:val="17"/>
                <w:szCs w:val="17"/>
                <w:color w:val="auto"/>
              </w:rPr>
              <w:t>P + 10.75%</w:t>
            </w:r>
            <w:r>
              <w:rPr>
                <w:rFonts w:ascii="Times New Roman" w:cs="Times New Roman" w:eastAsia="Times New Roman" w:hAnsi="Times New Roman"/>
                <w:sz w:val="28"/>
                <w:szCs w:val="28"/>
                <w:color w:val="auto"/>
                <w:vertAlign w:val="superscript"/>
              </w:rPr>
              <w:t>(7)</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5/28/2021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5/31/2025</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13,129,000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13,129,000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71" w:lineRule="exact"/>
              <w:rPr>
                <w:sz w:val="20"/>
                <w:szCs w:val="20"/>
                <w:color w:val="auto"/>
              </w:rPr>
            </w:pPr>
            <w:r>
              <w:rPr>
                <w:rFonts w:ascii="Times New Roman" w:cs="Times New Roman" w:eastAsia="Times New Roman" w:hAnsi="Times New Roman"/>
                <w:sz w:val="18"/>
                <w:szCs w:val="18"/>
                <w:color w:val="auto"/>
                <w:w w:val="94"/>
              </w:rPr>
              <w:t>Cash, 4% PIK</w:t>
            </w:r>
            <w:r>
              <w:rPr>
                <w:rFonts w:ascii="Times New Roman" w:cs="Times New Roman" w:eastAsia="Times New Roman" w:hAnsi="Times New Roman"/>
                <w:sz w:val="29"/>
                <w:szCs w:val="29"/>
                <w:color w:val="auto"/>
                <w:w w:val="94"/>
                <w:vertAlign w:val="superscript"/>
              </w:rPr>
              <w:t>(10)</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4,493,435</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w:t>
            </w:r>
          </w:p>
        </w:tc>
        <w:tc>
          <w:tcPr>
            <w:tcW w:w="15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P + 9.00%</w:t>
            </w:r>
            <w:r>
              <w:rPr>
                <w:rFonts w:ascii="Times New Roman" w:cs="Times New Roman" w:eastAsia="Times New Roman" w:hAnsi="Times New Roman"/>
                <w:sz w:val="29"/>
                <w:szCs w:val="29"/>
                <w:color w:val="auto"/>
                <w:w w:val="93"/>
                <w:vertAlign w:val="superscript"/>
              </w:rPr>
              <w:t>(7)</w:t>
            </w:r>
          </w:p>
        </w:tc>
        <w:tc>
          <w:tcPr>
            <w:tcW w:w="14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 Cash, 2.5%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CCEEFF"/>
            </w:tcBorders>
            <w:vMerge w:val="continue"/>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8/24/2021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8/30/2024</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23,020,760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22,755,571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2,142,857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PIK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8"/>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spacing w:after="0" w:line="239" w:lineRule="exact"/>
              <w:rPr>
                <w:sz w:val="20"/>
                <w:szCs w:val="20"/>
                <w:color w:val="auto"/>
              </w:rPr>
            </w:pPr>
            <w:r>
              <w:rPr>
                <w:rFonts w:ascii="Times New Roman" w:cs="Times New Roman" w:eastAsia="Times New Roman" w:hAnsi="Times New Roman"/>
                <w:sz w:val="17"/>
                <w:szCs w:val="17"/>
                <w:color w:val="auto"/>
              </w:rPr>
              <w:t>P + 9.25%</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7"/>
                <w:szCs w:val="17"/>
                <w:color w:val="auto"/>
              </w:rPr>
              <w:t xml:space="preserve"> Cash,</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vMerge w:val="continue"/>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9,648,063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9,510,542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PIK</w:t>
            </w:r>
          </w:p>
        </w:tc>
        <w:tc>
          <w:tcPr>
            <w:tcW w:w="14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8"/>
        </w:trPr>
        <w:tc>
          <w:tcPr>
            <w:tcW w:w="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line="239" w:lineRule="exact"/>
              <w:rPr>
                <w:sz w:val="20"/>
                <w:szCs w:val="20"/>
                <w:color w:val="auto"/>
              </w:rPr>
            </w:pPr>
            <w:r>
              <w:rPr>
                <w:rFonts w:ascii="Times New Roman" w:cs="Times New Roman" w:eastAsia="Times New Roman" w:hAnsi="Times New Roman"/>
                <w:sz w:val="17"/>
                <w:szCs w:val="17"/>
                <w:color w:val="auto"/>
              </w:rPr>
              <w:t>P + 10.75%</w:t>
            </w:r>
            <w:r>
              <w:rPr>
                <w:rFonts w:ascii="Times New Roman" w:cs="Times New Roman" w:eastAsia="Times New Roman" w:hAnsi="Times New Roman"/>
                <w:sz w:val="27"/>
                <w:szCs w:val="27"/>
                <w:color w:val="auto"/>
                <w:vertAlign w:val="superscript"/>
              </w:rPr>
              <w:t>(7)</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CCEEFF"/>
            </w:tcBorders>
            <w:vMerge w:val="continue"/>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6/30/2024</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15,379,246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15,379,246</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3% PIK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470,411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352,808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352,808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8"/>
        </w:trPr>
        <w:tc>
          <w:tcPr>
            <w:tcW w:w="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line="239" w:lineRule="exact"/>
              <w:rPr>
                <w:sz w:val="20"/>
                <w:szCs w:val="20"/>
                <w:color w:val="auto"/>
              </w:rPr>
            </w:pPr>
            <w:r>
              <w:rPr>
                <w:rFonts w:ascii="Times New Roman" w:cs="Times New Roman" w:eastAsia="Times New Roman" w:hAnsi="Times New Roman"/>
                <w:sz w:val="17"/>
                <w:szCs w:val="17"/>
                <w:color w:val="auto"/>
              </w:rPr>
              <w:t>P + 8.75%</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7"/>
                <w:szCs w:val="17"/>
                <w:color w:val="auto"/>
              </w:rPr>
              <w:t xml:space="preserve"> Cash,</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CCEEFF"/>
            </w:tcBorders>
            <w:vMerge w:val="continue"/>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32,314,053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31,509,104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PIK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I/O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19,764,522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6"/>
        </w:trPr>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11/22/2021 11/22/2022</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10,600,000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10,543,599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P + 7.00%</w:t>
            </w:r>
            <w:r>
              <w:rPr>
                <w:rFonts w:ascii="Times New Roman" w:cs="Times New Roman" w:eastAsia="Times New Roman" w:hAnsi="Times New Roman"/>
                <w:sz w:val="29"/>
                <w:szCs w:val="29"/>
                <w:color w:val="auto"/>
                <w:w w:val="93"/>
                <w:vertAlign w:val="superscript"/>
              </w:rPr>
              <w:t>(7)</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I/O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15% Cash, 2.5%</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vMerge w:val="continue"/>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12/27/2021 12/27/2026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PIK</w:t>
            </w:r>
          </w:p>
        </w:tc>
        <w:tc>
          <w:tcPr>
            <w:tcW w:w="14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1"/>
        </w:trPr>
        <w:tc>
          <w:tcPr>
            <w:tcW w:w="4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10.50% Cash, 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12/29/2021 12/29/2023</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3,692,478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3,625,040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2,400,000</w:t>
            </w:r>
          </w:p>
        </w:tc>
        <w:tc>
          <w:tcPr>
            <w:tcW w:w="1500" w:type="dxa"/>
            <w:vAlign w:val="bottom"/>
            <w:shd w:val="clear" w:color="auto" w:fill="CCEEFF"/>
          </w:tcPr>
          <w:p>
            <w:pPr>
              <w:jc w:val="center"/>
              <w:spacing w:after="0" w:line="271" w:lineRule="exact"/>
              <w:rPr>
                <w:sz w:val="20"/>
                <w:szCs w:val="20"/>
                <w:color w:val="auto"/>
              </w:rPr>
            </w:pPr>
            <w:r>
              <w:rPr>
                <w:rFonts w:ascii="Times New Roman" w:cs="Times New Roman" w:eastAsia="Times New Roman" w:hAnsi="Times New Roman"/>
                <w:sz w:val="18"/>
                <w:szCs w:val="18"/>
                <w:color w:val="auto"/>
                <w:w w:val="92"/>
              </w:rPr>
              <w:t>to 5% PIK</w:t>
            </w:r>
            <w:r>
              <w:rPr>
                <w:rFonts w:ascii="Times New Roman" w:cs="Times New Roman" w:eastAsia="Times New Roman" w:hAnsi="Times New Roman"/>
                <w:sz w:val="29"/>
                <w:szCs w:val="29"/>
                <w:color w:val="auto"/>
                <w:w w:val="92"/>
                <w:vertAlign w:val="superscript"/>
              </w:rPr>
              <w:t>(11)</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I/O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12/30/2021 12/31/2024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7,437,443</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5,500,000</w:t>
            </w:r>
          </w:p>
        </w:tc>
        <w:tc>
          <w:tcPr>
            <w:tcW w:w="15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P + 9.25%</w:t>
            </w:r>
            <w:r>
              <w:rPr>
                <w:rFonts w:ascii="Times New Roman" w:cs="Times New Roman" w:eastAsia="Times New Roman" w:hAnsi="Times New Roman"/>
                <w:sz w:val="29"/>
                <w:szCs w:val="29"/>
                <w:color w:val="auto"/>
                <w:w w:val="93"/>
                <w:vertAlign w:val="superscript"/>
              </w:rPr>
              <w:t>(7)</w:t>
            </w:r>
          </w:p>
        </w:tc>
        <w:tc>
          <w:tcPr>
            <w:tcW w:w="14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14,674,340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8"/>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spacing w:after="0" w:line="239" w:lineRule="exact"/>
              <w:rPr>
                <w:sz w:val="20"/>
                <w:szCs w:val="20"/>
                <w:color w:val="auto"/>
              </w:rPr>
            </w:pPr>
            <w:r>
              <w:rPr>
                <w:rFonts w:ascii="Times New Roman" w:cs="Times New Roman" w:eastAsia="Times New Roman" w:hAnsi="Times New Roman"/>
                <w:sz w:val="17"/>
                <w:szCs w:val="17"/>
                <w:color w:val="auto"/>
              </w:rPr>
              <w:t>P + 8.25%</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7"/>
                <w:szCs w:val="17"/>
                <w:color w:val="auto"/>
              </w:rPr>
              <w:t xml:space="preserve"> Cash,</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 w:type="dxa"/>
            <w:vAlign w:val="bottom"/>
            <w:vMerge w:val="continue"/>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30,369,303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29,847,983</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PIK</w:t>
            </w:r>
          </w:p>
        </w:tc>
        <w:tc>
          <w:tcPr>
            <w:tcW w:w="14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3/11/2022</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20,172,651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20,080,825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25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11% Cash, 3% PIK</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5/30/2025</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11.00% Cash, 3%</w:t>
            </w:r>
          </w:p>
        </w:tc>
        <w:tc>
          <w:tcPr>
            <w:tcW w:w="140" w:type="dxa"/>
            <w:vAlign w:val="bottom"/>
          </w:tcPr>
          <w:p>
            <w:pPr>
              <w:spacing w:after="0"/>
              <w:rPr>
                <w:sz w:val="17"/>
                <w:szCs w:val="17"/>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P&amp;I</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1"/>
        </w:trPr>
        <w:tc>
          <w:tcPr>
            <w:tcW w:w="4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17,000,000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17,073,745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16,911,659</w:t>
            </w:r>
          </w:p>
        </w:tc>
        <w:tc>
          <w:tcPr>
            <w:tcW w:w="980" w:type="dxa"/>
            <w:vAlign w:val="bottom"/>
            <w:gridSpan w:val="2"/>
            <w:vMerge w:val="continue"/>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PIK</w:t>
            </w: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60" w:type="dxa"/>
            <w:vAlign w:val="bottom"/>
            <w:tcBorders>
              <w:top w:val="single" w:sz="8" w:color="CCEEFF"/>
              <w:right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gridSpan w:val="2"/>
            <w:shd w:val="clear" w:color="auto" w:fill="CCEEFF"/>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Wtd</w:t>
            </w: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6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Subtotal</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357,117,706</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334,322,292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330,201,986</w:t>
            </w:r>
          </w:p>
        </w:tc>
        <w:tc>
          <w:tcPr>
            <w:tcW w:w="980" w:type="dxa"/>
            <w:vAlign w:val="bottom"/>
            <w:gridSpan w:val="2"/>
            <w:shd w:val="clear" w:color="auto" w:fill="CCEEFF"/>
          </w:tcPr>
          <w:p>
            <w:pPr>
              <w:jc w:val="right"/>
              <w:ind w:right="80"/>
              <w:spacing w:after="0" w:line="278" w:lineRule="exact"/>
              <w:rPr>
                <w:sz w:val="20"/>
                <w:szCs w:val="20"/>
                <w:color w:val="auto"/>
              </w:rPr>
            </w:pPr>
            <w:r>
              <w:rPr>
                <w:rFonts w:ascii="Times New Roman" w:cs="Times New Roman" w:eastAsia="Times New Roman" w:hAnsi="Times New Roman"/>
                <w:sz w:val="17"/>
                <w:szCs w:val="17"/>
                <w:color w:val="auto"/>
              </w:rPr>
              <w:t>100.0</w:t>
            </w:r>
            <w:r>
              <w:rPr>
                <w:rFonts w:ascii="Times New Roman" w:cs="Times New Roman" w:eastAsia="Times New Roman" w:hAnsi="Times New Roman"/>
                <w:sz w:val="32"/>
                <w:szCs w:val="32"/>
                <w:color w:val="auto"/>
                <w:vertAlign w:val="superscript"/>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25,162,809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760" w:type="dxa"/>
            <w:vAlign w:val="bottom"/>
            <w:gridSpan w:val="2"/>
            <w:shd w:val="clear" w:color="auto" w:fill="CCEEFF"/>
          </w:tcPr>
          <w:p>
            <w:pPr>
              <w:jc w:val="right"/>
              <w:ind w:right="20"/>
              <w:spacing w:after="0" w:line="278" w:lineRule="exact"/>
              <w:rPr>
                <w:sz w:val="20"/>
                <w:szCs w:val="20"/>
                <w:color w:val="auto"/>
              </w:rPr>
            </w:pPr>
            <w:r>
              <w:rPr>
                <w:rFonts w:ascii="Times New Roman" w:cs="Times New Roman" w:eastAsia="Times New Roman" w:hAnsi="Times New Roman"/>
                <w:sz w:val="17"/>
                <w:szCs w:val="17"/>
                <w:color w:val="auto"/>
              </w:rPr>
              <w:t>17.7</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have extension options from original maturity date.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 in kind interest.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OID, unused fees, and exit fees, but assumes no prepayment penalties or early payoffs.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prime rate floor.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#1 includes a $4.005 million initial advance, which has an interest rate of 15.25%, a second advance of</w:t>
      </w:r>
    </w:p>
    <w:p>
      <w:pPr>
        <w:spacing w:after="0" w:line="9" w:lineRule="exact"/>
        <w:rPr>
          <w:rFonts w:ascii="Times New Roman" w:cs="Times New Roman" w:eastAsia="Times New Roman" w:hAnsi="Times New Roman"/>
          <w:sz w:val="18"/>
          <w:szCs w:val="18"/>
          <w:color w:val="auto"/>
        </w:rPr>
      </w:pPr>
    </w:p>
    <w:p>
      <w:pPr>
        <w:ind w:left="34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$15.995 million, which has an interest rate of 9.75%, and a third advance of $10.0 million, which has an interest rate of 8.5%. The statistics presented reflect the weighted average of the terms under all three advances for the total aggregate loan commitment.</w:t>
      </w:r>
    </w:p>
    <w:p>
      <w:pPr>
        <w:jc w:val="both"/>
        <w:ind w:left="340" w:righ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#5 includes a $9.3 million initial advance, which has a base interest rate of 15.25% and 2.00% PIK, and a second advance of $2.0 million, which has an interest rate of 39.00%.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not below 2% if borrower receives at least two consecutive quarters of positive cash flow after the closing date.</w:t>
      </w:r>
    </w:p>
    <w:p>
      <w:pPr>
        <w:spacing w:after="0" w:line="9" w:lineRule="exact"/>
        <w:rPr>
          <w:rFonts w:ascii="Times New Roman" w:cs="Times New Roman" w:eastAsia="Times New Roman" w:hAnsi="Times New Roman"/>
          <w:sz w:val="18"/>
          <w:szCs w:val="18"/>
          <w:color w:val="auto"/>
        </w:rPr>
      </w:pPr>
    </w:p>
    <w:p>
      <w:pPr>
        <w:ind w:left="340" w:right="20" w:hanging="332"/>
        <w:spacing w:after="0" w:line="290"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PIK is variable with an initial rate of five percent (5.00%) per annum, until borrower’s delivery of audited financial statements for the fiscal year ended December 31, 2021, at which time the PIK interest rate shall be adjusted to a rate of 1% to 5% contingent on the financial results of the borrower.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28"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9"/>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1"/>
                <w:szCs w:val="21"/>
                <w:color w:val="auto"/>
              </w:rPr>
            </w:pPr>
          </w:p>
        </w:tc>
        <w:tc>
          <w:tcPr>
            <w:tcW w:w="108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334,322,292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(4,120,306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330,201,986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(1,203,424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40" w:type="dxa"/>
            <w:vAlign w:val="bottom"/>
            <w:shd w:val="clear" w:color="auto" w:fill="CCEEFF"/>
          </w:tcPr>
          <w:p>
            <w:pPr>
              <w:spacing w:after="0"/>
              <w:rPr>
                <w:sz w:val="21"/>
                <w:szCs w:val="21"/>
                <w:color w:val="auto"/>
              </w:rPr>
            </w:pPr>
          </w:p>
        </w:tc>
        <w:tc>
          <w:tcPr>
            <w:tcW w:w="1820" w:type="dxa"/>
            <w:vAlign w:val="bottom"/>
            <w:gridSpan w:val="6"/>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 xml:space="preserve"> 334,322,292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(4,120,306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332,998,562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980" w:type="dxa"/>
            <w:vAlign w:val="bottom"/>
          </w:tcPr>
          <w:p>
            <w:pPr>
              <w:spacing w:after="0"/>
              <w:rPr>
                <w:sz w:val="18"/>
                <w:szCs w:val="18"/>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0" w:type="dxa"/>
            <w:vAlign w:val="bottom"/>
          </w:tcPr>
          <w:p>
            <w:pPr>
              <w:spacing w:after="0"/>
              <w:rPr>
                <w:sz w:val="21"/>
                <w:szCs w:val="21"/>
                <w:color w:val="auto"/>
              </w:rPr>
            </w:pPr>
          </w:p>
        </w:tc>
        <w:tc>
          <w:tcPr>
            <w:tcW w:w="1120" w:type="dxa"/>
            <w:vAlign w:val="bottom"/>
            <w:gridSpan w:val="4"/>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w w:val="96"/>
              </w:rPr>
              <w:t>Discount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4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200,632,056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196,984,566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196,850,024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changes in loans held for investment at carrying value as of and for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137,944,312</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(1,835,592)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136,108,720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(6,654,703)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(6,654,703)</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1,362,776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1,362,776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2,400,627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2,400,627</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(1,068,882)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(1,068,882)</w:t>
            </w:r>
          </w:p>
        </w:tc>
        <w:tc>
          <w:tcPr>
            <w:tcW w:w="0" w:type="dxa"/>
            <w:vAlign w:val="bottom"/>
          </w:tcPr>
          <w:p>
            <w:pPr>
              <w:spacing w:after="0"/>
              <w:rPr>
                <w:sz w:val="1"/>
                <w:szCs w:val="1"/>
                <w:color w:val="auto"/>
              </w:rPr>
            </w:pPr>
          </w:p>
        </w:tc>
      </w:tr>
      <w:tr>
        <w:trPr>
          <w:trHeight w:val="27"/>
        </w:trPr>
        <w:tc>
          <w:tcPr>
            <w:tcW w:w="4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vMerge w:val="continue"/>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334,322,292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(4,120,306</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(1,203,424</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328,998,562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25,185,837</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(245,416)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24,940,421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32,700,000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32,017,500</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(46,667)</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(46,667)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64,061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64,061</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51,767</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51,767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57,890,937</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(863,855</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57,027,082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9" w:name="page30"/>
    <w:bookmarkEnd w:id="29"/>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the potential impacts of the COVID-19 pandemic on our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 In the future, we may use other acceptable methods, such as a discounted cash flow method, WARM method, or other methods permitted under the standard.</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89" w:lineRule="exact"/>
        <w:rPr>
          <w:sz w:val="20"/>
          <w:szCs w:val="20"/>
          <w:color w:val="auto"/>
        </w:rPr>
      </w:pPr>
    </w:p>
    <w:p>
      <w:pPr>
        <w:jc w:val="both"/>
        <w:ind w:right="40" w:firstLine="648"/>
        <w:spacing w:after="0" w:line="270" w:lineRule="auto"/>
        <w:rPr>
          <w:sz w:val="20"/>
          <w:szCs w:val="20"/>
          <w:color w:val="auto"/>
        </w:rPr>
      </w:pPr>
      <w:r>
        <w:rPr>
          <w:rFonts w:ascii="Times New Roman" w:cs="Times New Roman" w:eastAsia="Times New Roman" w:hAnsi="Times New Roman"/>
          <w:sz w:val="17"/>
          <w:szCs w:val="17"/>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evaluates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Ratings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7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020" w:hanging="101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20" w:hanging="101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20" w:hanging="101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020" w:hanging="101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20" w:hanging="101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2021 to June 30, 2022, are not due to any borrower specific credit issues relating to the borrowers, but rather, is primarily due to our quarterly re-evaluation of overall current macroeconomic conditions affecting our borrowers. This decline in risk ratings did not have a significant effect on the level of the current expected credit loss reserve because the loans continue to perform as agreed and the fair value of the underlying collateral exceeds the amount outstanding.</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carrying value, excluding the CECL Reserve, of the Company’s loans within each risk rating by year of origination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 June 30, 2022</w:t>
            </w:r>
            <w:r>
              <w:rPr>
                <w:rFonts w:ascii="Times New Roman" w:cs="Times New Roman" w:eastAsia="Times New Roman" w:hAnsi="Times New Roman"/>
                <w:sz w:val="29"/>
                <w:szCs w:val="29"/>
                <w:b w:val="1"/>
                <w:bCs w:val="1"/>
                <w:color w:val="auto"/>
                <w:vertAlign w:val="superscript"/>
              </w:rPr>
              <w:t>1</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34,546,303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29,596,545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64,142,848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87,808,199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82,382,609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6,694,554</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176,885,362</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29,847,983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54,325,793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84,173,776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18"/>
                <w:szCs w:val="18"/>
                <w:color w:val="auto"/>
              </w:rPr>
            </w:pPr>
          </w:p>
        </w:tc>
      </w:tr>
      <w:tr>
        <w:trPr>
          <w:trHeight w:val="23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46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117,656,182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176,254,705</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36,291,099</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330,201,986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Amounts are presented by loan origination year with subsequent advances shown in the original year of origination.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2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135,076,307</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32,242,114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590,384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167,908,805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29,075,761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29,075,761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7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2"/>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164,152,068</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32,242,114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590,384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196,984,566</w:t>
            </w:r>
          </w:p>
        </w:tc>
        <w:tc>
          <w:tcPr>
            <w:tcW w:w="0" w:type="dxa"/>
            <w:vAlign w:val="bottom"/>
          </w:tcPr>
          <w:p>
            <w:pPr>
              <w:spacing w:after="0"/>
              <w:rPr>
                <w:sz w:val="1"/>
                <w:szCs w:val="1"/>
                <w:color w:val="auto"/>
              </w:rPr>
            </w:pPr>
          </w:p>
        </w:tc>
      </w:tr>
      <w:tr>
        <w:trPr>
          <w:trHeight w:val="34"/>
        </w:trPr>
        <w:tc>
          <w:tcPr>
            <w:tcW w:w="3220" w:type="dxa"/>
            <w:vAlign w:val="bottom"/>
          </w:tcPr>
          <w:p>
            <w:pPr>
              <w:spacing w:after="0"/>
              <w:rPr>
                <w:sz w:val="2"/>
                <w:szCs w:val="2"/>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a commercial real estate finance company, we believe the key financial measures and indicators for our business are Distributable Earnings, Adjusted Distributable Earnings, book value per share and dividends declared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equity compensation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Provision for current expected credit losses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65"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March 30,</w:t>
            </w:r>
          </w:p>
        </w:tc>
      </w:tr>
      <w:tr>
        <w:trPr>
          <w:trHeight w:val="216"/>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405" w:hanging="405"/>
        <w:spacing w:after="0"/>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7,463,839   $    1,068,551   $  15,267,791   $   1,068,551</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122,525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243,465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168,826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241,095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w:t>
            </w: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1,045,665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1,097,008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8,800,855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1,085,263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16,849,359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1,085,263</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-633730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-359410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255" w:space="720"/>
            <w:col w:w="5265"/>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4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8,800,855</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1,085,263</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16,849,359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1,085,263</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17,657,913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2,407,329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17,649,548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2,355,559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0.50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0.95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0.46</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17,752,413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2,407,329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17,745,234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2,355,559</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0.50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0.95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book value per share of our common stock as of June 30, 2022 and December 31, 2021 was approximately $15.13.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We expect that our primary sources of financing will be, to the extent available to us, through (a) credit facilities and (b) public and private offerings of our equity and debt securities. In the future, we may utilize other sources of financing to the extent available to us. As the cannabis industry continues to evolve and to the extent that additional states legalize cannabis, the demand for capital continues to increase as operators seek to enter and build out new markets. We expect the principal amount of the loans we originate to increase and that we will need to raise additional equity and/or debt financing to increase our liquidity in the near future.</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all of our cash was unrestricted and totaled approximately $6.6 million and $80.2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In May 2021, in connection with our acquisition of our financing subsidiary, CAL, we were assigned a secured revolving credit facility (the “Revolving Loan”). The Revolving Loan has an aggregate borrowing base of up to $10,000,000 and bears interest, payable in cash in arrears, at a per annum rate equal to the greater of (x) Prime Rate plus 1.00% and (y) 4.75%. We incurred debt issuance costs of $100,000 related to the origination of the Revolving Loan, which were capitalized and are subsequently being amortized through maturity. The maturity date of the Revolving Loan is the earlier of (i) February 12, 2023 and (ii) the date on which the Revolving Loan is terminated pursuant to terms in the Revolving Loan agreement.</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December 16, 2021, we amended the Revolving Loan (the “First Amendment”). The First Amendment increased the loan commitment from $10,000,000 to $45,000,000, decreased the interest rate, from the greater of the (1) Prime Rate plus 1.00% and (2) 4.75% to the greater of (1) the Prime Rate plus the applicable margin and (2) 3.25%. The applicable margin depends on the ratio of debt to equity of CAL and increases from 0% at a ratio of 0.25 to 1 to 1.25% at a ratio of 1.5 to 1. The First Amendment also extended the maturity date from February 12, 2023 to the earlier of (i) December 16, 2023 and (ii) the date on which the Revolving Loan is terminated pursuant to terms in the Revolving Loan agreement. We incurred debt issuance costs of $859,500 related to the First Amendment, which were capitalized and are subsequently being amortized through maturity.</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12, 2022, we amended the Revolving Loan (the “Second Amendment”) which provides for an increase in the aggregate commitment from $45 million to $65 million. No other material terms of the Revolving Loan were modified as a result of the execution of the Second Amendment. As of June 30, 2022 and December 31, 2021, unamortized debt issuance costs related to the Revolving Loan and First and Second Amendments of $804,188 and $868,022, respectively, are recorded in other receivables and assets, net on the consolidated balance sheets.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Revolving Loan incurs unused fees at a rate of 0.25% per annum. During the six month period ended June 30, 2022, we incurred zero unused fees as these fees do not begin until June 2022 in connection with the Second Amendment. For the period from January 1, 2022 to June 30, 2022, we borrowed $45.0 million against the Revolving Loan and incurred $276,563 in interest expense for the period then ended. In the future, we may use certain sources of financing to fund the origination or acquisition of our target investments, including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3" w:name="page34"/>
    <w:bookmarkEnd w:id="33"/>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First Amendment and the Second Amendment provide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To the best of our knowledge, as of June 30, 2022, we were in compliance in all material respects with the covenants with respect to the Revolving Loan.</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ended June 30, 2022 we borrowed $45.0 million against the Revolving Loan and had $45.0 million outstanding at June 30, 2022. For the period ended December 31, 2021 we did not borrow against the Revolving Loan and therefore had $0 outstanding under the Revolving Loan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changes in cash for the six months ended June 30, 2022 and the period March 30, 2021 (inception) to June 30,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4"/>
              </w:rPr>
              <w:t>six</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15,267,791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 and changes in operating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and liabilities</w:t>
            </w:r>
          </w:p>
        </w:tc>
        <w:tc>
          <w:tcPr>
            <w:tcW w:w="140" w:type="dxa"/>
            <w:vAlign w:val="bottom"/>
          </w:tcPr>
          <w:p>
            <w:pPr>
              <w:spacing w:after="0"/>
              <w:rPr>
                <w:sz w:val="22"/>
                <w:szCs w:val="22"/>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(7,893,109)</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386,544</w:t>
            </w:r>
          </w:p>
        </w:tc>
        <w:tc>
          <w:tcPr>
            <w:tcW w:w="80" w:type="dxa"/>
            <w:vAlign w:val="bottom"/>
          </w:tcPr>
          <w:p>
            <w:pPr>
              <w:spacing w:after="0"/>
              <w:rPr>
                <w:sz w:val="22"/>
                <w:szCs w:val="22"/>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7,374,682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(118,729,079)</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(31,970,833)</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37,728,967</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31,359,323</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Change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(73,625,430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843,585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operating activities totaled approximately $7.4 million. For the six months ended June 30, 2022, adjustments to net income related to operating activities primarily included accretion of deferred loan original issue discount and other discounts of approximately $1.4 million, PIK interest of approximately $2.4 million, provision for current expected credit losses of approximately $1.1 million, amortization of deferred financing costs relating to the revolving credit facility of $241,095, and stock-based compensation expense of $243,465. Additionally, other changes in operating assets and liabilities were approximately $5.7 million, of which approximately $6.2 million is attributable to interest reserves disbursed offset by a related party payable of $739,950 and a $342,438 increase in management fee payable. In the comparable prior year period, the company commenced operations on March 30, 2021, and therefore did not have comparable operating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totaled approximately $118.7 million. The net cash used in investing activities was primarily a result of the cash used for the origination and funding of loans held for investment of approximately $125.4 million, exceeding the cash received from principal repayment of loans held for investment of approximately $6.7 million for the period of January 1, 2022 through June 30, 2022. In the comparable prior year period, the company commenced operations on March 30, 2021, and therefore did not have comparable investing activity.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totaled approximately $37.7 million and related to drawdowns on the revolving credit facility of $45.0 million, approximately $4.5 million in proceeds received from the underwriters’ partial exercise of their over-allotment option, less approximately $11.6 million in dividends paid and offering costs relating to our initial public offering of approximately $24,000 and $177,261 in debt issuance costs paid.</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from March 30, 2021 (inception) through June 30, 2021, we received $31,359,323 in cash from financing activities related to proceeds received from the issuance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there were no significant changes in the application of our accounting policies or estimates from those presented in our annual report on Form 10-K. Refer to Note 2 to our consolidated financial statements for the six months ended June 30, 2022,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non-credit impaired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June 30, 2022, we had 13 floating-rate loans, representing approximately 59.8% of our loan portfolio based on aggregate outstanding principal balances, most of which are subject to a prime rate floor. We estimate that a hypothetical 100 basis points increase in the prime rate would result in an increase in annual interest income of approximately $1.0 million and a 100 basis points decrease in prime rate would result in a decrease in annual interest income of approximately $1.0 million. Our loans generally have a prime rate floor of 3.25%.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76"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spacing w:after="0" w:line="1" w:lineRule="exact"/>
        <w:rPr>
          <w:sz w:val="20"/>
          <w:szCs w:val="20"/>
          <w:color w:val="auto"/>
        </w:rPr>
      </w:pPr>
    </w:p>
    <w:p>
      <w:pPr>
        <w:ind w:firstLine="8"/>
        <w:spacing w:after="0" w:line="253"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June 30, 2022, all of our floating rate loans have interest rate floors, and none of our loans are subject to interest rate caps.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capitalize on these opportunities and growing the size of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80" w:lineRule="exact"/>
        <w:rPr>
          <w:sz w:val="20"/>
          <w:szCs w:val="20"/>
          <w:color w:val="auto"/>
        </w:rPr>
      </w:pPr>
    </w:p>
    <w:p>
      <w:pPr>
        <w:ind w:left="980" w:right="6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generally service our self-originated loans through our Manager’s servicer;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floating-and fixed-rate loans to mitigate the interest rate risk associated with the financing of our portfolio;</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Changes in Fair Value of Our Assets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generally hold our target investments as long-term loans; however, we may occasionally classify some of our loans as held for sale. We may carry our loans at fair value or carrying value in our balance sheet. As of June 30, 2022 and December 31, 2021, none of our loans held for investment were carried at fair value.</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evaluate our loans on a quarterly basis. We may use an independent third-party valuation firm to provide input in the valuation of certain of our unquoted investments, which we consider along with other various subjective and objective factors in making our evaluations.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loans are typically valued using a yield analysis, which is typically performed for non-credit impaired loans to borrowers.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may change the fair value of certain of our loans. Generally, an increase in market yields may result in a decrease in the fair value of certain of our loans, however this is mitigated to the extent our loans bear interest at a floating rate.</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8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2022, 94% of our portfolio is fully secured by real estate and 6% has limited or no real estate collateral. Our portfolio on average had real estate collateral coverage of 1.9x as of June 30, 2022, and all of our loans are secured by equity pledges of the borrower and all asset liens.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Credit risk will also be addressed through our Manager’s on-going review, and loans will be monitored for variance from expected prepayments, defaults, severities, losses and cash flow on a quarterly basis.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loan portfolio as of June 30, 2022 and December 31, 2021, was concentrated with the top three borrowers representing approximately 29.6% and 34.6% of the funded principal and approximately 27.4% and 31.9% of the total commitments to borrowers, respectively. The largest loan represented approximately 10.9% and 15.0% of the funded principal and approximately 10.1% and 12.8% of the total commitments as of June 30,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CFO, to allow timely decisions regarding required disclosures.</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CEO and CFO, evaluated the effectiveness of the design and operation of our disclosure controls and procedures as of June 30, 2022. Based on that evaluation, our CEO and CFO have concluded that our disclosure controls and procedures were not effective at the reasonable assurance level as of June 30, 2022 because of the material weaknesses in our internal control over financial reporting that were previously reported in our Annual Report on Form 10-K for the year ended December 31, 2021 (the “2021 10-K”). Such material weakness relates to inadequate design and implementation of information technology general controls that prevent the information systems from providing appropriate segregation of duties, and delivery of complete and accurate information consistent with financial reporting objectives and current needs. Additionally, as previously reported in the 2021 10-K, a control deficiency in our internal control over financial reporting was identified which constitutes a material weakness relating to inadequate design and implementation of controls relating to the development of our allowance for current expected credit losses.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taken certain measures to remediate the material weakness related to information technology general controls described above, including hiring additional personnel and designing and implementing formal user access controls and information technology systems conducive to a more robust control environment. We have begun to take certain measures to remediate the material weakness related to the Company’s development of its allowance for credit losses, including designing and implementing formal procedures and controls, such as controls over the preparation and review of risk ratings and the estimation of enterprise value of our borrowers as well as over the preparation and review over the development of reasonable and supportable forecasts of the performance of its loans.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including engaging a third party vendor to implement a new ERP system with capabilities better suited to support us as a public company, and augmenting our internal controls with new accounting policies and procedures, and designing and implementing both business process controls and information technology general controls.</w:t>
      </w:r>
    </w:p>
    <w:p>
      <w:pPr>
        <w:spacing w:after="0" w:line="19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the efforts taken to date have improved the effectiveness of our internal control over financial reporting, additional remediation efforts are ongoing and will require additional time before management is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18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the Company has concluded that the consolidated financial statements included in this report present fairly, in all material respects, the financial position of the Company as of June 30, 2022, and the results of its operations and its cash flows for the year then ended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2022 that have materially affected, or that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left="45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year ended December 31, 2021. The risks described in our Annual Report on Form 10-K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inflation in the United States has accelerated and is currently expected to continue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recently started raising interest rates to combat inflation and restore price stability and it is expected that rates will continue to rise throughout the remainder of 2022. To the extent our borrowing costs increase faster than the interest income earned from our floating-rate loans, such increases may adversely affect our cash flows.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7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7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top w:val="single" w:sz="8" w:color="auto"/>
              <w:bottom w:val="single" w:sz="8" w:color="0000EE"/>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7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0000EE"/>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276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8"/>
        </w:trPr>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18"/>
                <w:szCs w:val="18"/>
                <w:color w:val="auto"/>
              </w:rPr>
            </w:pP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Furnished herewith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CHICAGO ATLANTIC REAL ESTATE FINANCE, INC.</w:t>
      </w:r>
    </w:p>
    <w:p>
      <w:pPr>
        <w:spacing w:after="0" w:line="241"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8"/>
          <w:szCs w:val="18"/>
          <w:color w:val="auto"/>
        </w:rPr>
        <w:t>By:</w:t>
        <w:tab/>
        <w:t>/s/ Lindsay Menze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Lindsay Menze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right="3460" w:firstLine="3451"/>
        <w:spacing w:after="0" w:line="477" w:lineRule="auto"/>
        <w:rPr>
          <w:sz w:val="20"/>
          <w:szCs w:val="20"/>
          <w:color w:val="auto"/>
        </w:rPr>
      </w:pPr>
      <w:r>
        <w:rPr>
          <w:rFonts w:ascii="Times New Roman" w:cs="Times New Roman" w:eastAsia="Times New Roman" w:hAnsi="Times New Roman"/>
          <w:sz w:val="17"/>
          <w:szCs w:val="17"/>
          <w:b w:val="1"/>
          <w:bCs w:val="1"/>
          <w:color w:val="auto"/>
        </w:rPr>
        <w:t xml:space="preserve">CERTIFICATION OF CHIEF EXECUTIVE OFFICER </w:t>
      </w:r>
      <w:r>
        <w:rPr>
          <w:rFonts w:ascii="Times New Roman" w:cs="Times New Roman" w:eastAsia="Times New Roman" w:hAnsi="Times New Roman"/>
          <w:sz w:val="17"/>
          <w:szCs w:val="17"/>
          <w:color w:val="auto"/>
        </w:rPr>
        <w:t>I, Anthony Cappell, Chief Executive Officer of Chicago Atlantic Real Estate Finance, Inc., certify that:</w:t>
      </w:r>
    </w:p>
    <w:p>
      <w:pPr>
        <w:spacing w:after="0" w:line="1" w:lineRule="exact"/>
        <w:rPr>
          <w:sz w:val="20"/>
          <w:szCs w:val="20"/>
          <w:color w:val="auto"/>
        </w:rPr>
      </w:pPr>
    </w:p>
    <w:p>
      <w:pPr>
        <w:ind w:left="360" w:hanging="217"/>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117" w:lineRule="exact"/>
        <w:rPr>
          <w:rFonts w:ascii="Times New Roman" w:cs="Times New Roman" w:eastAsia="Times New Roman" w:hAnsi="Times New Roman"/>
          <w:sz w:val="18"/>
          <w:szCs w:val="18"/>
          <w:color w:val="auto"/>
        </w:rPr>
      </w:pPr>
    </w:p>
    <w:p>
      <w:pPr>
        <w:jc w:val="both"/>
        <w:ind w:left="360" w:right="420" w:hanging="217"/>
        <w:spacing w:after="0" w:line="266"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60" w:right="380" w:hanging="217"/>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60" w:right="600" w:hanging="217"/>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800" w:right="260" w:hanging="216"/>
        <w:spacing w:after="0" w:line="266" w:lineRule="auto"/>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00" w:right="720" w:hanging="226"/>
        <w:spacing w:after="0" w:line="312" w:lineRule="auto"/>
        <w:tabs>
          <w:tab w:leader="none" w:pos="8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800" w:right="260" w:hanging="216"/>
        <w:spacing w:after="0" w:line="266" w:lineRule="auto"/>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60" w:right="300" w:hanging="217"/>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360" w:right="160" w:hanging="222"/>
        <w:spacing w:after="0" w:line="282"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360" w:right="220" w:hanging="232"/>
        <w:spacing w:after="0" w:line="282"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right="3480" w:firstLine="3476"/>
        <w:spacing w:after="0" w:line="477" w:lineRule="auto"/>
        <w:rPr>
          <w:sz w:val="20"/>
          <w:szCs w:val="20"/>
          <w:color w:val="auto"/>
        </w:rPr>
      </w:pPr>
      <w:r>
        <w:rPr>
          <w:rFonts w:ascii="Times New Roman" w:cs="Times New Roman" w:eastAsia="Times New Roman" w:hAnsi="Times New Roman"/>
          <w:sz w:val="17"/>
          <w:szCs w:val="17"/>
          <w:b w:val="1"/>
          <w:bCs w:val="1"/>
          <w:color w:val="auto"/>
        </w:rPr>
        <w:t xml:space="preserve">CERTIFICATION OF CHIEF FINANCIAL OFFICER </w:t>
      </w:r>
      <w:r>
        <w:rPr>
          <w:rFonts w:ascii="Times New Roman" w:cs="Times New Roman" w:eastAsia="Times New Roman" w:hAnsi="Times New Roman"/>
          <w:sz w:val="17"/>
          <w:szCs w:val="17"/>
          <w:color w:val="auto"/>
        </w:rPr>
        <w:t>I, Lindsay Menze, Chief Financial Officer of Chicago Atlantic Real Estate Finance, Inc., certify that:</w:t>
      </w:r>
    </w:p>
    <w:p>
      <w:pPr>
        <w:spacing w:after="0" w:line="1" w:lineRule="exact"/>
        <w:rPr>
          <w:sz w:val="20"/>
          <w:szCs w:val="20"/>
          <w:color w:val="auto"/>
        </w:rPr>
      </w:pPr>
    </w:p>
    <w:p>
      <w:pPr>
        <w:ind w:left="360" w:hanging="217"/>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117" w:lineRule="exact"/>
        <w:rPr>
          <w:rFonts w:ascii="Times New Roman" w:cs="Times New Roman" w:eastAsia="Times New Roman" w:hAnsi="Times New Roman"/>
          <w:sz w:val="18"/>
          <w:szCs w:val="18"/>
          <w:color w:val="auto"/>
        </w:rPr>
      </w:pPr>
    </w:p>
    <w:p>
      <w:pPr>
        <w:jc w:val="both"/>
        <w:ind w:left="360" w:right="420" w:hanging="217"/>
        <w:spacing w:after="0" w:line="266"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60" w:right="380" w:hanging="217"/>
        <w:spacing w:after="0" w:line="282"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60" w:right="600" w:hanging="217"/>
        <w:spacing w:after="0" w:line="282"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800" w:right="260" w:hanging="216"/>
        <w:spacing w:after="0" w:line="266" w:lineRule="auto"/>
        <w:tabs>
          <w:tab w:leader="none" w:pos="8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00" w:right="720" w:hanging="226"/>
        <w:spacing w:after="0" w:line="312" w:lineRule="auto"/>
        <w:tabs>
          <w:tab w:leader="none" w:pos="8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800" w:right="260" w:hanging="216"/>
        <w:spacing w:after="0" w:line="266" w:lineRule="auto"/>
        <w:tabs>
          <w:tab w:leader="none" w:pos="8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60" w:right="300" w:hanging="217"/>
        <w:spacing w:after="0" w:line="282"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00" w:right="180" w:hanging="216"/>
        <w:spacing w:after="0" w:line="282" w:lineRule="auto"/>
        <w:tabs>
          <w:tab w:leader="none" w:pos="8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00" w:right="140" w:hanging="226"/>
        <w:spacing w:after="0" w:line="282" w:lineRule="auto"/>
        <w:tabs>
          <w:tab w:leader="none" w:pos="8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By:/s/ Lindsay Menze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Lindsay Menze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66"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2022 (the “Report”) of Chicago Atlantic Real Estate Finance, Inc. (the “Registrant”), as filed with the Securities and Exchange Commission on the date hereof, I, Anthony Cappell, the Chief Executive Officer of the Registrant, hereby certify, to the best of my knowledge, that:</w:t>
      </w:r>
    </w:p>
    <w:p>
      <w:pPr>
        <w:spacing w:after="0" w:line="68" w:lineRule="exact"/>
        <w:rPr>
          <w:sz w:val="20"/>
          <w:szCs w:val="20"/>
          <w:color w:val="auto"/>
        </w:rPr>
      </w:pPr>
    </w:p>
    <w:p>
      <w:pPr>
        <w:ind w:left="360" w:hanging="29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60"/>
          </w:cols>
          <w:pgMar w:left="320" w:top="117" w:right="5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66"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2022 (the “Report”) of Chicago Atlantic Real Estate Finance, Inc. (the “Registrant”), as filed with the Securities and Exchange Commission on the date hereof, I, Lindsay Menze, the Chief Financial Officer of the Registrant, hereby certify, to the best of my knowledge, that:</w:t>
      </w:r>
    </w:p>
    <w:p>
      <w:pPr>
        <w:spacing w:after="0" w:line="68" w:lineRule="exact"/>
        <w:rPr>
          <w:sz w:val="20"/>
          <w:szCs w:val="20"/>
          <w:color w:val="auto"/>
        </w:rPr>
      </w:pPr>
    </w:p>
    <w:p>
      <w:pPr>
        <w:ind w:left="360" w:hanging="29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By:/s/ Lindsay Menze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Lindsay Menze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060"/>
      </w:cols>
      <w:pgMar w:left="320" w:top="1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3"/>
      <w:numFmt w:val="bullet"/>
      <w:start w:val="1"/>
    </w:lvl>
  </w:abstractNum>
  <w:abstractNum w:abstractNumId="6">
    <w:nsid w:val="7C83E458"/>
    <w:multiLevelType w:val="hybridMultilevel"/>
    <w:lvl w:ilvl="0">
      <w:lvlJc w:val="left"/>
      <w:lvlText w:val="4"/>
      <w:numFmt w:val="bullet"/>
      <w:start w:val="1"/>
    </w:lvl>
  </w:abstractNum>
  <w:abstractNum w:abstractNumId="7">
    <w:nsid w:val="257130A3"/>
    <w:multiLevelType w:val="hybridMultilevel"/>
    <w:lvl w:ilvl="0">
      <w:lvlJc w:val="left"/>
      <w:lvlText w:val="5"/>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Roman"/>
      <w:start w:val="4"/>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bullet"/>
      <w:start w:val="1"/>
    </w:lvl>
  </w:abstractNum>
  <w:abstractNum w:abstractNumId="18">
    <w:nsid w:val="79838CB2"/>
    <w:multiLevelType w:val="hybridMultilevel"/>
    <w:lvl w:ilvl="0">
      <w:lvlJc w:val="left"/>
      <w:lvlText w:val="2"/>
      <w:numFmt w:val="bullet"/>
      <w:start w:val="1"/>
    </w:lvl>
  </w:abstractNum>
  <w:abstractNum w:abstractNumId="19">
    <w:nsid w:val="4353D0CD"/>
    <w:multiLevelType w:val="hybridMultilevel"/>
    <w:lvl w:ilvl="0">
      <w:lvlJc w:val="left"/>
      <w:lvlText w:val="3"/>
      <w:numFmt w:val="bullet"/>
      <w:start w:val="1"/>
    </w:lvl>
  </w:abstractNum>
  <w:abstractNum w:abstractNumId="20">
    <w:nsid w:val="B03E0C6"/>
    <w:multiLevelType w:val="hybridMultilevel"/>
    <w:lvl w:ilvl="0">
      <w:lvlJc w:val="left"/>
      <w:lvlText w:val="4"/>
      <w:numFmt w:val="bullet"/>
      <w:start w:val="1"/>
    </w:lvl>
  </w:abstractNum>
  <w:abstractNum w:abstractNumId="21">
    <w:nsid w:val="189A769B"/>
    <w:multiLevelType w:val="hybridMultilevel"/>
    <w:lvl w:ilvl="0">
      <w:lvlJc w:val="left"/>
      <w:lvlText w:val="5"/>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2022-08-09T06:04:39Z</dcterms:created>
  <dcterms:modified xsi:type="dcterms:W3CDTF">2022-08-09T06:04:39Z</dcterms:modified>
</cp:coreProperties>
</file>