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20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09"/>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22"/>
        </w:trPr>
        <w:tc>
          <w:tcPr>
            <w:tcW w:w="3920" w:type="dxa"/>
            <w:vAlign w:val="bottom"/>
            <w:gridSpan w:val="3"/>
          </w:tcPr>
          <w:p>
            <w:pPr>
              <w:ind w:left="1900"/>
              <w:spacing w:after="0" w:line="12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ind w:left="220"/>
              <w:spacing w:after="0" w:line="12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1"/>
        </w:trPr>
        <w:tc>
          <w:tcPr>
            <w:tcW w:w="3920" w:type="dxa"/>
            <w:vAlign w:val="bottom"/>
            <w:gridSpan w:val="3"/>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5"/>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278"/>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May 2, 2025</w:t>
            </w:r>
          </w:p>
        </w:tc>
      </w:tr>
      <w:tr>
        <w:trPr>
          <w:trHeight w:val="209"/>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20,967,457</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CHICAGO ATLANTIC REAL ESTATE FINANCE, INC.</w:t>
            </w:r>
          </w:p>
        </w:tc>
        <w:tc>
          <w:tcPr>
            <w:tcW w:w="194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5"/>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gridSpan w:val="4"/>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94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7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360,987,934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364,238,847</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held for investment - related party (Note 8)</w:t>
            </w: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38,467,545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38,238,199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(3,274,058)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(4,346,869)</w:t>
            </w:r>
          </w:p>
        </w:tc>
      </w:tr>
      <w:tr>
        <w:trPr>
          <w:trHeight w:val="209"/>
        </w:trPr>
        <w:tc>
          <w:tcPr>
            <w:tcW w:w="75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396,181,421</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398,130,177</w:t>
            </w:r>
          </w:p>
        </w:tc>
        <w:tc>
          <w:tcPr>
            <w:tcW w:w="12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at fair value - related party (amortized cost of $5,500,000 and $5,500,000, respectively)</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525,277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1,228,559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414,665,332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49,155,713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49,096,250</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9,820,079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2,539,925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2,285,035</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reserve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for investment purchased</w:t>
            </w: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103,885,285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126,190,877</w:t>
            </w:r>
          </w:p>
        </w:tc>
        <w:tc>
          <w:tcPr>
            <w:tcW w:w="12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75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shares authorized and</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20,893,785 and 20,829,228 shares issued and outstanding, respectively</w:t>
            </w: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208,938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208,292</w:t>
            </w:r>
          </w:p>
        </w:tc>
        <w:tc>
          <w:tcPr>
            <w:tcW w:w="120" w:type="dxa"/>
            <w:vAlign w:val="bottom"/>
            <w:shd w:val="clear" w:color="auto" w:fill="CFF0FC"/>
          </w:tcPr>
          <w:p>
            <w:pPr>
              <w:spacing w:after="0"/>
              <w:rPr>
                <w:sz w:val="20"/>
                <w:szCs w:val="20"/>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320,486,840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318,886,768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(9,915,731)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(10,136,963)</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310,780,047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308,958,097</w:t>
            </w:r>
          </w:p>
        </w:tc>
        <w:tc>
          <w:tcPr>
            <w:tcW w:w="120" w:type="dxa"/>
            <w:vAlign w:val="bottom"/>
            <w:tcBorders>
              <w:top w:val="single" w:sz="8" w:color="CFF0FC"/>
            </w:tcBorders>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414,665,332</w:t>
            </w: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20" w:type="dxa"/>
            <w:vAlign w:val="bottom"/>
            <w:shd w:val="clear" w:color="auto" w:fill="CFF0FC"/>
          </w:tcPr>
          <w:p>
            <w:pPr>
              <w:spacing w:after="0"/>
              <w:rPr>
                <w:sz w:val="20"/>
                <w:szCs w:val="20"/>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9360" w:type="dxa"/>
            <w:vAlign w:val="bottom"/>
            <w:gridSpan w:val="4"/>
          </w:tcPr>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75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-5271135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-5271135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-4988560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-4988560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-4157345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-4157345</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-2613660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-1499235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180" w:type="dxa"/>
            <w:vAlign w:val="bottom"/>
            <w:gridSpan w:val="7"/>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2460" w:type="dxa"/>
            <w:vAlign w:val="bottom"/>
            <w:gridSpan w:val="2"/>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15,107,315</w:t>
            </w:r>
          </w:p>
        </w:tc>
        <w:tc>
          <w:tcPr>
            <w:tcW w:w="160" w:type="dxa"/>
            <w:vAlign w:val="bottom"/>
          </w:tcPr>
          <w:p>
            <w:pPr>
              <w:spacing w:after="0"/>
              <w:rPr>
                <w:sz w:val="17"/>
                <w:szCs w:val="17"/>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15,343,667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Interest expense</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(2,065,382)</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(2,104,050)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tc>
        <w:tc>
          <w:tcPr>
            <w:tcW w:w="1220" w:type="dxa"/>
            <w:vAlign w:val="bottom"/>
            <w:tcBorders>
              <w:top w:val="single" w:sz="8" w:color="CFF0FC"/>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13,041,933</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13,239,617</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Management and incentive fees, net</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1,735,533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1,754,741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1,196,106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1,390,267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Professional fees</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492,946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449,858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649,312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(Benefit) provision for current expected credit losses</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(1,073,276)</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380,279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20" w:type="dxa"/>
            <w:vAlign w:val="bottom"/>
            <w:tcBorders>
              <w:top w:val="single" w:sz="8" w:color="CFF0FC"/>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3,000,621</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4,506,438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Change in unrealized gain on investments</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(75,604)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Realized gain on debt securities, at fair value</w:t>
            </w:r>
          </w:p>
        </w:tc>
        <w:tc>
          <w:tcPr>
            <w:tcW w:w="12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before income taxes</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10,041,312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8,730,003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12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60" w:type="dxa"/>
            <w:vAlign w:val="bottom"/>
            <w:gridSpan w:val="2"/>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10,041,312</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8,730,003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2460" w:type="dxa"/>
            <w:vAlign w:val="bottom"/>
            <w:gridSpan w:val="2"/>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60" w:type="dxa"/>
            <w:vAlign w:val="bottom"/>
          </w:tcPr>
          <w:p>
            <w:pPr>
              <w:spacing w:after="0"/>
              <w:rPr>
                <w:sz w:val="17"/>
                <w:szCs w:val="17"/>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2460" w:type="dxa"/>
            <w:vAlign w:val="bottom"/>
            <w:gridSpan w:val="2"/>
            <w:shd w:val="clear" w:color="auto" w:fill="CFF0FC"/>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Basic weighted average shares of common stock outstanding</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20,858,466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18,273,919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 weighted average shares of common stock outstanding</w:t>
            </w:r>
          </w:p>
        </w:tc>
        <w:tc>
          <w:tcPr>
            <w:tcW w:w="1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21,264,891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18,640,492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5582920</wp:posOffset>
            </wp:positionH>
            <wp:positionV relativeFrom="paragraph">
              <wp:posOffset>-2905125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-2905125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-1859915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-1859915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-1053465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-1036955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-1053465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-1036955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gridSpan w:val="1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8"/>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20,829,228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208,292</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318,886,768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(10,136,963)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308,958,097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Dividends declared on common shares ($.47 per share)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(9,820,079)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(9,820,079)</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10,041,312</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10,041,312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20,893,785</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320,486,840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(9,915,731)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310,780,047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520" w:type="dxa"/>
            <w:vAlign w:val="bottom"/>
            <w:gridSpan w:val="15"/>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8"/>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8"/>
                <w:szCs w:val="18"/>
                <w:color w:val="auto"/>
              </w:rPr>
            </w:pPr>
          </w:p>
        </w:tc>
        <w:tc>
          <w:tcPr>
            <w:tcW w:w="12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18,197,192</w:t>
            </w: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181,972</w:t>
            </w: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277,483,092</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(5,811,673)</w:t>
            </w:r>
          </w:p>
        </w:tc>
        <w:tc>
          <w:tcPr>
            <w:tcW w:w="1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271,853,391</w:t>
            </w:r>
          </w:p>
        </w:tc>
        <w:tc>
          <w:tcPr>
            <w:tcW w:w="0" w:type="dxa"/>
            <w:vAlign w:val="bottom"/>
          </w:tcPr>
          <w:p>
            <w:pPr>
              <w:spacing w:after="0"/>
              <w:rPr>
                <w:sz w:val="1"/>
                <w:szCs w:val="1"/>
                <w:color w:val="auto"/>
              </w:rPr>
            </w:pPr>
          </w:p>
        </w:tc>
      </w:tr>
      <w:tr>
        <w:trPr>
          <w:trHeight w:val="216"/>
        </w:trPr>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13,844,203</w:t>
            </w:r>
          </w:p>
        </w:tc>
        <w:tc>
          <w:tcPr>
            <w:tcW w:w="1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13,853,334</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531,226</w:t>
            </w:r>
          </w:p>
        </w:tc>
        <w:tc>
          <w:tcPr>
            <w:tcW w:w="1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531,293</w:t>
            </w:r>
          </w:p>
        </w:tc>
        <w:tc>
          <w:tcPr>
            <w:tcW w:w="0" w:type="dxa"/>
            <w:vAlign w:val="bottom"/>
          </w:tcPr>
          <w:p>
            <w:pPr>
              <w:spacing w:after="0"/>
              <w:rPr>
                <w:sz w:val="1"/>
                <w:szCs w:val="1"/>
                <w:color w:val="auto"/>
              </w:rPr>
            </w:pPr>
          </w:p>
        </w:tc>
      </w:tr>
      <w:tr>
        <w:trPr>
          <w:trHeight w:val="198"/>
        </w:trPr>
        <w:tc>
          <w:tcPr>
            <w:tcW w:w="43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Dividends declared on common shares ($.47 per</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(9,007,244)</w:t>
            </w:r>
          </w:p>
        </w:tc>
        <w:tc>
          <w:tcPr>
            <w:tcW w:w="12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(9,007,244)</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19,100,282</w:t>
            </w:r>
          </w:p>
        </w:tc>
        <w:tc>
          <w:tcPr>
            <w:tcW w:w="10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191,003</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291,858,521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(6,088,747)</w:t>
            </w: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285,960,777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-2270760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-2270760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-2270760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-2270760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r>
      <w:tr>
        <w:trPr>
          <w:trHeight w:val="19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10,041,312</w:t>
            </w:r>
          </w:p>
        </w:tc>
        <w:tc>
          <w:tcPr>
            <w:tcW w:w="160" w:type="dxa"/>
            <w:vAlign w:val="bottom"/>
          </w:tcPr>
          <w:p>
            <w:pPr>
              <w:spacing w:after="0"/>
              <w:rPr>
                <w:sz w:val="17"/>
                <w:szCs w:val="17"/>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8,730,003</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(369,971)</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(477,756)</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Paid-in-kind interest</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(1,595,058)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(3,008,593)</w:t>
            </w: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(Benefit) provision for current expected credit losses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(1,073,276)</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380,279</w:t>
            </w:r>
          </w:p>
        </w:tc>
        <w:tc>
          <w:tcPr>
            <w:tcW w:w="100" w:type="dxa"/>
            <w:vAlign w:val="bottom"/>
            <w:shd w:val="clear" w:color="auto" w:fill="CFF0FC"/>
          </w:tcPr>
          <w:p>
            <w:pPr>
              <w:spacing w:after="0"/>
              <w:rPr>
                <w:sz w:val="17"/>
                <w:szCs w:val="17"/>
                <w:color w:val="auto"/>
              </w:rPr>
            </w:pPr>
          </w:p>
        </w:tc>
      </w:tr>
      <w:tr>
        <w:trPr>
          <w:trHeight w:val="202"/>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unrealized gain on investments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(72,428)</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90,915</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531,293</w:t>
            </w:r>
          </w:p>
        </w:tc>
        <w:tc>
          <w:tcPr>
            <w:tcW w:w="100" w:type="dxa"/>
            <w:vAlign w:val="bottom"/>
            <w:shd w:val="clear" w:color="auto" w:fill="CFF0FC"/>
          </w:tcPr>
          <w:p>
            <w:pPr>
              <w:spacing w:after="0"/>
              <w:rPr>
                <w:sz w:val="17"/>
                <w:szCs w:val="17"/>
                <w:color w:val="auto"/>
              </w:rPr>
            </w:pPr>
          </w:p>
        </w:tc>
      </w:tr>
      <w:tr>
        <w:trPr>
          <w:trHeight w:val="402"/>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receivable</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(62,075)</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77,288</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(116,936)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(97,151)</w:t>
            </w: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reserve</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(771,066)</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1,444,982</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(456,894)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(296,790)</w:t>
            </w: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2,141,780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(85,129)</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(1,127,625)</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(1,424,347)</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210,608</w:t>
            </w:r>
          </w:p>
        </w:tc>
        <w:tc>
          <w:tcPr>
            <w:tcW w:w="100" w:type="dxa"/>
            <w:vAlign w:val="bottom"/>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7,625,168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6,917,872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95"/>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(3,663,318)</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(22,380,807)</w:t>
            </w:r>
          </w:p>
        </w:tc>
      </w:tr>
      <w:tr>
        <w:trPr>
          <w:trHeight w:val="203"/>
        </w:trPr>
        <w:tc>
          <w:tcPr>
            <w:tcW w:w="66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10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9,170,628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3,663,452</w:t>
            </w:r>
          </w:p>
        </w:tc>
        <w:tc>
          <w:tcPr>
            <w:tcW w:w="10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10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5,507,310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(18,717,355)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95"/>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1,033,474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9,811,862</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28,000,000</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(33,000,000)</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(12,750,000)</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(13,605,154)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(13,866,656)</w:t>
            </w: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(49,738)</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(82,069)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(339,912)</w:t>
            </w: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financing activities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(29,653,749)</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10,805,556</w:t>
            </w:r>
          </w:p>
        </w:tc>
        <w:tc>
          <w:tcPr>
            <w:tcW w:w="100" w:type="dxa"/>
            <w:vAlign w:val="bottom"/>
            <w:shd w:val="clear" w:color="auto" w:fill="CFF0FC"/>
          </w:tcPr>
          <w:p>
            <w:pPr>
              <w:spacing w:after="0"/>
              <w:rPr>
                <w:sz w:val="17"/>
                <w:szCs w:val="17"/>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395"/>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(16,521,271)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(993,927)</w:t>
            </w:r>
          </w:p>
        </w:tc>
      </w:tr>
      <w:tr>
        <w:trPr>
          <w:trHeight w:val="205"/>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10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26,400,448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7,898,040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9,879,177</w:t>
            </w:r>
          </w:p>
        </w:tc>
        <w:tc>
          <w:tcPr>
            <w:tcW w:w="160" w:type="dxa"/>
            <w:vAlign w:val="bottom"/>
          </w:tcPr>
          <w:p>
            <w:pPr>
              <w:spacing w:after="0"/>
              <w:rPr>
                <w:sz w:val="17"/>
                <w:szCs w:val="17"/>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6,904,113</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20,714</w:t>
            </w:r>
          </w:p>
        </w:tc>
        <w:tc>
          <w:tcPr>
            <w:tcW w:w="160" w:type="dxa"/>
            <w:vAlign w:val="bottom"/>
          </w:tcPr>
          <w:p>
            <w:pPr>
              <w:spacing w:after="0"/>
              <w:rPr>
                <w:sz w:val="17"/>
                <w:szCs w:val="17"/>
                <w:color w:val="auto"/>
              </w:rPr>
            </w:pP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2,032,688</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181,800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105,081</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9,820,079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9,007,244</w:t>
            </w:r>
          </w:p>
        </w:tc>
        <w:tc>
          <w:tcPr>
            <w:tcW w:w="100" w:type="dxa"/>
            <w:vAlign w:val="bottom"/>
          </w:tcPr>
          <w:p>
            <w:pPr>
              <w:spacing w:after="0"/>
              <w:rPr>
                <w:sz w:val="17"/>
                <w:szCs w:val="17"/>
                <w:color w:val="auto"/>
              </w:rPr>
            </w:pPr>
          </w:p>
        </w:tc>
      </w:tr>
      <w:tr>
        <w:trPr>
          <w:trHeight w:val="202"/>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Subscription receivable from sale of common stock</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4,472,690</w:t>
            </w:r>
          </w:p>
        </w:tc>
        <w:tc>
          <w:tcPr>
            <w:tcW w:w="100" w:type="dxa"/>
            <w:vAlign w:val="bottom"/>
            <w:shd w:val="clear" w:color="auto" w:fill="CFF0FC"/>
          </w:tcPr>
          <w:p>
            <w:pPr>
              <w:spacing w:after="0"/>
              <w:rPr>
                <w:sz w:val="17"/>
                <w:szCs w:val="17"/>
                <w:color w:val="auto"/>
              </w:rPr>
            </w:pPr>
          </w:p>
        </w:tc>
      </w:tr>
      <w:tr>
        <w:trPr>
          <w:trHeight w:val="212"/>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Payable for investment purchased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193"/>
        </w:trPr>
        <w:tc>
          <w:tcPr>
            <w:tcW w:w="6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1,786,333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-3681730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-3681730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-3171825</wp:posOffset>
            </wp:positionV>
            <wp:extent cx="939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-3171825</wp:posOffset>
            </wp:positionV>
            <wp:extent cx="939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-1847215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-1847215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-1452880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-1452880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and amended in October 2021, by and among the Company and the Manager. After the initial three-year term, the management agreement is automatically renewed for one-year periods unless the Company or the Manager elects not to renew in accordance with the terms of the Management Agreement. The Management Agreement was automatically renewed on both April 30, 2024 and 2025.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8). All of the Company’s investment decisions are made by the investment committee of the Manager, subject to oversight by the Company’s board of directors (the “Board”). The Manager is wholly-owned by Chicago Atlantic Group, LP. (the “Sponsor”).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2024. In the opinion of the Company, all normal recurring adjustments have been made that are necessary to the fair statement of the results of operations and financial position as of and for the periods presented. Operating results for the three-month period ended March 31, 2025 are not necessarily indicative of the results that may be expected for the year ending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and represented $9.9 million and $26.4 million of total cash and cash equivalents as of March 31, 2025 and December 31,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Investment Payable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Investment transactions are reported on a trade-date basis. Unsettled trades as of the balance sheet date are included in payable for investments purchased on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Loan origination fees and costs, and other discounts or premiums (collectively, “OID”) are recorded as an adjustment to the amortized cost basis of the loan and are accreted or amortized to interest income over the initial loan term as a yield adjustment using a method which approximates the effective interest method. Delayed draw loans may earn interest or unused fees on the undrawn portion of the loan, which is recognized as interest income in the period earned.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Company’s loans contain a paid-in-kind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the extent required to maintain the Company’s status as a REIT, and/or to avoid incurring an excise tax, accrued income such as this may need to be distributed to stockholders in the form of dividends for the year earned, even though the Company has not yet collected the cash.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90 days or more or when there is reasonable doubt about the full recovery of principal and interest. Accrued and unpaid interest is generally reversed against interest income in the period the loan is placed on non-accrual status.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the borrower demonstrates sustained repayment performance, or the loan becomes well secured and is in the process of collection.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fees, including prepayment fees and exit or success fees, are recognized as interest income when received. From time to time, the Company may also receive fees for underwriting, syndication, arranging, or other types of fees (collectively "Structuring Fees") in the course of origination of its investments. To the extent such fees are not deemed to be yield enhancements and are not paid to all lenders in the syndication, such Structuring Fees are recognized in interest income when received.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and Unrealized Gains and Losses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repayment or sale and the amortized and/or accreted cost basis of the investment using the specific identification method without regard to unrealized gains or losses previously recognized, and include loans charged off during the period, net of recoveries. An unrealized gain arises when the fair value of the loan portfolio exceeds its cost and an unrealized loss arises when the fair value of the loan portfolio is less than its cost. The change in unrealized gains or losses primarily reflect the change in loan values, including the reversal of previously recorded unrealized gains or losses when gains or losses are realized.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Maryland corporation and has elected to be taxed as a REIT under the Code, commencing with its taxable year ended December 31, 2021. The Company believes that it has qualified as a REIT and that its method of operation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 To qualify as a REIT, the Company must meet a number of organizational and operational requirements, including various income, asset, and distribution tests.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Tests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our REIT qualification,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certain types of mortgage-backed securities), rents from real property, dividends received from other REITs, and gains from the sale of designated real estate assets,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Tests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five tests relating to the nature of our assets. First, at least 75% of the value of our total assets must be represented by some combination of designated real estate assets, cash, cash items, U.S. Government securities and, under some circumstances, stock or debt instruments purchased with new capital. Second, the value of any one issuer’s securities that we own may not exceed 5% of the value of our total assets. Third, we may not own more than 10% of any one issuer’s outstanding securities, as measured by either value (the "10% of value asset test") or voting power. The 5% and 10% asset tests do not apply to securities that qualify under the 75% asset test or to securities of a TRS and qualified REIT subsidiaries, and the 10% of value asset test does not apply to "straight debt" having specified characteristics and to certain other securities. Fourth, the aggregate value of all securities of TRSs that we hold may not exceed 20% of the value of our total assets. 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Tests</w:t>
      </w:r>
    </w:p>
    <w:p>
      <w:pPr>
        <w:spacing w:after="0" w:line="187" w:lineRule="exact"/>
        <w:rPr>
          <w:sz w:val="20"/>
          <w:szCs w:val="20"/>
          <w:color w:val="auto"/>
        </w:rPr>
      </w:pPr>
    </w:p>
    <w:p>
      <w:pPr>
        <w:jc w:val="both"/>
        <w:ind w:firstLine="73"/>
        <w:spacing w:after="0" w:line="252" w:lineRule="auto"/>
        <w:rPr>
          <w:sz w:val="20"/>
          <w:szCs w:val="20"/>
          <w:color w:val="auto"/>
        </w:rPr>
      </w:pPr>
      <w:r>
        <w:rPr>
          <w:rFonts w:ascii="Times New Roman" w:cs="Times New Roman" w:eastAsia="Times New Roman" w:hAnsi="Times New Roman"/>
          <w:sz w:val="18"/>
          <w:szCs w:val="18"/>
          <w:color w:val="auto"/>
        </w:rPr>
        <w:t>The Company is required to distribute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2024 and 2023. Based on the Company’s evaluation, there is no reserve for any uncertain income tax positions. Accrued interest and penalties, if any, are included within other liabilities in the consolidated balance sheets and within income tax expense on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color w:val="040C28"/>
        </w:rPr>
        <w:t>Accounting Standards Update ("ASU"),</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improves the transparency of income tax disclosures related to rate reconciliation and income taxes.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2023-09 is effective for annual periods beginning after December 15, 2024. The Company concluded that the application of this guidance did not have any material impact on its consolidated financial statements.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("ASC 2024-03"), which requires disaggregated disclosures of certain costs and expenses, including purchases of inventory, employee compensation, depreciation, amortization and depletion, within relevant income statement captions. ASU 2024-03 is effective for fiscal years beginning after December 15, 2026, and interim periods with fiscal years beginning after December 15, 2027. Early adoption and retrospective application is permitted. The Company is currently evaluating the impact of this guidance on the Company's future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originates senior secured loans that it has the intent and ability to hold until maturity or payoff. Such loans are classified as held for investment and are reported on the consolidated balance sheets at amortized cost. The following tables present summarized information regarding our loans held for investment by interest rate type as of March 31, 2025 and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5"/>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 for</w:t>
            </w:r>
          </w:p>
        </w:tc>
        <w:tc>
          <w:tcPr>
            <w:tcW w:w="180" w:type="dxa"/>
            <w:vAlign w:val="bottom"/>
          </w:tcPr>
          <w:p>
            <w:pPr>
              <w:spacing w:after="0"/>
              <w:rPr>
                <w:sz w:val="16"/>
                <w:szCs w:val="16"/>
                <w:color w:val="auto"/>
              </w:rPr>
            </w:pP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Issue Discount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r>
      <w:tr>
        <w:trPr>
          <w:trHeight w:val="209"/>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163,307,742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(591,962)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162,715,780</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238,204,074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236,739,699</w:t>
            </w: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401,511,816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(2,056,337)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 for</w:t>
            </w:r>
          </w:p>
        </w:tc>
        <w:tc>
          <w:tcPr>
            <w:tcW w:w="180" w:type="dxa"/>
            <w:vAlign w:val="bottom"/>
          </w:tcPr>
          <w:p>
            <w:pPr>
              <w:spacing w:after="0"/>
              <w:rPr>
                <w:sz w:val="16"/>
                <w:szCs w:val="16"/>
                <w:color w:val="auto"/>
              </w:rPr>
            </w:pP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Issue Discount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r>
      <w:tr>
        <w:trPr>
          <w:trHeight w:val="21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(545,081)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(1,699,427)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(2,244,508)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aggregate portfolio of loans held for investment, net of the current expected credit loss reserve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00" w:type="dxa"/>
            <w:vAlign w:val="bottom"/>
          </w:tcPr>
          <w:p>
            <w:pPr>
              <w:spacing w:after="0"/>
              <w:rPr>
                <w:sz w:val="20"/>
                <w:szCs w:val="20"/>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9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401,511,816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(2,056,337)</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399,455,479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(3,274,058)</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6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401,511,816</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(2,056,337)</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396,181,421</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gridSpan w:val="2"/>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28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20" w:type="dxa"/>
            <w:vAlign w:val="bottom"/>
            <w:gridSpan w:val="2"/>
          </w:tcPr>
          <w:p>
            <w:pPr>
              <w:spacing w:after="0"/>
              <w:rPr>
                <w:sz w:val="20"/>
                <w:szCs w:val="20"/>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404,721,554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(2,244,508)</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402,477,046</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(4,346,869)</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7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18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-1173480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-1156335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-1173480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-1156335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-1173480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-1156335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March 31, 2025 and December 31, 2024, respectively.</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tables present changes in loans held at carrying value as of and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2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fundings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(181,800)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4,184,032</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(9,170,628)</w:t>
            </w:r>
          </w:p>
        </w:tc>
        <w:tc>
          <w:tcPr>
            <w:tcW w:w="240" w:type="dxa"/>
            <w:vAlign w:val="bottom"/>
            <w:tcBorders>
              <w:left w:val="single" w:sz="8" w:color="CFF0FC"/>
            </w:tcBorders>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(9,170,628)</w:t>
            </w: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369,971</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1,595,058</w:t>
            </w:r>
          </w:p>
        </w:tc>
        <w:tc>
          <w:tcPr>
            <w:tcW w:w="2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1,595,058</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 provision for current expected credit losses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1,072,811</w:t>
            </w:r>
          </w:p>
        </w:tc>
        <w:tc>
          <w:tcPr>
            <w:tcW w:w="100" w:type="dxa"/>
            <w:vAlign w:val="bottom"/>
          </w:tcPr>
          <w:p>
            <w:pPr>
              <w:spacing w:after="0"/>
              <w:rPr>
                <w:sz w:val="18"/>
                <w:szCs w:val="18"/>
                <w:color w:val="auto"/>
              </w:rPr>
            </w:pPr>
          </w:p>
        </w:tc>
      </w:tr>
      <w:tr>
        <w:trPr>
          <w:trHeight w:val="24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600" w:type="dxa"/>
            <w:vAlign w:val="bottom"/>
            <w:gridSpan w:val="2"/>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401,511,816</w:t>
            </w:r>
          </w:p>
        </w:tc>
        <w:tc>
          <w:tcPr>
            <w:tcW w:w="24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(2,056,337)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(3,274,058)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396,181,421</w:t>
            </w:r>
          </w:p>
        </w:tc>
        <w:tc>
          <w:tcPr>
            <w:tcW w:w="100" w:type="dxa"/>
            <w:vAlign w:val="bottom"/>
            <w:shd w:val="clear" w:color="auto" w:fill="CFF0FC"/>
          </w:tcPr>
          <w:p>
            <w:pPr>
              <w:spacing w:after="0"/>
              <w:rPr>
                <w:sz w:val="21"/>
                <w:szCs w:val="21"/>
                <w:color w:val="auto"/>
              </w:rPr>
            </w:pPr>
          </w:p>
        </w:tc>
      </w:tr>
      <w:tr>
        <w:trPr>
          <w:trHeight w:val="390"/>
        </w:trPr>
        <w:tc>
          <w:tcPr>
            <w:tcW w:w="452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fundings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22,485,888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(105,081)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22,380,807</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(3,663,452)</w:t>
            </w:r>
          </w:p>
        </w:tc>
        <w:tc>
          <w:tcPr>
            <w:tcW w:w="240" w:type="dxa"/>
            <w:vAlign w:val="bottom"/>
            <w:tcBorders>
              <w:left w:val="single" w:sz="8" w:color="CFF0FC"/>
            </w:tcBorders>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(3,663,452)</w:t>
            </w: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2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(383,371)</w:t>
            </w:r>
          </w:p>
        </w:tc>
      </w:tr>
      <w:tr>
        <w:trPr>
          <w:trHeight w:val="20"/>
        </w:trPr>
        <w:tc>
          <w:tcPr>
            <w:tcW w:w="4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377,576,334</w:t>
            </w:r>
          </w:p>
        </w:tc>
        <w:tc>
          <w:tcPr>
            <w:tcW w:w="240" w:type="dxa"/>
            <w:vAlign w:val="bottom"/>
            <w:shd w:val="clear" w:color="auto" w:fill="CFF0FC"/>
          </w:tcPr>
          <w:p>
            <w:pPr>
              <w:spacing w:after="0"/>
              <w:rPr>
                <w:sz w:val="19"/>
                <w:szCs w:val="19"/>
                <w:color w:val="auto"/>
              </w:rPr>
            </w:pPr>
          </w:p>
        </w:tc>
        <w:tc>
          <w:tcPr>
            <w:tcW w:w="240" w:type="dxa"/>
            <w:vAlign w:val="bottom"/>
            <w:tcBorders>
              <w:lef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(1,732,020)</w:t>
            </w: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(5,356,018)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370,488,296</w:t>
            </w:r>
          </w:p>
        </w:tc>
        <w:tc>
          <w:tcPr>
            <w:tcW w:w="10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-1713865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-1696720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-1713865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-1696720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-1713865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-1696720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March 31, 2025,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1"/>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Initial</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of Loans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Funding</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68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2"/>
              </w:rPr>
              <w:t>Issue</w:t>
            </w:r>
          </w:p>
        </w:tc>
        <w:tc>
          <w:tcPr>
            <w:tcW w:w="60" w:type="dxa"/>
            <w:vAlign w:val="bottom"/>
          </w:tcPr>
          <w:p>
            <w:pPr>
              <w:spacing w:after="0"/>
              <w:rPr>
                <w:sz w:val="10"/>
                <w:szCs w:val="10"/>
                <w:color w:val="auto"/>
              </w:rPr>
            </w:pPr>
          </w:p>
        </w:tc>
        <w:tc>
          <w:tcPr>
            <w:tcW w:w="5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2"/>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37"/>
        </w:trPr>
        <w:tc>
          <w:tcPr>
            <w:tcW w:w="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6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Investment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Fundings</w:t>
            </w:r>
          </w:p>
        </w:tc>
        <w:tc>
          <w:tcPr>
            <w:tcW w:w="220" w:type="dxa"/>
            <w:vAlign w:val="bottom"/>
          </w:tcPr>
          <w:p>
            <w:pPr>
              <w:spacing w:after="0"/>
              <w:rPr>
                <w:sz w:val="11"/>
                <w:szCs w:val="11"/>
                <w:color w:val="auto"/>
              </w:rPr>
            </w:pPr>
          </w:p>
        </w:tc>
        <w:tc>
          <w:tcPr>
            <w:tcW w:w="21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Interest Rate (3)</w:t>
            </w:r>
          </w:p>
        </w:tc>
        <w:tc>
          <w:tcPr>
            <w:tcW w:w="7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01"/>
        </w:trPr>
        <w:tc>
          <w:tcPr>
            <w:tcW w:w="300" w:type="dxa"/>
            <w:vAlign w:val="bottom"/>
            <w:tcBorders>
              <w:top w:val="single" w:sz="8" w:color="auto"/>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jc w:val="center"/>
              <w:spacing w:after="0" w:line="102"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8"/>
                <w:szCs w:val="8"/>
                <w:color w:val="auto"/>
              </w:rPr>
            </w:pPr>
          </w:p>
        </w:tc>
        <w:tc>
          <w:tcPr>
            <w:tcW w:w="1020" w:type="dxa"/>
            <w:vAlign w:val="bottom"/>
            <w:tcBorders>
              <w:top w:val="single" w:sz="8" w:color="auto"/>
            </w:tcBorders>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18,983,92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140" w:type="dxa"/>
            <w:vAlign w:val="bottom"/>
            <w:tcBorders>
              <w:top w:val="single" w:sz="8" w:color="auto"/>
            </w:tcBorders>
            <w:shd w:val="clear" w:color="auto" w:fill="CFF0FC"/>
          </w:tcPr>
          <w:p>
            <w:pPr>
              <w:jc w:val="center"/>
              <w:ind w:left="26"/>
              <w:spacing w:after="0" w:line="102" w:lineRule="exact"/>
              <w:rPr>
                <w:sz w:val="20"/>
                <w:szCs w:val="20"/>
                <w:color w:val="auto"/>
              </w:rPr>
            </w:pPr>
            <w:r>
              <w:rPr>
                <w:rFonts w:ascii="Times New Roman" w:cs="Times New Roman" w:eastAsia="Times New Roman" w:hAnsi="Times New Roman"/>
                <w:sz w:val="11"/>
                <w:szCs w:val="11"/>
                <w:color w:val="auto"/>
                <w:w w:val="97"/>
              </w:rPr>
              <w:t>P+6.5% Cash (8)</w:t>
            </w:r>
          </w:p>
        </w:tc>
        <w:tc>
          <w:tcPr>
            <w:tcW w:w="7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10/30/2026</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19,255,716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(271,789)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17.1%</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Michigan</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27,110,50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P+3% Cash (13)</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12/31/2021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27,110,506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17.3%</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20,922,88</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P+10.375% Cash, 2.75% PIK (11)(14)(15)</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11/18/2021</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1/29/2027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21,384,473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(461,592)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22.6%</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4/19/2021</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6/17/2026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11.91%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17.0%</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Michigan</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8/20/2021</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1/30/2026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P+6.5% Cash (13)</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17.2%</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Illinois, Arizona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23,545,86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8"/>
              </w:rPr>
              <w:t>P+6% Cash, 2% PIK (9)</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8/24/2021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23,573,222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(27,357)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19.3%</w:t>
            </w:r>
          </w:p>
        </w:tc>
      </w:tr>
      <w:tr>
        <w:trPr>
          <w:trHeight w:val="121"/>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West Virginia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9/1/2021</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10% Cash</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15.0%</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9</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Pennsylvania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16,468,95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9.0% Cash (16)</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3/31/2025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3/31/2028</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16,576,987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(108,037)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9.5%</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13,232,35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P+7% Cash, 2% PIK (10)</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11/8/2021</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10/31/2027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13,285,201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(52,847)</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19.3%</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Florida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12/30/2021</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8/29/2025</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6,557,500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(15,812)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6,541,688</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16.75%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31.2%</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Ohio</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45,262,84</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P+1.75% Cash, 5% PIK (9)(17)</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45,589,764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(326,924)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16.5%</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Florida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18,360,79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11% Cash, 5% PIK</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3/11/2022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18,378,759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(17,969)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16.5%</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Missouri</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21,626,92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11% Cash, 2% PIK</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5/9/2022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11/28/2025</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21,675,015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(48,086)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14.7%</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7/1/2022</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6,453,187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(29,315)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6,423,872</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P+7% Cash, 2% PIK (9)</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23.3%</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3/27/2023</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1,560,000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(16,591)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1,543,409</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P+7.5% Cash (12)</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18.7%</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Oregon</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3/31/2023</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520,000</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P+10.5% Cash (7)</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21.7%</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New York</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24,337,29</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15% Cash</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8/1/2023</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24,337,297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16.6%</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rPr>
              <w:t>Nebraska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17,400,00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P+6.5% Cash (18)</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8/15/2023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15.7%</w:t>
            </w:r>
          </w:p>
        </w:tc>
      </w:tr>
      <w:tr>
        <w:trPr>
          <w:trHeight w:val="121"/>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10/11/2023</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1,920,477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1,920,477</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11.4% Cash, 1.5% PIK</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14.7%</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Missouri,</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18,277,86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P+7.75% Cash (13)</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12/19/2023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(122,131)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18.7%</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rPr>
              <w:t>California,</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P+8.75% Cash (10)</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5/3/2023</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5/3/2026</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18.3%</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Nevada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4/15/2024</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8/15/2027</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(25,351)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5,874,649</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P+6.5% Cash (12)</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16.1%</w:t>
            </w:r>
          </w:p>
        </w:tc>
      </w:tr>
      <w:tr>
        <w:trPr>
          <w:trHeight w:val="121"/>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Minnesota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5/20/2024</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5/28/2027</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1,080,000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(4,286)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1,075,714</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6"/>
              </w:rPr>
              <w:t>12% Cash (14)</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12.9%</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Arizona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8"/>
              </w:rPr>
              <w:t>11.91% Cash</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6/17/2024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5/29/2026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12.8%</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35</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California</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24,438,42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12% Cash, 3% PIK</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8/23/2024</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8/23/2027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24,438,420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16.3%</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36</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Illinois</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25,792,79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P+6.25% Cash (10)</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10/28/2024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1/1/2027</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(107,202)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15.4%</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37</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19,703,80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12% Cash, 1% PIK (19)</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11/26/2024</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11/24/2028</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20,069,535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(365,730)</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15.2%</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38</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Various</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12/13/2024</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7/14/2025</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2,905,000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(24,676)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2,880,324</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2,095,000</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6"/>
              </w:rPr>
              <w:t>10% Cash (19)</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16.1%</w:t>
            </w:r>
          </w:p>
        </w:tc>
      </w:tr>
      <w:tr>
        <w:trPr>
          <w:trHeight w:val="121"/>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40</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Various</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3/28/2025</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7/28/2028</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233,333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(23,276)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210,057</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SOFR +10.25% Cash (6)</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19.4%</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Ohio</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3/1/2025</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3/13/2027</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(7,366)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242,634</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14.5%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16.4%</w:t>
            </w:r>
          </w:p>
        </w:tc>
      </w:tr>
      <w:tr>
        <w:trPr>
          <w:trHeight w:val="101"/>
        </w:trPr>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(2,056,33</w:t>
            </w: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399,455,4</w:t>
            </w: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r>
      <w:tr>
        <w:trPr>
          <w:trHeight w:val="155"/>
        </w:trPr>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401,511,816</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13,795,000</w:t>
            </w:r>
          </w:p>
        </w:tc>
        <w:tc>
          <w:tcPr>
            <w:tcW w:w="22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16.9%</w:t>
            </w:r>
          </w:p>
        </w:tc>
      </w:tr>
      <w:tr>
        <w:trPr>
          <w:trHeight w:val="20"/>
        </w:trPr>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03" w:right="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"PIK" = paid-in-kind interest.</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 The frequency of loan payments may be monthly or quarterly as required by the respective credit agreement governing such loan.</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5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SOFR floor of 4.00%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of Loan #3 and Loan #33 are affiliates of Vireo Growth, Inc., a related party. The aggregate principal balance of these loans is included on the consolidated balance sheet as loans held for investment - related party. See Note 8 for further details.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of approximately $16.9 million, bears a floating interest rate of prime plus 10.375% cash and 2.75% PIK and has a maturity date of January 29, 2027. The second tranche has a principal balance of approximately $4.4 million, bears an interest rate of 15.00% cash and 2.00% PIK, and a maturity date of May 29, 2026. The statistics presented reflect the weighted average of the rate terms under both tranches for the total aggregate loan principal, however only the maturity date for the first tranche has been presented in the table above.</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w:t>
      </w:r>
    </w:p>
    <w:p>
      <w:pPr>
        <w:spacing w:after="0" w:line="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March 31, 2025, applied interest rate is Prime Rate + 6.50%.</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12" w:name="page13"/>
    <w:bookmarkEnd w:id="12"/>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90+ Days</w:t>
            </w:r>
          </w:p>
        </w:tc>
        <w:tc>
          <w:tcPr>
            <w:tcW w:w="22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399,455,479</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399,455,479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16,468,950</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399,455,479</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399,455,479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16,468,950</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90+ Days</w:t>
            </w:r>
          </w:p>
        </w:tc>
        <w:tc>
          <w:tcPr>
            <w:tcW w:w="22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-1259205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-1259205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-1259205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-1259205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-1259205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-1259205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-162560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-162560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-162560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-162560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2024. See Note 8 for further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March 31, 2025 and December 31, 2024, there was one loan placed on non-accrual status.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Loan #9 was placed on non-accrual status as of May 1, 2023 and has a carrying value of approximately $16.4 million as of both March 31, 2025 and December 31, 2024. Loan #9 carried a reserve for current expected credit losses of approximately $0.1 million and $1.2 million as of March 31, 2025 and December 31, 2024, respectively.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March 31, 2025 and December 31, 2024 consider borrower specific credit history and performance and reflect a quarterly re-evaluation of overall current macroeconomic conditions affecting the Company’s borrowers, specifically those designated as held for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8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March 31, 2025(1)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1,075,713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21,626,930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23,222,643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64,835,378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63,479,052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64,691,470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23,545,865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217,592,635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34,737,436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72,373,346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29,701,304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137,054,720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11,585,481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CFF0FC"/>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1,283,504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110,648,527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63,999,052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158,691,746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64,832,650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December 31, 2024(1)</w:t>
            </w: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1,111,224</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41,045,793</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42,737,017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63,823,279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64,896,824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90,874,764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24,239,380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243,834,247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34,653,247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2,466,705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27,110,506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13,687,904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77,918,362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27,987,420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37,987,420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bottom w:val="single" w:sz="8" w:color="CFF0FC"/>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109,587,750</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67,943,529</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159,031,063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65,914,704</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-170815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on delayed draw facilities shown in the initial year of origination.</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March 31, 2025 and December 31, 2024:</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March 31, 2025(1)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66,475,847</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40,907,370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43,844,431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9,567,657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1,920,475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162,715,780</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130,777,929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23,545,865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6,633,930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25,792,798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49,989,177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236,739,699</w:t>
            </w:r>
          </w:p>
        </w:tc>
        <w:tc>
          <w:tcPr>
            <w:tcW w:w="120" w:type="dxa"/>
            <w:vAlign w:val="bottom"/>
          </w:tcPr>
          <w:p>
            <w:pPr>
              <w:spacing w:after="0"/>
              <w:rPr>
                <w:sz w:val="18"/>
                <w:szCs w:val="18"/>
                <w:color w:val="auto"/>
              </w:rPr>
            </w:pPr>
          </w:p>
        </w:tc>
      </w:tr>
      <w:tr>
        <w:trPr>
          <w:trHeight w:val="230"/>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197,253,776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64,453,235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50,478,361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9,567,657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25,792,798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51,909,652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2024(1)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45,029,665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48,900,184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43,750,558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1,943,216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155,364,941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50,048,629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120" w:type="dxa"/>
            <w:vAlign w:val="bottom"/>
          </w:tcPr>
          <w:p>
            <w:pPr>
              <w:spacing w:after="0"/>
              <w:rPr>
                <w:sz w:val="18"/>
                <w:szCs w:val="18"/>
                <w:color w:val="auto"/>
              </w:rPr>
            </w:pPr>
          </w:p>
        </w:tc>
      </w:tr>
      <w:tr>
        <w:trPr>
          <w:trHeight w:val="230"/>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200,394,606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65,302,672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50,299,693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51,991,845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8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third-party appraised values. The Company generally obtains new appraisal of all material real estate collateral at least once annually.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March 31, 2025 and December 31, 2024, our borrowers have operations in the jurisdictions in the table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6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7"/>
                <w:szCs w:val="17"/>
                <w:color w:val="auto"/>
              </w:rPr>
            </w:pPr>
          </w:p>
        </w:tc>
        <w:tc>
          <w:tcPr>
            <w:tcW w:w="14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Our Loan</w:t>
            </w:r>
          </w:p>
        </w:tc>
      </w:tr>
      <w:tr>
        <w:trPr>
          <w:trHeight w:val="258"/>
        </w:trPr>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20" w:type="dxa"/>
            <w:vAlign w:val="bottom"/>
          </w:tcPr>
          <w:p>
            <w:pPr>
              <w:spacing w:after="0"/>
              <w:rPr>
                <w:sz w:val="22"/>
                <w:szCs w:val="22"/>
                <w:color w:val="auto"/>
              </w:rPr>
            </w:pPr>
          </w:p>
        </w:tc>
        <w:tc>
          <w:tcPr>
            <w:tcW w:w="16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80" w:type="dxa"/>
            <w:vAlign w:val="bottom"/>
          </w:tcPr>
          <w:p>
            <w:pPr>
              <w:spacing w:after="0"/>
              <w:rPr>
                <w:sz w:val="22"/>
                <w:szCs w:val="22"/>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61,370,819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55,958,079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61,364,965</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60,065,707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42,242,026</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42,712,285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35,832,703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35,727,045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32,082,102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38,208,259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32,068,629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28,914,569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28,023,340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24,859,640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26,057,479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24,337,297</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25,093,595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22,049,473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21,835,901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5,900,000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2,763,768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2,756,870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1,160,460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672,873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2,626,423</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401,511,816</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-153670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-153670</wp:posOffset>
            </wp:positionV>
            <wp:extent cx="111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-153670</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380" w:right="2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borrower's principal place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five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March 31, 2025, to which the Manager may apply a private company discount based on the Company’s current borrower profile.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 period ended March 31, 2025, the Company reversed approximately $1.2 million of the CECL Reserve relating to Loan #9, which was restructured during the period as a result of the foreclosure proceedings more fully described in Note 8. Additionally, the credit profile of our portfolio of loans held for investment improved during the comparative period, with the portion of the portfolio risk rated "4" decreased from approximately $38.0 million or 9.4% as of December 31, 2024 to $21.6 million or 5.4% as of March 31, 2025. The portfolio weighted average loan to enterprise value ratio (calculated as outstanding principal balance divided by total value of collateral on a weighted average basis) remained relatively consistent at 47.5% compared to 47.0% as of December 31, 2024.</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three months ended March 31, 2025 and 2024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45,572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4,392,441</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Benefit for current expected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(1,072,811)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(1,073,276)</w:t>
            </w:r>
          </w:p>
        </w:tc>
      </w:tr>
      <w:tr>
        <w:trPr>
          <w:trHeight w:val="20"/>
        </w:trPr>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3,274,058</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45,107</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3,319,165</w:t>
            </w:r>
          </w:p>
        </w:tc>
        <w:tc>
          <w:tcPr>
            <w:tcW w:w="100" w:type="dxa"/>
            <w:vAlign w:val="bottom"/>
            <w:shd w:val="clear" w:color="auto" w:fill="CFF0FC"/>
          </w:tcPr>
          <w:p>
            <w:pPr>
              <w:spacing w:after="0"/>
              <w:rPr>
                <w:sz w:val="21"/>
                <w:szCs w:val="21"/>
                <w:color w:val="auto"/>
              </w:rPr>
            </w:pPr>
          </w:p>
        </w:tc>
      </w:tr>
      <w:tr>
        <w:trPr>
          <w:trHeight w:val="412"/>
        </w:trPr>
        <w:tc>
          <w:tcPr>
            <w:tcW w:w="43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FF0FC"/>
            </w:tcBorders>
          </w:tcPr>
          <w:p>
            <w:pPr>
              <w:spacing w:after="0"/>
              <w:rPr>
                <w:sz w:val="24"/>
                <w:szCs w:val="24"/>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4,975,739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380,279</w:t>
            </w:r>
          </w:p>
        </w:tc>
      </w:tr>
      <w:tr>
        <w:trPr>
          <w:trHeight w:val="20"/>
        </w:trPr>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5,356,018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5,356,018</w:t>
            </w:r>
          </w:p>
        </w:tc>
      </w:tr>
      <w:tr>
        <w:trPr>
          <w:trHeight w:val="628"/>
        </w:trPr>
        <w:tc>
          <w:tcPr>
            <w:tcW w:w="43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-1662430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-1645285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-1645285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loan placed on non-accrual, the Company ceased accruing interest on the first date of delinquency, based on expectation of its ability to collect all amounts then due from the borrower. As a result, there was no accrued interest to write-off when the loan was placed on non-accrual status.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AT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portfolio included one loan held at fair value. The aggregate commitment under this loan was approximately $11.5 million and outstanding principal was $5.5 million as of both March 31, 2025 and December 31, 2024. As of March 31, 2025, there is $6.0 million of unfunded commitments related to the loan held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held at fair value as of March 31, 2025 was originated to a related party (Note 8), and is included within Loans, at fair value - related party on the consolidated balance sheets. The Company elected the fair value option for this asset due to other indebtedness of the borrower that is senior to our loan, uncertainty with respect to management's intent to hold to maturity or payoff given the related party nature of the investment, and the potential of management electing the fair value option on a more frequent basis, for eligible assets, prospectively.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loan held at fair value as of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9"/>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Periodic Payment</w:t>
            </w:r>
          </w:p>
        </w:tc>
      </w:tr>
      <w:tr>
        <w:trPr>
          <w:trHeight w:val="216"/>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Minnesota</w:t>
            </w:r>
          </w:p>
        </w:tc>
        <w:tc>
          <w:tcPr>
            <w:tcW w:w="16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6/26/2026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10.5% Cash</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I/O</w:t>
            </w:r>
          </w:p>
        </w:tc>
      </w:tr>
      <w:tr>
        <w:trPr>
          <w:trHeight w:val="20"/>
        </w:trPr>
        <w:tc>
          <w:tcPr>
            <w:tcW w:w="7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Subtotal$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-170815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the Company used to value the loans categorized within Level 3 as of March 31, 2025. The tables are not intended to be all-inclusive, but instead capture the significant unobservable inputs relevant to the Company’s determination of fair values.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2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Primary Valuation Technique</w:t>
            </w:r>
          </w:p>
        </w:tc>
        <w:tc>
          <w:tcPr>
            <w:tcW w:w="20" w:type="dxa"/>
            <w:vAlign w:val="bottom"/>
          </w:tcPr>
          <w:p>
            <w:pPr>
              <w:spacing w:after="0"/>
              <w:rPr>
                <w:sz w:val="18"/>
                <w:szCs w:val="18"/>
                <w:color w:val="auto"/>
              </w:rPr>
            </w:pPr>
          </w:p>
        </w:tc>
        <w:tc>
          <w:tcPr>
            <w:tcW w:w="28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Borders>
              <w:bottom w:val="single" w:sz="8" w:color="CFF0FC"/>
            </w:tcBorders>
            <w:shd w:val="clear" w:color="auto" w:fill="CFF0FC"/>
          </w:tcPr>
          <w:p>
            <w:pPr>
              <w:spacing w:after="0"/>
              <w:rPr>
                <w:sz w:val="18"/>
                <w:szCs w:val="18"/>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Yield analysis</w:t>
            </w:r>
          </w:p>
        </w:tc>
        <w:tc>
          <w:tcPr>
            <w:tcW w:w="1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loans, at fair value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5,335,000</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loan held at fair value using the fair value option included an insignificant amount of unrealized losses in net income before income taxes, that are attributable to changes in instrument-specific credit risk. The portion of the fair value adjustments related to credit risk was determined based on a yield analysis and discount rate applied to the subject loan. Interest income on the loan measured at fair value is calculated based on the interest rate of the loan and is recorded in the interest income on the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loan held at fair value was current on all interest and principal payments due.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March 31, 2025 and December 31, 2024, the Company had interest receivable of approximately $1.5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as of March 31,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As of March 31, 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4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00" w:type="dxa"/>
            <w:vAlign w:val="bottom"/>
          </w:tcPr>
          <w:p>
            <w:pPr>
              <w:spacing w:after="0"/>
              <w:rPr>
                <w:sz w:val="20"/>
                <w:szCs w:val="20"/>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1,202,748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235,976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rPr>
              <w:t>77,174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313,150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1,515,898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1,202,748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235,976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77,174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313,150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1,515,898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-1079500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-1079500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-1079500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-1079500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-1079500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-1079500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00" w:type="dxa"/>
            <w:vAlign w:val="bottom"/>
          </w:tcPr>
          <w:p>
            <w:pPr>
              <w:spacing w:after="0"/>
              <w:rPr>
                <w:sz w:val="20"/>
                <w:szCs w:val="20"/>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1,388,058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65,765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65,765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1,453,823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1,388,058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1,453,823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INTEREST RESERVE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four loans that included a prepaid interest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March 31,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reserves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1,074,889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New reserves</w:t>
            </w:r>
          </w:p>
        </w:tc>
        <w:tc>
          <w:tcPr>
            <w:tcW w:w="18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20,714</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4,194,597</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disbursed</w:t>
            </w: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(771,066)</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(3,971,608)</w:t>
            </w:r>
          </w:p>
        </w:tc>
      </w:tr>
      <w:tr>
        <w:trPr>
          <w:trHeight w:val="209"/>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547,526</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1,297,878</w:t>
            </w:r>
          </w:p>
        </w:tc>
        <w:tc>
          <w:tcPr>
            <w:tcW w:w="100" w:type="dxa"/>
            <w:vAlign w:val="bottom"/>
            <w:tcBorders>
              <w:top w:val="single" w:sz="8" w:color="CFF0FC"/>
            </w:tcBorders>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wholly-owned financing subsidiary, CAL, the Company was assigned a secured revolving credit facility (the “Revolving Loan”). As of December 31, 2023, the Revolving Loan had an interest rate equal to the greater of (1) the Prime Rate plus the applicable margin and (2) 3.25%. The applicable margin is derived from a floating rate grid based upon the ratio of debt to book equity of CAL and increases from 0% at a ratio of 0.25 to 1 to 1.25% at a ratio of 1.5 to 1. The Revolving Loan had an aggregate commitment of $100.0 million, and a maturity date of the earlier of (i) December 16, 2024 and (ii) the date on which the Revolving Loan is terminated pursuant to the terms of the Revolving Loan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Revolving Loan has aggregate commitments of $110.0 million, which may be increased to $150.0 million pursuant to its accordion feature, and has a maturity date of June 30, 2026.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interest rate in effect as of March 31, 2025 is 7.50%.</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March 31, 2025, the Company is in compliance with all financial covenants with respect to the Revolving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unamortized debt issuance costs related to the Revolving Loan, including all amendments and amendments and restatements thereto, as applicable, of $254,229 and $305,075, respectively, are recorded in other receivables and assets, net on the consolidated balance sheets.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had net repayments of $17.0 million against the Revolving Loan. As of March 31, 2025, the Company had $72.0 million of borrowing availability under the Revolving Loan. Additionally, as of March 31, 2025, $127.8 million of loans held for investment, at principal, are pledged as collateral in the borrowing base of the Revolving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March 31, 2025, the Company is in compliance with all financial covenants with respect to the Unsecured Notes.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80" w:type="dxa"/>
            <w:vAlign w:val="bottom"/>
          </w:tcPr>
          <w:p>
            <w:pPr>
              <w:spacing w:after="0"/>
              <w:rPr>
                <w:sz w:val="20"/>
                <w:szCs w:val="20"/>
                <w:color w:val="auto"/>
              </w:rPr>
            </w:pPr>
          </w:p>
        </w:tc>
        <w:tc>
          <w:tcPr>
            <w:tcW w:w="24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issuance costs included in notes payable</w:t>
            </w:r>
          </w:p>
        </w:tc>
        <w:tc>
          <w:tcPr>
            <w:tcW w:w="4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(844,287)</w:t>
            </w:r>
          </w:p>
        </w:tc>
        <w:tc>
          <w:tcPr>
            <w:tcW w:w="0" w:type="dxa"/>
            <w:vAlign w:val="bottom"/>
          </w:tcPr>
          <w:p>
            <w:pPr>
              <w:spacing w:after="0"/>
              <w:rPr>
                <w:sz w:val="1"/>
                <w:szCs w:val="1"/>
                <w:color w:val="auto"/>
              </w:rPr>
            </w:pPr>
          </w:p>
        </w:tc>
      </w:tr>
      <w:tr>
        <w:trPr>
          <w:trHeight w:val="210"/>
        </w:trPr>
        <w:tc>
          <w:tcPr>
            <w:tcW w:w="8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49,155,713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6"/>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Revolving Loan</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1,121,918</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790,412</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1,912,330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59,463</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1,181,381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884,001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2,065,382</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1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Revolving Loan</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2,007,050</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2,007,050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2,104,050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2,104,050</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-2091055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-2091055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-1079500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-1079500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term of our Management Agreement continued until May 1, 2024. After the initial term, our Management Agreement is automatically renewed every year for an additional one-year period, unless we or our Manager elect not to renew. Our Management Agreement may be terminated by us or our Manager under certain specified circumstances. On April 30, 2024 and 2025, the Management Agreement was automatically renewed.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months ended March 31, 2025 and 2024, the Base Management Fee payable was reduced by Outside Fees in the amount of $3,571 and $16,071, respectively.</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March 31, 2025 and 2024 was $526,308 and $696,504 respectively.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related party fees and expenses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7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earned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1,212,796</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1,074,308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Outside Fees earned</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(16,071)</w:t>
            </w: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Base management fees, net</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1,209,225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1,058,237</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526,308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1,754,741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1,237,790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2,884,302</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2,992,531</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payable to the Manager as of March 31, 2025 and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w:t>
            </w:r>
          </w:p>
        </w:tc>
        <w:tc>
          <w:tcPr>
            <w:tcW w:w="18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1,209,225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925,761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526,308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1,937,487</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2,863,248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1,586,509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00" w:type="dxa"/>
            <w:vAlign w:val="bottom"/>
          </w:tcPr>
          <w:p>
            <w:pPr>
              <w:spacing w:after="0"/>
              <w:rPr>
                <w:sz w:val="18"/>
                <w:szCs w:val="18"/>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3,322,042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4,906,651</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March 31, 2025 and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both March 31, 2025 and December 31, 2024, 19 of the Company’s loans were co-invested by affiliates of the Company.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month periods ended March 31,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 related party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#3 and Loan #33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borrowers of Loan #3 and Loan #33 are affiliates of Vireo Growth, Inc. ("Vireo"). In December 2024, John Mazarakis, who serves as our Executive Chairman of the Board, was appointed to serve as Chief Executive Officer and Co-Executive Chairman of the Board of Vireo. Certain affiliated investment funds that are managed by entities under common control with our Manager, and for which Mr. Mazarakis can exercise significant influence, own approximately 35% of Vireo's Subordinate Voting Shares, causing the Company to classify transactions with Vireo to be related party transactions. The aggregate principal balance of these loans is included on the consolidated balance sheets within loans held for investment - related party (Note 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#9</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through commencement of foreclosure proceedings. Loan #9 is co-invested by the Company and an affiliated investment fund under common control with the Manager (collectively with the Company, the "Lenders").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Article 9 sale (“UCC sale”) of the membership interests of the borrower’s subsidiaries which were pledged as collateral. On August 10, 2023, the Agent was the highest bidder in a public auction of the membership interests and took ownership of the membership interests.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Agent was granted a summary judgment (the "Judgment") against the borrower credit parties and related individuals in the amount of approximately $14.5 million. The Judgment received in favor of the Agent was incremental to the equity acquired in the UCC sale. The enforcement of such Judgment and UCC sale was conditional upon the recognition and affiliation of members of the Agent by the Pennsylvania Department of Health (“PA DOH”), which was uncertain as of December 31, 2024.</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Court of Common Pleas in Snyder County, Pennsylvania granted an order in favor of the Agent, whereby members of the Agent would be duly recognized as owner-operators of the subject assets. The order was conditional upon the satisfactory completion of change of ownership and other cannabis owner-operator affiliation forms, as required by the PA DOH. In February 2025, upon approval by the PA DOH, members of the Agent satisfied the conditions imposed by PA DOH and assumed full control of the facilities and operations of the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2025, following completion of the foreclosure proceedings, the Company extinguished the original term loan, previously identified as Loan #9,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$66 thousand. The fair value of each of the Judgment Loan and Term Loan was determined by the Manager's investment committee using Level 3 inputs under the discounted cash flow method.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extinguishment of the original Loan #9, the CECL reserve of approximately $1.2 million was reversed, primarily due to the fact that the Company is the sole owner of the Judgment Loan and the Term Loan, which now include a senior liquidation preference and represent the only indebtedness in the borrower's new capital structure. These factors improve the Company's expectations regarding collectibility of principal and interest. In April 2025, the borrower opened its three dispensary locations all of which were previously non-operational and expect improved financial performance as a result. However; given the history of non-payment resulting from these locations being non-operational, management will closely monitor and evaluate the financial and cash flow performance of the now operational assets, before restoring Loan #9 to accrual status. Accordingly, Loan #9 remains on non-accrual status as of March 31, 2025. The Company intends to hold both the Judgment Loan and the Term Loan until maturity or payoff, as applicable, and therefore has classified these assets as loans held for investment - related party as of March 31, 2025, with a carrying value of approximately $16.5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at fair value - related party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the Company originated a loan to a subsidiary of Vireo, collateralized by real estate assets in Minnesota. The loan has a principal balance of $5.5 million and a carrying value of approximately $5.3 million as of March 31, 2025 and December 31, 2024. The Company elected to record the investment at fair value under the fair value option as described in Note 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March 31, 2025 and December 31, 2024, the Company had unfunded commitments on existing loans of $19.8 million and $20.9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2027</w:t>
            </w:r>
          </w:p>
        </w:tc>
        <w:tc>
          <w:tcPr>
            <w:tcW w:w="240" w:type="dxa"/>
            <w:vAlign w:val="bottom"/>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2029</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8"/>
                <w:szCs w:val="18"/>
                <w:color w:val="auto"/>
              </w:rPr>
            </w:pPr>
          </w:p>
        </w:tc>
      </w:tr>
      <w:tr>
        <w:trPr>
          <w:trHeight w:val="19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Undrawn commitments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19,795,000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19,795,000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19,795,000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19,795,000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-161925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-161925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-161925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-161925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March 31, 2025, the Company is not aware of any legal claims that could materially impact its business, financial condition, or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4,811 and 0 shares forfeited during the three months ended March 31, 2025 and 2024, respectively. As individual awards and options become fully vested, stock-based compensation expense is adjusted to recognize actual forfeitures.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March 31, 2025 and December 31, 2024, the aggregate intrinsic value of our restricted stock awards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10"/>
        </w:trPr>
        <w:tc>
          <w:tcPr>
            <w:tcW w:w="3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 w:type="dxa"/>
            <w:vAlign w:val="bottom"/>
          </w:tcPr>
          <w:p>
            <w:pPr>
              <w:spacing w:after="0"/>
              <w:rPr>
                <w:sz w:val="18"/>
                <w:szCs w:val="18"/>
                <w:color w:val="auto"/>
              </w:rPr>
            </w:pPr>
          </w:p>
        </w:tc>
      </w:tr>
      <w:tr>
        <w:trPr>
          <w:trHeight w:val="230"/>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5,975,432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3,033,845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6,342,292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3,182,441</w:t>
            </w:r>
          </w:p>
        </w:tc>
        <w:tc>
          <w:tcPr>
            <w:tcW w:w="12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three months ended March 31, 2025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Unvested Restricted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411,303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406,492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768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Unvested Restricted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8"/>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(6,647)</w:t>
            </w:r>
          </w:p>
        </w:tc>
        <w:tc>
          <w:tcPr>
            <w:tcW w:w="3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6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-1165225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$649,312 and $531,293 for the three months ended March 31, 2025 and 2024, respectively. The unamortized share-based compensation expense for the Company was approximately $3.7 million and $4.0 million as of March 31, 2025 and 2024, respectively, which the Company expects to recognize over the remaining weighted-average term of 1.6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a maximum of 3.0% of the gross proceeds from each sale of common stock sold through the Sales Agents.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2025, the Company amended its ATM Program and entered into new At-the-Market Sales Agreements (the “2025 Sales Agreement”) with BTIG, LLC, Oppenheimer &amp; Co. Inc., ATB Capital Markets USA, Inc. and A.G.P./Alliance Global Partners LLC (each a “Sales Agent” and together the “Sales Agents”). Under the terms of the 2025 Sales Agreement, the maximum offering size was increased from $75.0 million to $100.0 million and the commissions paid to the Sales Agents was reduced from a maximum of 3.0% to a maximum of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an aggregate of 896,443 shares of the Company’s common stock under the Sales Agreement at a weighted average price of $15.93 per share, generating net proceeds of approximately $13.9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an aggregate of 64,557 shares of the Company’s common stock under the Sales Agreement at a weighted average price of $16.01 per share, generating net proceeds of approximately $1.0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2024, the shares of common stock sold pursuant to the registered direct offering in February 2023 and under the ATM Program are the only offerings that have been initiated under the Shelf Registration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10,041,312</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8,730,003</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Divided by:</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20,858,466</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18,273,919</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21,264,891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18,640,492</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0.48</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months ended March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2025 and 2024, we did not incur excise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does not have any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6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6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Pr>
          <w:p>
            <w:pPr>
              <w:spacing w:after="0"/>
              <w:rPr>
                <w:sz w:val="20"/>
                <w:szCs w:val="20"/>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carrying values and fair values of the Company’s financial assets and liabilities recorded at amortized cost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Level in</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397,090,069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399,771,293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9,879,177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9,879,177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525,277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Revolving loan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37,745,771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49,155,713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49,383,204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49,096,250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49,306,996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2,539,925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2,539,925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2,285,035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reserve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547,526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party payables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1,586,509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payable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9,820,079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9,820,079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held for investment portfolio was approximately $397.1 million and $399.8 million, with gross unrecognized holding losses of $2.4 million and $2.7 million as of March 31, 2025 and December 31, 2024,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3/31/2025</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r>
      <w:tr>
        <w:trPr>
          <w:trHeight w:val="238"/>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0"/>
                <w:szCs w:val="20"/>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4/15/2024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accompanying consolidated statements of income. In addition to other factors and metrics, the CODM utilizes net income as a key determinant of the amount of dividends to be distributed to the Company's stockholders.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consolidated balance sheets as “total assets” and the significant segment expenses are listed on the accompanying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April 1, 2025, 187,157 restricted stock awards were granted, of which 15,213 and 171,944 were granted to members of the Board and employees of the Manager, respectively. Upon vesting pursuant to the respective award agreements, the restricted stock awards are exchanged for an equal number of shares of the Company’s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On April 15, 2025, the Company paid its regular quarterly dividend of $0.47 per common share relating to the first quarter of 2025 to stockholders of record as of the close of business on March 31, 2025. The total amount of the cash dividend payment was approximately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6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March 31, 2025 and December 31, 2024, 61.2% and 50.0%,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March 31, 2025,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March 31, 2025 and December 31, 2024, approximately 58.5% and 62.1%, respectively, of our total portfolio was comprised of floating rate loans, and 41.5% and 37.9% of our total portfolio was comprised of fixed rate loans, respectively. The floating rate loans described above are variable based upon the Prime Rate plus an applicable margin, and in many cases, a Prime Rate floor. We have one floating rate loan, which comprises approximately 0.1% of the aggregate portfolio outstanding principal that bears a rate based on SOFR.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2024:</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60" w:type="dxa"/>
            <w:vAlign w:val="bottom"/>
          </w:tcPr>
          <w:p>
            <w:pPr>
              <w:spacing w:after="0"/>
              <w:rPr>
                <w:sz w:val="24"/>
                <w:szCs w:val="24"/>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4"/>
                <w:szCs w:val="24"/>
                <w:color w:val="auto"/>
              </w:rPr>
            </w:pPr>
          </w:p>
        </w:tc>
      </w:tr>
      <w:tr>
        <w:trPr>
          <w:trHeight w:val="209"/>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19, 2024</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19, 2024</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Rate obtained from the Wall Street Journal’s “Bonds, Rates &amp; Yields” table.</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2025, we did not incur excise tax expense.</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March 31, 2025.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are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March 31, 2025, 58.5% of our floating rate loans, based on total principal outstanding have interest Prime rate floors as summarized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544"/>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4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0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60" w:type="dxa"/>
            <w:vAlign w:val="bottom"/>
          </w:tcPr>
          <w:p>
            <w:pPr>
              <w:jc w:val="center"/>
              <w:ind w:right="19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6"/>
                <w:szCs w:val="16"/>
                <w:color w:val="auto"/>
              </w:rPr>
            </w:pPr>
          </w:p>
        </w:tc>
      </w:tr>
      <w:tr>
        <w:trPr>
          <w:trHeight w:val="238"/>
        </w:trPr>
        <w:tc>
          <w:tcPr>
            <w:tcW w:w="1020" w:type="dxa"/>
            <w:vAlign w:val="bottom"/>
          </w:tcPr>
          <w:p>
            <w:pPr>
              <w:spacing w:after="0"/>
              <w:rPr>
                <w:sz w:val="20"/>
                <w:szCs w:val="20"/>
                <w:color w:val="auto"/>
              </w:rPr>
            </w:pPr>
          </w:p>
        </w:tc>
        <w:tc>
          <w:tcPr>
            <w:tcW w:w="5960" w:type="dxa"/>
            <w:vAlign w:val="bottom"/>
            <w:gridSpan w:val="4"/>
          </w:tcPr>
          <w:p>
            <w:pPr>
              <w:jc w:val="right"/>
              <w:ind w:right="4024"/>
              <w:spacing w:after="0"/>
              <w:rPr>
                <w:sz w:val="20"/>
                <w:szCs w:val="20"/>
                <w:color w:val="auto"/>
              </w:rPr>
            </w:pPr>
            <w:r>
              <w:rPr>
                <w:rFonts w:ascii="Times New Roman" w:cs="Times New Roman" w:eastAsia="Times New Roman" w:hAnsi="Times New Roman"/>
                <w:sz w:val="18"/>
                <w:szCs w:val="18"/>
                <w:b w:val="1"/>
                <w:bCs w:val="1"/>
                <w:color w:val="auto"/>
              </w:rPr>
              <w:t>Prime Rate Floor</w:t>
            </w:r>
          </w:p>
        </w:tc>
        <w:tc>
          <w:tcPr>
            <w:tcW w:w="426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09"/>
        </w:trPr>
        <w:tc>
          <w:tcPr>
            <w:tcW w:w="10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8"/>
              </w:rPr>
              <w:t>8.50%</w:t>
            </w:r>
          </w:p>
        </w:tc>
        <w:tc>
          <w:tcPr>
            <w:tcW w:w="34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top w:val="single" w:sz="8" w:color="auto"/>
            </w:tcBorders>
          </w:tcPr>
          <w:p>
            <w:pPr>
              <w:jc w:val="right"/>
              <w:ind w:right="1824"/>
              <w:spacing w:after="0"/>
              <w:rPr>
                <w:sz w:val="20"/>
                <w:szCs w:val="20"/>
                <w:color w:val="auto"/>
              </w:rPr>
            </w:pPr>
            <w:r>
              <w:rPr>
                <w:rFonts w:ascii="Times New Roman" w:cs="Times New Roman" w:eastAsia="Times New Roman" w:hAnsi="Times New Roman"/>
                <w:sz w:val="11"/>
                <w:szCs w:val="11"/>
                <w:color w:val="auto"/>
                <w:w w:val="71"/>
              </w:rPr>
              <w:t>$</w:t>
            </w:r>
          </w:p>
        </w:tc>
        <w:tc>
          <w:tcPr>
            <w:tcW w:w="4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50,469,178</w:t>
            </w:r>
          </w:p>
        </w:tc>
        <w:tc>
          <w:tcPr>
            <w:tcW w:w="100" w:type="dxa"/>
            <w:vAlign w:val="bottom"/>
          </w:tcPr>
          <w:p>
            <w:pPr>
              <w:spacing w:after="0"/>
              <w:rPr>
                <w:sz w:val="18"/>
                <w:szCs w:val="18"/>
                <w:color w:val="auto"/>
              </w:rPr>
            </w:pPr>
          </w:p>
        </w:tc>
      </w:tr>
      <w:tr>
        <w:trPr>
          <w:trHeight w:val="216"/>
        </w:trPr>
        <w:tc>
          <w:tcPr>
            <w:tcW w:w="10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98"/>
              </w:rPr>
              <w:t>8.00%</w:t>
            </w:r>
          </w:p>
        </w:tc>
        <w:tc>
          <w:tcPr>
            <w:tcW w:w="3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7,460,000</w:t>
            </w:r>
          </w:p>
        </w:tc>
        <w:tc>
          <w:tcPr>
            <w:tcW w:w="100" w:type="dxa"/>
            <w:vAlign w:val="bottom"/>
            <w:shd w:val="clear" w:color="auto" w:fill="CFF0FC"/>
          </w:tcPr>
          <w:p>
            <w:pPr>
              <w:spacing w:after="0"/>
              <w:rPr>
                <w:sz w:val="18"/>
                <w:szCs w:val="18"/>
                <w:color w:val="auto"/>
              </w:rPr>
            </w:pPr>
          </w:p>
        </w:tc>
      </w:tr>
      <w:tr>
        <w:trPr>
          <w:trHeight w:val="216"/>
        </w:trPr>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7.75%</w:t>
            </w: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16,995,029</w:t>
            </w:r>
          </w:p>
        </w:tc>
        <w:tc>
          <w:tcPr>
            <w:tcW w:w="100" w:type="dxa"/>
            <w:vAlign w:val="bottom"/>
          </w:tcPr>
          <w:p>
            <w:pPr>
              <w:spacing w:after="0"/>
              <w:rPr>
                <w:sz w:val="18"/>
                <w:szCs w:val="18"/>
                <w:color w:val="auto"/>
              </w:rPr>
            </w:pPr>
          </w:p>
        </w:tc>
      </w:tr>
      <w:tr>
        <w:trPr>
          <w:trHeight w:val="216"/>
        </w:trPr>
        <w:tc>
          <w:tcPr>
            <w:tcW w:w="10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98"/>
              </w:rPr>
              <w:t>7.50%</w:t>
            </w:r>
          </w:p>
        </w:tc>
        <w:tc>
          <w:tcPr>
            <w:tcW w:w="3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45,865,201</w:t>
            </w:r>
          </w:p>
        </w:tc>
        <w:tc>
          <w:tcPr>
            <w:tcW w:w="100" w:type="dxa"/>
            <w:vAlign w:val="bottom"/>
            <w:shd w:val="clear" w:color="auto" w:fill="CFF0FC"/>
          </w:tcPr>
          <w:p>
            <w:pPr>
              <w:spacing w:after="0"/>
              <w:rPr>
                <w:sz w:val="18"/>
                <w:szCs w:val="18"/>
                <w:color w:val="auto"/>
              </w:rPr>
            </w:pPr>
          </w:p>
        </w:tc>
      </w:tr>
      <w:tr>
        <w:trPr>
          <w:trHeight w:val="216"/>
        </w:trPr>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7.00%</w:t>
            </w: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75,616,173</w:t>
            </w:r>
          </w:p>
        </w:tc>
        <w:tc>
          <w:tcPr>
            <w:tcW w:w="100" w:type="dxa"/>
            <w:vAlign w:val="bottom"/>
          </w:tcPr>
          <w:p>
            <w:pPr>
              <w:spacing w:after="0"/>
              <w:rPr>
                <w:sz w:val="18"/>
                <w:szCs w:val="18"/>
                <w:color w:val="auto"/>
              </w:rPr>
            </w:pPr>
          </w:p>
        </w:tc>
      </w:tr>
      <w:tr>
        <w:trPr>
          <w:trHeight w:val="216"/>
        </w:trPr>
        <w:tc>
          <w:tcPr>
            <w:tcW w:w="10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98"/>
              </w:rPr>
              <w:t>6.25%</w:t>
            </w:r>
          </w:p>
        </w:tc>
        <w:tc>
          <w:tcPr>
            <w:tcW w:w="3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19,255,716</w:t>
            </w:r>
          </w:p>
        </w:tc>
        <w:tc>
          <w:tcPr>
            <w:tcW w:w="100" w:type="dxa"/>
            <w:vAlign w:val="bottom"/>
            <w:shd w:val="clear" w:color="auto" w:fill="CFF0FC"/>
          </w:tcPr>
          <w:p>
            <w:pPr>
              <w:spacing w:after="0"/>
              <w:rPr>
                <w:sz w:val="18"/>
                <w:szCs w:val="18"/>
                <w:color w:val="auto"/>
              </w:rPr>
            </w:pPr>
          </w:p>
        </w:tc>
      </w:tr>
      <w:tr>
        <w:trPr>
          <w:trHeight w:val="216"/>
        </w:trPr>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5.50%</w:t>
            </w: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100" w:type="dxa"/>
            <w:vAlign w:val="bottom"/>
          </w:tcPr>
          <w:p>
            <w:pPr>
              <w:spacing w:after="0"/>
              <w:rPr>
                <w:sz w:val="18"/>
                <w:szCs w:val="18"/>
                <w:color w:val="auto"/>
              </w:rPr>
            </w:pPr>
          </w:p>
        </w:tc>
      </w:tr>
      <w:tr>
        <w:trPr>
          <w:trHeight w:val="216"/>
        </w:trPr>
        <w:tc>
          <w:tcPr>
            <w:tcW w:w="102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98"/>
              </w:rPr>
              <w:t>0.00%</w:t>
            </w:r>
          </w:p>
        </w:tc>
        <w:tc>
          <w:tcPr>
            <w:tcW w:w="34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4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21,789,444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5960" w:type="dxa"/>
            <w:vAlign w:val="bottom"/>
            <w:gridSpan w:val="4"/>
          </w:tcPr>
          <w:p>
            <w:pPr>
              <w:jc w:val="right"/>
              <w:ind w:right="1824"/>
              <w:spacing w:after="0"/>
              <w:rPr>
                <w:sz w:val="20"/>
                <w:szCs w:val="20"/>
                <w:color w:val="auto"/>
              </w:rPr>
            </w:pPr>
            <w:r>
              <w:rPr>
                <w:rFonts w:ascii="Times New Roman" w:cs="Times New Roman" w:eastAsia="Times New Roman" w:hAnsi="Times New Roman"/>
                <w:sz w:val="18"/>
                <w:szCs w:val="18"/>
                <w:b w:val="1"/>
                <w:bCs w:val="1"/>
                <w:color w:val="auto"/>
              </w:rPr>
              <w:t>$</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237,970,741</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First Quarter of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First Quarter of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#9</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March 31, 2025, following completion of the foreclosure proceedings, the Company extinguished the original term loan, previously identified as Loan #9,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$66 thousand. The fair value of each of the Judgment Loan and Term Loan was determined by the Manager's investment committee using Level 3 inputs under the discounted cash flow method.</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w:t>
      </w:r>
    </w:p>
    <w:p>
      <w:pPr>
        <w:spacing w:after="0" w:line="16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extinguishment of the original Loan #9, the CECL reserve of approximately $1.2 million was reversed, primarily due to the fact that the Company is the sole owner of the Judgment Loan and the Term Loan, which now include a senior liquidation preference and represent the only indebtedness in the borrower's new capital structure. These factors improve the Company's expectations regarding collectibility of principal and interest. In April 2025, the borrower opened its three dispensary locations all of which were previously non-operational and expect improved financial performance as a result. However; given the history of non-payment resulting from these locations being non-operational, management will closely monitor and evaluate the financial and cash flow performance of the now operational assets, before restoring Loan #9 to accrual status. Accordingly, Loan #9 remains on non-accrual status as of March 31, 2025. The Company intends to hold both the Judgment Loan and the Term Loan until maturity or payoff, as applicable, and therefore has classified these assets as loans held for investment - related party as of March 31, 2025, with a carrying value of approximately $16.5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declared an ordinary cash dividend of $0.47 per share of our common stock, relating to the first quarter of 2025, which was paid on April 15, 2025 to stockholders of record as of the close of business on March 31, 2025. The total amount of the cash dividend payment was approximately $9.8 million.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15,107,315</w:t>
            </w:r>
          </w:p>
        </w:tc>
        <w:tc>
          <w:tcPr>
            <w:tcW w:w="1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15,343,667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(236,352)</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(2,065,382)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(2,104,050)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38,668</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13,041,933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13,239,617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(197,684)</w:t>
            </w: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1,754,741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(19,208)</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1,196,106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1,390,267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(194,161)</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449,858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43,088</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531,293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118,019</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 provision for current expected credit losses</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(1,453,555)</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3,000,621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4,506,438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(1,505,817)</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75,604</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(72,428)</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1,311,309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1,311,309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-1979295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-1979295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-1979295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-1979295</wp:posOffset>
            </wp:positionV>
            <wp:extent cx="1200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-728345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-728345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-728345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-728345</wp:posOffset>
            </wp:positionV>
            <wp:extent cx="1200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-445135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-445135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-445135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-445135</wp:posOffset>
            </wp:positionV>
            <wp:extent cx="1200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-153670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-153670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-153670</wp:posOffset>
            </wp:positionV>
            <wp:extent cx="1200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760" w:right="40" w:hanging="378"/>
        <w:spacing w:after="0" w:line="25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by approximately $0.2 million during the quarter ended March 31, 2025, compared to the quarter ended March 31, 2024. The decrease was driven primarily by the outstanding principal of the Company's loans that bear a floating rate which decreased from 77% at March 31, 2024 to 58.5% at March 31, 2025. Interest income from prepayment fees and acceleration of original issue discounts and other upfront fees generated approximately $0.4 million and $0.1 million of gross interest income during the three months ended March 31, 2025 and 2024, respectively. Additionally, the weighted average YTM IRR on our portfolio decreased from 19.4% at March 31, 2024 to 16.9% at March 31, 2025, as a result of certain re-pricing amendments relating to de-risking of our portfolio and the impact of the 100 basis point prime rate decline on our floating rate portfolio.</w:t>
      </w:r>
    </w:p>
    <w:p>
      <w:pPr>
        <w:spacing w:after="0" w:line="148" w:lineRule="exact"/>
        <w:rPr>
          <w:rFonts w:ascii="Times New Roman" w:cs="Times New Roman" w:eastAsia="Times New Roman" w:hAnsi="Times New Roman"/>
          <w:sz w:val="18"/>
          <w:szCs w:val="18"/>
          <w:color w:val="auto"/>
        </w:rPr>
      </w:pPr>
    </w:p>
    <w:p>
      <w:pPr>
        <w:ind w:left="760" w:right="6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remained consistent over the comparative period. The Notes Payable, which were not included in interest expense during the three months ended March 31, 2024, contributed to approximately $1.2 million of the expense during the first quarter of 2025. This increase was offset by decrease in the weighted average outstanding balance on the Revolving Loan, which was approximately $41.6 million and $90.4 million, as of March 31, 2025 and 2024, respectively.</w:t>
      </w:r>
    </w:p>
    <w:p>
      <w:pPr>
        <w:spacing w:after="0" w:line="152"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management and incentive fees payable to our Manager remained consistent over the comparative period. Management fees were approximately $1.2 million for the three months ended March 31, 2025, as compared to approximately $1.1 million for the three months ended March 31, 2024. The slight increase in management fees was primarily attributable to the increase in weighted average equity as defined by the Management Agreement for the comparable period. The origination fee offsets in the three months ended March 31, 2025 were approximately $4 thousand, compared to approximately $16 thousand for the three months ended March 31, 2024. Incentive fees were approximately $0.5 million for the three months ended March 31, 2025, as compared to approximately $0.7 million for the three months ended March 31, 2024.</w:t>
      </w:r>
    </w:p>
    <w:p>
      <w:pPr>
        <w:spacing w:after="0" w:line="146" w:lineRule="exact"/>
        <w:rPr>
          <w:rFonts w:ascii="Times New Roman" w:cs="Times New Roman" w:eastAsia="Times New Roman" w:hAnsi="Times New Roman"/>
          <w:sz w:val="18"/>
          <w:szCs w:val="18"/>
          <w:color w:val="auto"/>
        </w:rPr>
      </w:pPr>
    </w:p>
    <w:p>
      <w:pPr>
        <w:ind w:left="760" w:right="24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$151 thousand for the three months ended March 31, 2025, as compared to the three months ended March 31, 2024. The decrease was primarily due to a decrease in overhead reimbursements for costs incurred by the Manager on behalf of the Company, which were approximately $1.1 million for the three months ended March 31, 2025, compared to approximately $1.2 million for the three months ended March 31, 2024.</w:t>
      </w:r>
    </w:p>
    <w:p>
      <w:pPr>
        <w:spacing w:after="0" w:line="139"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slightly by approximately $0.1 million for the three months ended March 31, 2025, as compared to the three months ended March 31, 2024. The increase over the comparative period is driven by the incremental expense recognized on the 187,335 of restricted stock awards granted on during 2024, which had not been granted as of March 31, 2024.</w:t>
      </w:r>
    </w:p>
    <w:p>
      <w:pPr>
        <w:spacing w:after="0" w:line="148"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21" w:lineRule="exact"/>
        <w:rPr>
          <w:sz w:val="20"/>
          <w:szCs w:val="20"/>
          <w:color w:val="auto"/>
        </w:rPr>
      </w:pPr>
    </w:p>
    <w:p>
      <w:pPr>
        <w:ind w:left="1540" w:right="20" w:hanging="514"/>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for current expected credit losses was approximately $1.1 million in the three months ended March 31, 2025, as compared to a provision of approximately $380 thousand in the three months ended March 31, 2024.The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1540" w:right="40"/>
        <w:spacing w:after="0" w:line="266" w:lineRule="auto"/>
        <w:rPr>
          <w:sz w:val="20"/>
          <w:szCs w:val="20"/>
          <w:color w:val="auto"/>
        </w:rPr>
      </w:pPr>
      <w:r>
        <w:rPr>
          <w:rFonts w:ascii="Times New Roman" w:cs="Times New Roman" w:eastAsia="Times New Roman" w:hAnsi="Times New Roman"/>
          <w:sz w:val="18"/>
          <w:szCs w:val="18"/>
          <w:color w:val="auto"/>
        </w:rPr>
        <w:t>decrease in expected credit losses was primarily driven by the $1.2 million reversal from Loan #9 during the three months ended March 31, 2025. The current expected credit loss reserve represents approximately 83 basis points of our aggregate loan commitments held at carrying value of approximately $3.3 million as of March 31, 2025.</w:t>
      </w:r>
    </w:p>
    <w:p>
      <w:pPr>
        <w:spacing w:after="0" w:line="149" w:lineRule="exact"/>
        <w:rPr>
          <w:sz w:val="20"/>
          <w:szCs w:val="20"/>
          <w:color w:val="auto"/>
        </w:rPr>
      </w:pPr>
    </w:p>
    <w:p>
      <w:pPr>
        <w:jc w:val="both"/>
        <w:ind w:left="1540" w:right="440" w:hanging="51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portfolio risk composition resulting from principal paydowns and new fundings also contributed to the decrease with reserves on new 2024 originations representing a larger portion of the reserve than loans originated as of March 31, 2024. As of March 31, 2025 and March 31, 2024 approximately 60.3% and 59.5% of our loans carry a risk rating of "1" or 2".</w:t>
      </w:r>
    </w:p>
    <w:p>
      <w:pPr>
        <w:spacing w:after="0" w:line="135"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 reserve recorded applicable to the $19.8 million of unfunded commitments as of March 31, 2025 is approximately $45 thousand.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both March 31, 2025 and December 31, 2024, our portfolio included 30 loans held for investment, with a carrying value of approximately $399.5 million and $402.5 million, respectively, prior to the reserve for current expected credit losses. The aggregate outstanding principal was approximately $401.5 million and $404.7 million as of March 31, 2025 and December 31, 2024, respectively. As of March 31, 2025 and December 31, 2024, our loan portfolio had a weighted-average yield-to-maturity internal rate of return (“YTM IRR”) of 16.9% and 17.2%,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3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below table summarizes our portfolio of loans held for investment by rate type as of March 31, 2025 and December 31, 2024:</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 for</w:t>
            </w:r>
          </w:p>
        </w:tc>
        <w:tc>
          <w:tcPr>
            <w:tcW w:w="180" w:type="dxa"/>
            <w:vAlign w:val="bottom"/>
          </w:tcPr>
          <w:p>
            <w:pPr>
              <w:spacing w:after="0"/>
              <w:rPr>
                <w:sz w:val="16"/>
                <w:szCs w:val="16"/>
                <w:color w:val="auto"/>
              </w:rPr>
            </w:pP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Issue Discount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r>
      <w:tr>
        <w:trPr>
          <w:trHeight w:val="21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163,307,742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(591,962)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162,715,780</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238,204,074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236,739,699</w:t>
            </w: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401,511,816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(2,056,337)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 for</w:t>
            </w:r>
          </w:p>
        </w:tc>
        <w:tc>
          <w:tcPr>
            <w:tcW w:w="180" w:type="dxa"/>
            <w:vAlign w:val="bottom"/>
          </w:tcPr>
          <w:p>
            <w:pPr>
              <w:spacing w:after="0"/>
              <w:rPr>
                <w:sz w:val="16"/>
                <w:szCs w:val="16"/>
                <w:color w:val="auto"/>
              </w:rPr>
            </w:pP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Issue Discount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r>
      <w:tr>
        <w:trPr>
          <w:trHeight w:val="21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(545,081)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(1,699,427)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(2,244,508)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one loan held at fair value with a principal balance of $5.5 million, which bears a fixed rate. On an aggregate basis, our total loan portfolio is comprised of 58.5% and 41.5% floating rate loans and fixed rate loans,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portfolio as of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2"/>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Initial</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of Loans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Funding</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68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2"/>
              </w:rPr>
              <w:t>Issue</w:t>
            </w:r>
          </w:p>
        </w:tc>
        <w:tc>
          <w:tcPr>
            <w:tcW w:w="60" w:type="dxa"/>
            <w:vAlign w:val="bottom"/>
          </w:tcPr>
          <w:p>
            <w:pPr>
              <w:spacing w:after="0"/>
              <w:rPr>
                <w:sz w:val="10"/>
                <w:szCs w:val="10"/>
                <w:color w:val="auto"/>
              </w:rPr>
            </w:pPr>
          </w:p>
        </w:tc>
        <w:tc>
          <w:tcPr>
            <w:tcW w:w="5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2"/>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Held for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37"/>
        </w:trPr>
        <w:tc>
          <w:tcPr>
            <w:tcW w:w="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6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Investment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Fundings</w:t>
            </w:r>
          </w:p>
        </w:tc>
        <w:tc>
          <w:tcPr>
            <w:tcW w:w="220" w:type="dxa"/>
            <w:vAlign w:val="bottom"/>
          </w:tcPr>
          <w:p>
            <w:pPr>
              <w:spacing w:after="0"/>
              <w:rPr>
                <w:sz w:val="11"/>
                <w:szCs w:val="11"/>
                <w:color w:val="auto"/>
              </w:rPr>
            </w:pPr>
          </w:p>
        </w:tc>
        <w:tc>
          <w:tcPr>
            <w:tcW w:w="21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Interest Rate (3)</w:t>
            </w:r>
          </w:p>
        </w:tc>
        <w:tc>
          <w:tcPr>
            <w:tcW w:w="7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01"/>
        </w:trPr>
        <w:tc>
          <w:tcPr>
            <w:tcW w:w="300" w:type="dxa"/>
            <w:vAlign w:val="bottom"/>
            <w:tcBorders>
              <w:top w:val="single" w:sz="8" w:color="auto"/>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jc w:val="center"/>
              <w:spacing w:after="0" w:line="102"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8"/>
                <w:szCs w:val="8"/>
                <w:color w:val="auto"/>
              </w:rPr>
            </w:pPr>
          </w:p>
        </w:tc>
        <w:tc>
          <w:tcPr>
            <w:tcW w:w="1020" w:type="dxa"/>
            <w:vAlign w:val="bottom"/>
            <w:tcBorders>
              <w:top w:val="single" w:sz="8" w:color="auto"/>
            </w:tcBorders>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18,983,92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140" w:type="dxa"/>
            <w:vAlign w:val="bottom"/>
            <w:tcBorders>
              <w:top w:val="single" w:sz="8" w:color="auto"/>
            </w:tcBorders>
            <w:shd w:val="clear" w:color="auto" w:fill="CFF0FC"/>
          </w:tcPr>
          <w:p>
            <w:pPr>
              <w:jc w:val="center"/>
              <w:ind w:left="26"/>
              <w:spacing w:after="0" w:line="102" w:lineRule="exact"/>
              <w:rPr>
                <w:sz w:val="20"/>
                <w:szCs w:val="20"/>
                <w:color w:val="auto"/>
              </w:rPr>
            </w:pPr>
            <w:r>
              <w:rPr>
                <w:rFonts w:ascii="Times New Roman" w:cs="Times New Roman" w:eastAsia="Times New Roman" w:hAnsi="Times New Roman"/>
                <w:sz w:val="11"/>
                <w:szCs w:val="11"/>
                <w:color w:val="auto"/>
                <w:w w:val="97"/>
              </w:rPr>
              <w:t>P+6.5% Cash (8)</w:t>
            </w:r>
          </w:p>
        </w:tc>
        <w:tc>
          <w:tcPr>
            <w:tcW w:w="7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10/30/2026</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19,255,716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(271,789)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17.1%</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Michigan</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27,110,50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P+3% Cash (13)</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12/31/2021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27,110,506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17.3%</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20,922,88</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P+10.375% Cash, 2.75% PIK (11)(14)(15)</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11/18/2021</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1/29/2027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21,384,473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(461,592)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22.6%</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4/19/2021</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6/17/2026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11.91%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17.0%</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Michigan</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8/20/2021</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1/30/2026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P+6.5% Cash (13)</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17.2%</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Illinois, Arizona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23,545,86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8"/>
              </w:rPr>
              <w:t>P+6% Cash, 2% PIK (9)</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8/24/2021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23,573,222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(27,357)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19.3%</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West Virginia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9/1/2021</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10% Cash</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15.0%</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9</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Pennsylvania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16,468,95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9.0% Cash (16)</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3/31/2025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3/31/2028</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16,576,987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(108,037)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9.5%</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13,232,35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P+7% Cash, 2% PIK (10)</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11/8/2021</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10/31/2027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13,285,201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(52,847)</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19.3%</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Florida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12/30/2021</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8/29/2025</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6,557,500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(15,812)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6,541,688</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16.75%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31.2%</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Ohio</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45,262,84</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P+1.75% Cash, 5% PIK (9)(17)</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45,589,764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(326,924)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16.5%</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Florida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18,360,79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11% Cash, 5% PIK</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3/11/2022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18,378,759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(17,969)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16.5%</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Missouri</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21,626,92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11% Cash, 2% PIK</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5/9/2022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11/28/2025</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21,675,015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(48,086)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14.7%</w:t>
            </w:r>
          </w:p>
        </w:tc>
      </w:tr>
      <w:tr>
        <w:trPr>
          <w:trHeight w:val="121"/>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7/1/2022</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6,453,187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(29,315)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6,423,872</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P+7% Cash, 2% PIK (9)</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23.3%</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3/27/2023</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1,560,000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(16,591)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1,543,409</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P+7.5% Cash (12)</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18.7%</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Oregon</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3/31/2023</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520,000</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P+10.5% Cash (7)</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21.7%</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New York</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24,337,29</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15% Cash</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8/1/2023</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24,337,297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16.6%</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rPr>
              <w:t>Nebraska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17,400,00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P+6.5% Cash (18)</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8/15/2023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15.7%</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10/11/2023</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1,920,477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1,920,477</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11.4% Cash, 1.5% PIK</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14.7%</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Missouri,</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18,277,86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P+7.75% Cash (13)</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12/19/2023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(122,131)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18.7%</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rPr>
              <w:t>California,</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P+8.75% Cash (10)</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Illinois</w:t>
            </w: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5/3/2023</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5/3/2026</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18.3%</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Nevada</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4/15/2024</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8/15/2027</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(25,351)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5,874,649</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P+6.5% Cash (12)</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16.1%</w:t>
            </w:r>
          </w:p>
        </w:tc>
      </w:tr>
      <w:tr>
        <w:trPr>
          <w:trHeight w:val="122"/>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Minnesota</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5/20/2024</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5/28/2027</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1,080,000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(4,286)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1,075,714</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6"/>
              </w:rPr>
              <w:t>12% Cash (14)</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12.9%</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Arizona</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8"/>
              </w:rPr>
              <w:t>11.91% Cash</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6/17/2024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5/29/2026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12.8%</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35</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California</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24,438,42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8"/>
              </w:rPr>
              <w:t>12% Cash, 3% PIK</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8/23/2024</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8/23/2027</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24,438,420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16.3%</w:t>
            </w:r>
          </w:p>
        </w:tc>
      </w:tr>
      <w:tr>
        <w:trPr>
          <w:trHeight w:val="108"/>
        </w:trPr>
        <w:tc>
          <w:tcPr>
            <w:tcW w:w="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36</w:t>
            </w: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Illinois</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25,792,79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6"/>
              </w:rPr>
              <w:t>P+6.25% Cash (10)</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10/28/2024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1/1/2027</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(107,202)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15.4%</w:t>
            </w:r>
          </w:p>
        </w:tc>
      </w:tr>
      <w:tr>
        <w:trPr>
          <w:trHeight w:val="108"/>
        </w:trPr>
        <w:tc>
          <w:tcPr>
            <w:tcW w:w="3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37</w:t>
            </w: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19,703,80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shd w:val="clear" w:color="auto" w:fill="CFF0FC"/>
          </w:tcPr>
          <w:p>
            <w:pPr>
              <w:jc w:val="center"/>
              <w:ind w:left="6"/>
              <w:spacing w:after="0" w:line="108" w:lineRule="exact"/>
              <w:rPr>
                <w:sz w:val="20"/>
                <w:szCs w:val="20"/>
                <w:color w:val="auto"/>
              </w:rPr>
            </w:pPr>
            <w:r>
              <w:rPr>
                <w:rFonts w:ascii="Times New Roman" w:cs="Times New Roman" w:eastAsia="Times New Roman" w:hAnsi="Times New Roman"/>
                <w:sz w:val="11"/>
                <w:szCs w:val="11"/>
                <w:color w:val="auto"/>
                <w:w w:val="97"/>
              </w:rPr>
              <w:t>12% Cash, 1% PIK (19)</w:t>
            </w: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r>
      <w:tr>
        <w:trPr>
          <w:trHeight w:val="135"/>
        </w:trPr>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11/26/2024</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11/24/2028</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20,069,535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(365,730)</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15.2%</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38</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Various</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12/13/2024</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7/14/2025</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2,905,000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(24,676)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2,880,324</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2,095,000</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6"/>
              </w:rPr>
              <w:t>10% Cash (19)</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16.1%</w:t>
            </w:r>
          </w:p>
        </w:tc>
      </w:tr>
      <w:tr>
        <w:trPr>
          <w:trHeight w:val="121"/>
        </w:trPr>
        <w:tc>
          <w:tcPr>
            <w:tcW w:w="3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40</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Various</w:t>
            </w:r>
          </w:p>
        </w:tc>
        <w:tc>
          <w:tcPr>
            <w:tcW w:w="1140" w:type="dxa"/>
            <w:vAlign w:val="bottom"/>
            <w:gridSpan w:val="2"/>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4"/>
              </w:rPr>
              <w:t>3/28/2025</w:t>
            </w:r>
          </w:p>
        </w:tc>
        <w:tc>
          <w:tcPr>
            <w:tcW w:w="100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7/28/2028</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233,333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(23,276)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210,057</w:t>
            </w:r>
          </w:p>
        </w:tc>
        <w:tc>
          <w:tcPr>
            <w:tcW w:w="960" w:type="dxa"/>
            <w:vAlign w:val="bottom"/>
            <w:gridSpan w:val="4"/>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140" w:type="dxa"/>
            <w:vAlign w:val="bottom"/>
            <w:shd w:val="clear" w:color="auto" w:fill="CFF0FC"/>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SOFR +10.25% Cash (6)</w:t>
            </w:r>
          </w:p>
        </w:tc>
        <w:tc>
          <w:tcPr>
            <w:tcW w:w="740" w:type="dxa"/>
            <w:vAlign w:val="bottom"/>
            <w:shd w:val="clear" w:color="auto" w:fill="CFF0FC"/>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19.4%</w:t>
            </w:r>
          </w:p>
        </w:tc>
      </w:tr>
      <w:tr>
        <w:trPr>
          <w:trHeight w:val="122"/>
        </w:trPr>
        <w:tc>
          <w:tcPr>
            <w:tcW w:w="3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41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Ohio</w:t>
            </w:r>
          </w:p>
        </w:tc>
        <w:tc>
          <w:tcPr>
            <w:tcW w:w="11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7"/>
              </w:rPr>
              <w:t>3/1/2025</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3/13/2027</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(7,366)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242,634</w:t>
            </w:r>
          </w:p>
        </w:tc>
        <w:tc>
          <w:tcPr>
            <w:tcW w:w="9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1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7"/>
              </w:rPr>
              <w:t>14.5% Cash</w:t>
            </w:r>
          </w:p>
        </w:tc>
        <w:tc>
          <w:tcPr>
            <w:tcW w:w="74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1"/>
              </w:rPr>
              <w:t>16.4%</w:t>
            </w:r>
          </w:p>
        </w:tc>
      </w:tr>
      <w:tr>
        <w:trPr>
          <w:trHeight w:val="101"/>
        </w:trPr>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(2,056,33</w:t>
            </w: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399,455,4</w:t>
            </w: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r>
      <w:tr>
        <w:trPr>
          <w:trHeight w:val="155"/>
        </w:trPr>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401,511,816</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13,795,000</w:t>
            </w:r>
          </w:p>
        </w:tc>
        <w:tc>
          <w:tcPr>
            <w:tcW w:w="22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76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16.9%</w:t>
            </w:r>
          </w:p>
        </w:tc>
      </w:tr>
      <w:tr>
        <w:trPr>
          <w:trHeight w:val="20"/>
        </w:trPr>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"PIK" = paid-in-kind interest.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6" w:name="page37"/>
    <w:bookmarkEnd w:id="36"/>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Loan #33 is an affiliate of the borrower of Loan #3, a related party. The aggregate principal balance of these loans is included on the consolidated balance sheet as loans held for investment - related party. See Note 8 of the consolidated financial statements for further details.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of approximately $16.9 million, bears a floating interest rate of prime plus 10.375% cash and 2.75% PIK and has a maturity date of January 29, 2027. The second tranche has a principal balance of approximately $4.4 million, bears an interest rate of 15.00% cash and 2.00% PIK, and a maturity date of May 29, 2026. The statistics presented reflect the weighted average of the rate terms under both tranches for the total aggregate loan principal, however only the maturity date for the first tranche has been presented in the table above.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March 31, 2025,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0"/>
        </w:trPr>
        <w:tc>
          <w:tcPr>
            <w:tcW w:w="4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Issue</w:t>
            </w:r>
          </w:p>
        </w:tc>
        <w:tc>
          <w:tcPr>
            <w:tcW w:w="16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15"/>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 (1)</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401,511,816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(2,056,337)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399,455,479</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(3,274,058)</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401,511,816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(2,056,337)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396,181,421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0"/>
        </w:trPr>
        <w:tc>
          <w:tcPr>
            <w:tcW w:w="4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15"/>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 (1)</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404,721,554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(2,244,508)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402,477,046</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(4,346,869)</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404,721,554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(2,244,508)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398,130,177</w:t>
            </w: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March 31, 2025 and December 31, 2024, respectively.</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tables present changes in loans held for investment at carrying value as of and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10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fundings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4,184,032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5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(9,170,628)</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(9,170,628)</w:t>
            </w: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369,971</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5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1,595,058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1,595,058</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 provision for current expected credit losses</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1,072,811</w:t>
            </w:r>
          </w:p>
        </w:tc>
        <w:tc>
          <w:tcPr>
            <w:tcW w:w="100" w:type="dxa"/>
            <w:vAlign w:val="bottom"/>
          </w:tcPr>
          <w:p>
            <w:pPr>
              <w:spacing w:after="0"/>
              <w:rPr>
                <w:sz w:val="18"/>
                <w:szCs w:val="18"/>
                <w:color w:val="auto"/>
              </w:rPr>
            </w:pPr>
          </w:p>
        </w:tc>
      </w:tr>
      <w:tr>
        <w:trPr>
          <w:trHeight w:val="24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5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401,511,816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(2,056,337)</w:t>
            </w:r>
          </w:p>
        </w:tc>
        <w:tc>
          <w:tcPr>
            <w:tcW w:w="10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(3,274,058)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396,181,421</w:t>
            </w:r>
          </w:p>
        </w:tc>
        <w:tc>
          <w:tcPr>
            <w:tcW w:w="100" w:type="dxa"/>
            <w:vAlign w:val="bottom"/>
            <w:shd w:val="clear" w:color="auto" w:fill="CFF0FC"/>
          </w:tcPr>
          <w:p>
            <w:pPr>
              <w:spacing w:after="0"/>
              <w:rPr>
                <w:sz w:val="21"/>
                <w:szCs w:val="21"/>
                <w:color w:val="auto"/>
              </w:rPr>
            </w:pPr>
          </w:p>
        </w:tc>
      </w:tr>
      <w:tr>
        <w:trPr>
          <w:trHeight w:val="606"/>
        </w:trPr>
        <w:tc>
          <w:tcPr>
            <w:tcW w:w="458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Credit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fundings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22,485,888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(105,081)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22,380,807</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5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(3,663,452)</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(3,663,452)</w:t>
            </w: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477,756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5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(383,371)</w:t>
            </w:r>
          </w:p>
        </w:tc>
      </w:tr>
      <w:tr>
        <w:trPr>
          <w:trHeight w:val="20"/>
        </w:trPr>
        <w:tc>
          <w:tcPr>
            <w:tcW w:w="45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377,576,334</w:t>
            </w: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(1,732,020)</w:t>
            </w:r>
          </w:p>
        </w:tc>
        <w:tc>
          <w:tcPr>
            <w:tcW w:w="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(5,356,018)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370,488,296</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-1851025</wp:posOffset>
            </wp:positionV>
            <wp:extent cx="768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-1833880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-1851025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-1833880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-1851025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-1833880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10,041,312</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531,293</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 provision for current expected credit losses</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(1,073,276)</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380,279</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120" w:type="dxa"/>
            <w:vAlign w:val="bottom"/>
          </w:tcPr>
          <w:p>
            <w:pPr>
              <w:spacing w:after="0"/>
              <w:rPr>
                <w:sz w:val="18"/>
                <w:szCs w:val="18"/>
                <w:color w:val="auto"/>
              </w:rPr>
            </w:pPr>
          </w:p>
        </w:tc>
      </w:tr>
      <w:tr>
        <w:trPr>
          <w:trHeight w:val="25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9,727,657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9,808,094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10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20,858,466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18,273,919</w:t>
            </w:r>
          </w:p>
        </w:tc>
        <w:tc>
          <w:tcPr>
            <w:tcW w:w="120" w:type="dxa"/>
            <w:vAlign w:val="bottom"/>
          </w:tcPr>
          <w:p>
            <w:pPr>
              <w:spacing w:after="0"/>
              <w:rPr>
                <w:sz w:val="17"/>
                <w:szCs w:val="17"/>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18,640,492</w:t>
            </w:r>
          </w:p>
        </w:tc>
        <w:tc>
          <w:tcPr>
            <w:tcW w:w="12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-573405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-556895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189"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The book value per share of our common stock as of March 31, 2025 and December 31, 2024 was approximately $14.87 and $14.83,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3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all of our cash was unrestricted and totaled approximately $9.9 million and $26.4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unamortized debt issuance costs related to the Revolving Loan, including all amendments and amendments and restatements thereto, as applicable, of $254,229 and $305,075, respectively, are recorded in other receivables and assets, net on the consolidated balance sheets.</w:t>
      </w:r>
    </w:p>
    <w:p>
      <w:pPr>
        <w:spacing w:after="0" w:line="14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As of and for the three months ended March 31, 2025, the Company had net repayments of $17.0 million against the Revolving Loan. As of March 31, 2025, the Company had $72.0 million available and $38.0 million outstanding under the Revolving Loan (Note 7 </w:t>
      </w:r>
      <w:r>
        <w:rPr>
          <w:rFonts w:ascii="Arial" w:cs="Arial" w:eastAsia="Arial" w:hAnsi="Arial"/>
          <w:sz w:val="16"/>
          <w:szCs w:val="16"/>
          <w:color w:val="auto"/>
        </w:rPr>
        <w:t>o</w:t>
      </w:r>
      <w:r>
        <w:rPr>
          <w:rFonts w:ascii="Times New Roman" w:cs="Times New Roman" w:eastAsia="Times New Roman" w:hAnsi="Times New Roman"/>
          <w:sz w:val="18"/>
          <w:szCs w:val="18"/>
          <w:color w:val="auto"/>
        </w:rPr>
        <w:t xml:space="preserve">f Part 1, Item 1 -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 credit rating. As of March 31, 2025, the Company is in compliance with all financial covenants with respect to the Unsecured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and amended in March 2025, pursuant to which we may sell, from time to time, up to $100.0 million of our common stock.</w:t>
      </w:r>
    </w:p>
    <w:p>
      <w:pPr>
        <w:spacing w:after="0" w:line="14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 Company sold an aggregate of 896,443 shares of the Company’s common stock under the Sales Agreement at a weighted average price of $15.93 per share, generating net proceeds of approximately $13.9 million.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the Company sold an aggregate of 64,557 shares of the Company’s common stock under the Sales Agreement at a weighted average price of $16.01 per share, generating net proceeds of approximately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three months ended March 31, 2025 and 2024, respectively:</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860" w:hanging="134"/>
        <w:spacing w:after="0" w:line="250" w:lineRule="auto"/>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cash and cash equivalents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28"/>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10,041,312</w:t>
            </w:r>
          </w:p>
        </w:tc>
        <w:tc>
          <w:tcPr>
            <w:tcW w:w="2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60" w:type="dxa"/>
            <w:vAlign w:val="bottom"/>
          </w:tcPr>
          <w:p>
            <w:pPr>
              <w:spacing w:after="0"/>
              <w:rPr>
                <w:sz w:val="19"/>
                <w:szCs w:val="19"/>
                <w:color w:val="auto"/>
              </w:rPr>
            </w:pPr>
          </w:p>
        </w:tc>
      </w:tr>
      <w:tr>
        <w:trPr>
          <w:trHeight w:val="400"/>
        </w:trPr>
        <w:tc>
          <w:tcPr>
            <w:tcW w:w="400" w:type="dxa"/>
            <w:vAlign w:val="bottom"/>
          </w:tcPr>
          <w:p>
            <w:pPr>
              <w:spacing w:after="0"/>
              <w:rPr>
                <w:sz w:val="24"/>
                <w:szCs w:val="2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(2,416,144)</w:t>
            </w:r>
          </w:p>
        </w:tc>
        <w:tc>
          <w:tcPr>
            <w:tcW w:w="4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(1,812,131)</w:t>
            </w:r>
          </w:p>
        </w:tc>
      </w:tr>
      <w:tr>
        <w:trPr>
          <w:trHeight w:val="191"/>
        </w:trPr>
        <w:tc>
          <w:tcPr>
            <w:tcW w:w="4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7,625,168</w:t>
            </w: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6,917,872</w:t>
            </w:r>
          </w:p>
        </w:tc>
        <w:tc>
          <w:tcPr>
            <w:tcW w:w="6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5,507,310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(18,717,355)</w:t>
            </w:r>
          </w:p>
        </w:tc>
      </w:tr>
      <w:tr>
        <w:trPr>
          <w:trHeight w:val="234"/>
        </w:trPr>
        <w:tc>
          <w:tcPr>
            <w:tcW w:w="40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(29,653,749)</w:t>
            </w: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10,805,556</w:t>
            </w:r>
          </w:p>
        </w:tc>
        <w:tc>
          <w:tcPr>
            <w:tcW w:w="60" w:type="dxa"/>
            <w:vAlign w:val="bottom"/>
          </w:tcPr>
          <w:p>
            <w:pPr>
              <w:spacing w:after="0"/>
              <w:rPr>
                <w:sz w:val="20"/>
                <w:szCs w:val="20"/>
                <w:color w:val="auto"/>
              </w:rPr>
            </w:pPr>
          </w:p>
        </w:tc>
      </w:tr>
      <w:tr>
        <w:trPr>
          <w:trHeight w:val="209"/>
        </w:trPr>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(16,521,271)</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(993,927)</w:t>
            </w:r>
          </w:p>
        </w:tc>
        <w:tc>
          <w:tcPr>
            <w:tcW w:w="60" w:type="dxa"/>
            <w:vAlign w:val="bottom"/>
          </w:tcPr>
          <w:p>
            <w:pPr>
              <w:spacing w:after="0"/>
              <w:rPr>
                <w:sz w:val="18"/>
                <w:szCs w:val="18"/>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920"/>
          </w:cols>
          <w:pgMar w:left="320" w:top="116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2024, we reported “Net cash provided by operating activities” of approximately $7.6 million and $6.9 million, respectively. Net cash provided by operating activities increased approximately $0.7 million, primarily attributable to a decrease in PIK interest of approximately $1.4 million, increase in related party net payable of approximately $2.1 million, a decrease in management and incentive fees payable of approximately $0.3 million and an increase in net income over the comparable period of approximately $1.3 million. These changes were offset by a decrease in the interest reserve for applied interest payments of approximately $2.2 million, a decrease in provision for current expected credit losses of approximately $1.4 million and an increase in stock based compensation of approximately $0.1 million, over the comparable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by/(Used in) by Investing Activities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we reported “Net cash provided by/(used in) investing activities” of approximately $5.5 million and $(18.7) million, respectively.</w:t>
      </w:r>
    </w:p>
    <w:p>
      <w:pPr>
        <w:spacing w:after="0" w:line="121" w:lineRule="exact"/>
        <w:rPr>
          <w:sz w:val="20"/>
          <w:szCs w:val="20"/>
          <w:color w:val="auto"/>
        </w:rPr>
      </w:pPr>
    </w:p>
    <w:p>
      <w:pPr>
        <w:jc w:val="both"/>
        <w:ind w:firstLine="7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outflows primarily related to $3.7 million used for the origination and funding of loans held for investment, partially offset by $9.2 million of cash received from the principal repayment of loans held for investment.</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cash outflows primarily related to $22.4 million used for the origination and funding of loans held for investment, partially offset by $3.7 million of cash received from the principal repayment of loans held for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Financing Activities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we reported “Net cash (used in)/provided by financing activities” of approximately $(29.7) million and $10.8 million, respectively.</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cash inflows of approximately $1.0 million related to proceeds received from sales of our common stock through the registered at-the-market offering, which were offset by approximately $17.0 million in net repayments on our Revolving Loan, $13.6 million in dividends paid and approximately $82 thousand in offering costs associated with the registered at-the-market offering.</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cash inflows of approximately $9.8 million related to proceeds received from sales of our common stock through the registered at-the-market offering and $15.3 million net draw downs on our Revolving Loan, which were offset by $13.9 million in dividends paid, approximately $50 thousand in debt issuance costs paid, and approximately $340 thousand in offering costs associated with the registered at-the-market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gains dividends) for the current year from such income, we accrue excise tax on a portion of the estimated excess taxable income as such taxable income is earned.</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three months ended March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3/31/2025</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4/15/2024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4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operating history, since the incorporation date of March 30, 2021. However, our Sponsor has had operations for the past five fiscal years and has made investments in similar loans that have similar characteristics, including interest rate, collateral coverage, guarantees, and prepayment/make whole provisions, which fall into the pools identified above.</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260" w:hanging="1252"/>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60" w:hanging="1252"/>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260" w:hanging="125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March 31, 2025 and December 31, 2024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current expected credit loss reserve though, other than the one loan placed on non-accrual status, the loans continued to perform as expected. For approximately 50.4% of the portfolio, the fair value of the underlying real estate collateral exceeded the amounts outstanding under the loans as of March 31, 2025. The remaining approximately 49.6%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carrying value, excluding the CECL Reserve, of the Company’s loans within each risk rating by year of origination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8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March 31, 2025(1)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1,075,713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21,626,930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23,222,643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64,835,378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63,479,052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64,691,470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23,545,865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217,592,635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34,737,436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72,373,346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29,701,304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137,054,720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11,585,481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CFF0FC"/>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1,283,504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110,648,527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63,999,052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158,691,746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64,832,650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399,455,479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-170815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-170815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shown in the original year of origination.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March 31, 2025, there were no significant changes in the application of our accounting policies or estimates from those presented in our annual report on Form 10-K. Refer to Note 2 to our consolidated financial statements for the three months ended March 31, 2025,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March 31, 2025, we had 16 floating-Prime rate loans, representing approximately 58.5% of our total loan portfolio based on outstanding principal balances, subject to a Prime Rate floor. We estimate that a hypothetical 100 basis points increase in the Prime Rate would result in an increase in annual cash interest income, excluding the effects of PIK interest, of approximately $2.4 million and a 100 basis points decrease in the Prime Rate would result in a decrease in annual interest income of approximately $0.8 million. Our loans generally have a Prime Rate floor established at the prevailing Prime Rate at the time of origination. Refer to Note 3 for Prime Rate floor by loan.</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March 31, 2025, we had an outstanding balance of $38.0 million under the Revolving Loan. Based on our outstanding balance as of March 31, 2025, we estimate that a hypothetical 100 basis points increase in the Prime Rate would result in an increase in annual cash interest expense, excluding unused fees, of approximately $0.4 million and a 100 basis points decrease in the Prime Rate would result in a decrease in annual interest expense of approximately $0.4 million.</w:t>
      </w:r>
    </w:p>
    <w:p>
      <w:pPr>
        <w:spacing w:after="0" w:line="183" w:lineRule="exact"/>
        <w:rPr>
          <w:sz w:val="20"/>
          <w:szCs w:val="20"/>
          <w:color w:val="auto"/>
        </w:rPr>
      </w:pPr>
    </w:p>
    <w:p>
      <w:pPr>
        <w:ind w:right="2060" w:firstLine="749"/>
        <w:spacing w:after="0" w:line="461" w:lineRule="auto"/>
        <w:rPr>
          <w:sz w:val="20"/>
          <w:szCs w:val="20"/>
          <w:color w:val="auto"/>
        </w:rPr>
      </w:pPr>
      <w:r>
        <w:rPr>
          <w:rFonts w:ascii="Times New Roman" w:cs="Times New Roman" w:eastAsia="Times New Roman" w:hAnsi="Times New Roman"/>
          <w:sz w:val="18"/>
          <w:szCs w:val="18"/>
          <w:color w:val="auto"/>
        </w:rPr>
        <w:t xml:space="preserve">The Unsecured Notes bear a fixed interest rate of 9.00% per annum and are not impacted by changes in market rates. </w:t>
      </w: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are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credit, prepayment and convexity (a measure of the sensitivity of the duration of a loan to changes in interest rates) risks associated with holding our portfolio of loans. Generally, with the guidance and experience of our Manager:</w:t>
      </w:r>
    </w:p>
    <w:p>
      <w:pPr>
        <w:spacing w:after="0" w:line="54" w:lineRule="exact"/>
        <w:rPr>
          <w:sz w:val="20"/>
          <w:szCs w:val="20"/>
          <w:color w:val="auto"/>
        </w:rPr>
      </w:pPr>
    </w:p>
    <w:p>
      <w:pPr>
        <w:ind w:left="1140" w:hanging="369"/>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17" w:lineRule="exact"/>
        <w:rPr>
          <w:rFonts w:ascii="Times New Roman" w:cs="Times New Roman" w:eastAsia="Times New Roman" w:hAnsi="Times New Roman"/>
          <w:sz w:val="18"/>
          <w:szCs w:val="18"/>
          <w:color w:val="auto"/>
        </w:rPr>
      </w:pPr>
    </w:p>
    <w:p>
      <w:pPr>
        <w:jc w:val="both"/>
        <w:ind w:left="1140" w:hanging="369"/>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jc w:val="both"/>
        <w:ind w:left="1140" w:hanging="369"/>
        <w:spacing w:after="0" w:line="26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2025, 50% of our portfolio is fully secured by real estate. Our portfolio on average had real estate collateral coverage of 1.1x as of March 31, 2025, and all of our loans are secured by equity pledges of the borrower entities and all asset liens. As of March 31, 2024, 66% of our portfolio was fully secured by real estate. Our portfolio on average had real estate collateral coverage of 1.3x as of March 31, 2024 and all of our loans were secured by equity pledges of the borrower and all asset liens.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significant risks” </w:t>
      </w:r>
      <w:r>
        <w:rPr>
          <w:rFonts w:ascii="Times New Roman" w:cs="Times New Roman" w:eastAsia="Times New Roman" w:hAnsi="Times New Roman"/>
          <w:sz w:val="18"/>
          <w:szCs w:val="18"/>
          <w:color w:val="auto"/>
        </w:rPr>
        <w:t>in our Annual Report on Form 10-K for the year ended December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loan portfolio as of March 31, 2025 and December 31, 2024, was concentrated with the top three borrowers representing approximately 24.6% and 24.0% of principal outstanding, respectively. As of and for the three months ended March 31, 2025 and 2024, the top three borrowers represented approximately 24.3% and 29.7% of the total interest income, respectively. The largest loan represented approximately 11.4% and 11.1% of principal outstanding as of March 31, 2025 and December 31, 2024, respectively.</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our borrowers have operations in the jurisdiction noted within the table below based on real estate collateral location or principal place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4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b w:val="1"/>
                <w:bCs w:val="1"/>
                <w:color w:val="auto"/>
              </w:rPr>
              <w:t>Our Loan</w:t>
            </w:r>
          </w:p>
        </w:tc>
      </w:tr>
      <w:tr>
        <w:trPr>
          <w:trHeight w:val="258"/>
        </w:trPr>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20" w:type="dxa"/>
            <w:vAlign w:val="bottom"/>
          </w:tcPr>
          <w:p>
            <w:pPr>
              <w:spacing w:after="0"/>
              <w:rPr>
                <w:sz w:val="22"/>
                <w:szCs w:val="22"/>
                <w:color w:val="auto"/>
              </w:rPr>
            </w:pPr>
          </w:p>
        </w:tc>
        <w:tc>
          <w:tcPr>
            <w:tcW w:w="16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80" w:type="dxa"/>
            <w:vAlign w:val="bottom"/>
          </w:tcPr>
          <w:p>
            <w:pPr>
              <w:spacing w:after="0"/>
              <w:rPr>
                <w:sz w:val="22"/>
                <w:szCs w:val="22"/>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61,370,819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55,958,079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61,364,965</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60,065,707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42,242,026</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42,712,285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35,832,703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35,727,045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32,082,102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38,208,259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32,068,629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28,914,569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28,023,340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24,859,640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26,057,479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24,337,297</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25,093,595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22,049,473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21,835,901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5,900,000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2,763,768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1,160,460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672,873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2,626,423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401,511,816</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80" w:type="dxa"/>
            <w:vAlign w:val="bottom"/>
            <w:gridSpan w:val="3"/>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5"/>
        </w:trPr>
        <w:tc>
          <w:tcPr>
            <w:tcW w:w="10000" w:type="dxa"/>
            <w:vAlign w:val="bottom"/>
            <w:gridSpan w:val="15"/>
          </w:tcPr>
          <w:p>
            <w:pPr>
              <w:spacing w:after="0"/>
              <w:rPr>
                <w:sz w:val="20"/>
                <w:szCs w:val="20"/>
                <w:color w:val="auto"/>
              </w:rPr>
            </w:pP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The principal balance of the loans not secured by real estate collateral are included in the jurisdiction representing the principal place of</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business.</w:t>
            </w:r>
          </w:p>
        </w:tc>
      </w:tr>
      <w:tr>
        <w:trPr>
          <w:trHeight w:val="356"/>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Risk</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-711200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-711200</wp:posOffset>
            </wp:positionV>
            <wp:extent cx="1111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-711200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-711200</wp:posOffset>
            </wp:positionV>
            <wp:extent cx="1117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March 31, 2025. Based on that evaluation, our Principal Executive Officer and Principal Financial Officer have concluded that our disclosure controls and procedures were effective at the reasonable assurance level as of March 31, 2025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there were no changes in our internal control over financial reporting (as defined in Rules 13a-15(f) and 15d-15(f) under the Exchange Act) during the quarter ended March 31, 2025 that have materially affected, or that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2024.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ended March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5"/>
                <w:szCs w:val="15"/>
                <w:color w:val="auto"/>
              </w:rPr>
            </w:pPr>
          </w:p>
        </w:tc>
        <w:tc>
          <w:tcPr>
            <w:tcW w:w="7480" w:type="dxa"/>
            <w:vAlign w:val="bottom"/>
            <w:tcBorders>
              <w:top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262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top w:val="single" w:sz="8" w:color="CCEEFF"/>
            </w:tcBorders>
          </w:tcPr>
          <w:p>
            <w:pPr>
              <w:spacing w:after="0"/>
              <w:rPr>
                <w:sz w:val="15"/>
                <w:szCs w:val="15"/>
                <w:color w:val="auto"/>
              </w:rPr>
            </w:pPr>
          </w:p>
        </w:tc>
        <w:tc>
          <w:tcPr>
            <w:tcW w:w="7480" w:type="dxa"/>
            <w:vAlign w:val="bottom"/>
            <w:tcBorders>
              <w:top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c>
          <w:tcPr>
            <w:tcW w:w="262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Filed herewith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500" w:type="dxa"/>
            <w:vAlign w:val="bottom"/>
          </w:tcPr>
          <w:p>
            <w:pPr>
              <w:spacing w:after="0"/>
              <w:rPr>
                <w:sz w:val="20"/>
                <w:szCs w:val="20"/>
                <w:color w:val="auto"/>
              </w:rPr>
            </w:pPr>
          </w:p>
        </w:tc>
        <w:tc>
          <w:tcPr>
            <w:tcW w:w="370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370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Sack</w:t>
            </w:r>
          </w:p>
        </w:tc>
      </w:tr>
      <w:tr>
        <w:trPr>
          <w:trHeight w:val="191"/>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Sack</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370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191"/>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Silverman</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00" w:type="dxa"/>
            <w:vAlign w:val="bottom"/>
          </w:tcPr>
          <w:p>
            <w:pPr>
              <w:spacing w:after="0"/>
              <w:rPr>
                <w:sz w:val="24"/>
                <w:szCs w:val="24"/>
                <w:color w:val="auto"/>
              </w:rPr>
            </w:pPr>
          </w:p>
        </w:tc>
        <w:tc>
          <w:tcPr>
            <w:tcW w:w="3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47</w:t>
            </w:r>
          </w:p>
        </w:tc>
        <w:tc>
          <w:tcPr>
            <w:tcW w:w="40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20" w:firstLine="3227"/>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w:t>
      </w:r>
      <w:r>
        <w:rPr>
          <w:rFonts w:ascii="Times New Roman" w:cs="Times New Roman" w:eastAsia="Times New Roman" w:hAnsi="Times New Roman"/>
          <w:sz w:val="18"/>
          <w:szCs w:val="18"/>
          <w:color w:val="auto"/>
        </w:rPr>
        <w:t>I, Peter Sack, Co-Chief Executive Officer of Chicago Atlantic Real Estate Finance, Inc., certify that:</w:t>
      </w:r>
    </w:p>
    <w:p>
      <w:pPr>
        <w:spacing w:after="0" w:line="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52"/>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2025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5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year ended March 31, 2025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bullet"/>
      <w:start w:val="1"/>
    </w:lvl>
  </w:abstractNum>
  <w:abstractNum w:abstractNumId="6">
    <w:nsid w:val="257130A3"/>
    <w:multiLevelType w:val="hybridMultilevel"/>
    <w:lvl w:ilvl="0">
      <w:lvlJc w:val="left"/>
      <w:lvlText w:val="2"/>
      <w:numFmt w:val="bullet"/>
      <w:start w:val="1"/>
    </w:lvl>
  </w:abstractNum>
  <w:abstractNum w:abstractNumId="7">
    <w:nsid w:val="62BBD95A"/>
    <w:multiLevelType w:val="hybridMultilevel"/>
    <w:lvl w:ilvl="0">
      <w:lvlJc w:val="left"/>
      <w:lvlText w:val="3"/>
      <w:numFmt w:val="bullet"/>
      <w:start w:val="1"/>
    </w:lvl>
  </w:abstractNum>
  <w:abstractNum w:abstractNumId="8">
    <w:nsid w:val="436C6125"/>
    <w:multiLevelType w:val="hybridMultilevel"/>
    <w:lvl w:ilvl="0">
      <w:lvlJc w:val="left"/>
      <w:lvlText w:val="4"/>
      <w:numFmt w:val="bullet"/>
      <w:start w:val="1"/>
    </w:lvl>
  </w:abstractNum>
  <w:abstractNum w:abstractNumId="9">
    <w:nsid w:val="628C895D"/>
    <w:multiLevelType w:val="hybridMultilevel"/>
    <w:lvl w:ilvl="0">
      <w:lvlJc w:val="left"/>
      <w:lvlText w:val="5"/>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o"/>
      <w:numFmt w:val="bullet"/>
      <w:start w:val="1"/>
    </w:lvl>
  </w:abstractNum>
  <w:abstractNum w:abstractNumId="18">
    <w:nsid w:val="4353D0CD"/>
    <w:multiLevelType w:val="hybridMultilevel"/>
    <w:lvl w:ilvl="0">
      <w:lvlJc w:val="left"/>
      <w:lvlText w:val="o"/>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2"/>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2"/>
      <w:numFmt w:val="bullet"/>
      <w:start w:val="1"/>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5"/>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2025-05-07T06:18:31Z</dcterms:created>
  <dcterms:modified xsi:type="dcterms:W3CDTF">2025-05-07T06:18:31Z</dcterms:modified>
</cp:coreProperties>
</file>