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caps w:val="false"/>
          <w:smallCaps w:val="false"/>
          <w:bdr w:val="single" w:sz="16" w:space="1" w:color="000000"/>
        </w:rPr>
      </w:pPr>
      <w:bookmarkStart w:id="0" w:name="f10q0323_chicagoatl.htm"/>
      <w:bookmarkStart w:id="1" w:name="ksf10q0323_chicagoatl"/>
      <w:bookmarkEnd w:id="0"/>
      <w:bookmarkEnd w:id="1"/>
      <w:r>
        <w:rPr>
          <w:caps w:val="false"/>
          <w:smallCaps w:val="false"/>
          <w:bdr w:val="single" w:sz="16" w:space="1" w:color="000000"/>
        </w:rPr>
        <w:t> </w:t>
      </w:r>
    </w:p>
    <w:p>
      <w:pPr>
        <w:pStyle w:val="TextBody"/>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2023</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__________ to __________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u w:val="single"/>
        </w:rPr>
        <w:t>001-41123</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4450" w:type="dxa"/>
        <w:jc w:val="left"/>
        <w:tblInd w:w="0" w:type="dxa"/>
        <w:tblCellMar>
          <w:top w:w="0" w:type="dxa"/>
          <w:left w:w="0" w:type="dxa"/>
          <w:bottom w:w="28" w:type="dxa"/>
          <w:right w:w="0" w:type="dxa"/>
        </w:tblCellMar>
      </w:tblPr>
      <w:tblGrid>
        <w:gridCol w:w="2495"/>
        <w:gridCol w:w="60"/>
        <w:gridCol w:w="1895"/>
      </w:tblGrid>
      <w:tr>
        <w:trPr/>
        <w:tc>
          <w:tcPr>
            <w:tcW w:w="249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Maryland</w:t>
            </w:r>
          </w:p>
        </w:tc>
        <w:tc>
          <w:tcPr>
            <w:tcW w:w="60" w:type="dxa"/>
            <w:tcBorders/>
            <w:shd w:fill="auto" w:val="clear"/>
            <w:tcMar>
              <w:bottom w:w="0" w:type="dxa"/>
            </w:tcMar>
            <w:vAlign w:val="center"/>
          </w:tcPr>
          <w:p>
            <w:pPr>
              <w:pStyle w:val="TableContents"/>
              <w:spacing w:before="0" w:after="283"/>
              <w:rPr/>
            </w:pPr>
            <w:r>
              <w:rPr/>
              <w:t> </w:t>
            </w:r>
          </w:p>
        </w:tc>
        <w:tc>
          <w:tcPr>
            <w:tcW w:w="189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86-3125132</w:t>
            </w:r>
          </w:p>
        </w:tc>
      </w:tr>
      <w:tr>
        <w:trPr/>
        <w:tc>
          <w:tcPr>
            <w:tcW w:w="249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shd w:fill="auto" w:val="clear"/>
            <w:tcMar>
              <w:bottom w:w="0" w:type="dxa"/>
            </w:tcMar>
            <w:vAlign w:val="center"/>
          </w:tcPr>
          <w:p>
            <w:pPr>
              <w:pStyle w:val="TableContents"/>
              <w:spacing w:before="0" w:after="283"/>
              <w:rPr/>
            </w:pPr>
            <w:r>
              <w:rPr/>
              <w:t> </w:t>
            </w:r>
          </w:p>
        </w:tc>
        <w:tc>
          <w:tcPr>
            <w:tcW w:w="189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1680 Michigan Avenue, Suite 700,</w:t>
        <w:br/>
        <w:t>Miami Beach, FL 33139</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809-7002</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850" w:type="dxa"/>
        <w:jc w:val="left"/>
        <w:tblInd w:w="0" w:type="dxa"/>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6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37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Common Stock, $0.01 par value per share</w:t>
            </w:r>
          </w:p>
        </w:tc>
        <w:tc>
          <w:tcPr>
            <w:tcW w:w="60" w:type="dxa"/>
            <w:tcBorders/>
            <w:shd w:fill="CCEEFF" w:val="clear"/>
            <w:tcMar>
              <w:bottom w:w="0" w:type="dxa"/>
            </w:tcMar>
            <w:vAlign w:val="center"/>
          </w:tcPr>
          <w:p>
            <w:pPr>
              <w:pStyle w:val="TableContents"/>
              <w:spacing w:before="0" w:after="283"/>
              <w:jc w:val="center"/>
              <w:rPr/>
            </w:pPr>
            <w:r>
              <w:rPr/>
              <w:t> </w:t>
            </w:r>
          </w:p>
        </w:tc>
        <w:tc>
          <w:tcPr>
            <w:tcW w:w="161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REFI</w:t>
            </w:r>
          </w:p>
        </w:tc>
        <w:tc>
          <w:tcPr>
            <w:tcW w:w="60" w:type="dxa"/>
            <w:tcBorders/>
            <w:shd w:fill="CCEEFF" w:val="clear"/>
            <w:tcMar>
              <w:bottom w:w="0" w:type="dxa"/>
            </w:tcMar>
            <w:vAlign w:val="center"/>
          </w:tcPr>
          <w:p>
            <w:pPr>
              <w:pStyle w:val="TableContents"/>
              <w:spacing w:before="0" w:after="283"/>
              <w:jc w:val="center"/>
              <w:rPr/>
            </w:pPr>
            <w:r>
              <w:rPr/>
              <w:t> </w:t>
            </w:r>
          </w:p>
        </w:tc>
        <w:tc>
          <w:tcPr>
            <w:tcW w:w="371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685" w:type="dxa"/>
        <w:jc w:val="left"/>
        <w:tblInd w:w="0" w:type="dxa"/>
        <w:tblCellMar>
          <w:top w:w="0" w:type="dxa"/>
          <w:left w:w="0" w:type="dxa"/>
          <w:bottom w:w="0" w:type="dxa"/>
          <w:right w:w="0" w:type="dxa"/>
        </w:tblCellMar>
      </w:tblPr>
      <w:tblGrid>
        <w:gridCol w:w="1865"/>
        <w:gridCol w:w="260"/>
        <w:gridCol w:w="2255"/>
        <w:gridCol w:w="305"/>
      </w:tblGrid>
      <w:tr>
        <w:trPr/>
        <w:tc>
          <w:tcPr>
            <w:tcW w:w="18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Large accelerated filer</w:t>
            </w:r>
          </w:p>
        </w:tc>
        <w:tc>
          <w:tcPr>
            <w:tcW w:w="260" w:type="dxa"/>
            <w:tcBorders/>
            <w:shd w:fill="auto" w:val="clear"/>
            <w:vAlign w:val="center"/>
          </w:tcPr>
          <w:p>
            <w:pPr>
              <w:pStyle w:val="TableContents"/>
              <w:spacing w:before="0" w:after="283"/>
              <w:rPr/>
            </w:pPr>
            <w:r>
              <w:rPr/>
              <w:t>☐</w:t>
            </w:r>
          </w:p>
        </w:tc>
        <w:tc>
          <w:tcPr>
            <w:tcW w:w="2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Accelerated filer</w:t>
            </w:r>
          </w:p>
        </w:tc>
        <w:tc>
          <w:tcPr>
            <w:tcW w:w="305" w:type="dxa"/>
            <w:tcBorders/>
            <w:shd w:fill="auto" w:val="clear"/>
            <w:vAlign w:val="center"/>
          </w:tcPr>
          <w:p>
            <w:pPr>
              <w:pStyle w:val="TableContents"/>
              <w:spacing w:before="0" w:after="283"/>
              <w:rPr/>
            </w:pPr>
            <w:r>
              <w:rPr/>
              <w:t>☐</w:t>
            </w:r>
          </w:p>
        </w:tc>
      </w:tr>
      <w:tr>
        <w:trPr/>
        <w:tc>
          <w:tcPr>
            <w:tcW w:w="18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Non-accelerated Filer</w:t>
            </w:r>
          </w:p>
        </w:tc>
        <w:tc>
          <w:tcPr>
            <w:tcW w:w="260" w:type="dxa"/>
            <w:tcBorders/>
            <w:shd w:fill="auto" w:val="clear"/>
            <w:vAlign w:val="center"/>
          </w:tcPr>
          <w:p>
            <w:pPr>
              <w:pStyle w:val="TableContents"/>
              <w:spacing w:before="0" w:after="283"/>
              <w:rPr/>
            </w:pPr>
            <w:r>
              <w:rPr/>
              <w:t>☒</w:t>
            </w:r>
          </w:p>
        </w:tc>
        <w:tc>
          <w:tcPr>
            <w:tcW w:w="2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Smaller reporting company</w:t>
            </w:r>
          </w:p>
        </w:tc>
        <w:tc>
          <w:tcPr>
            <w:tcW w:w="305" w:type="dxa"/>
            <w:tcBorders/>
            <w:shd w:fill="auto" w:val="clear"/>
            <w:vAlign w:val="center"/>
          </w:tcPr>
          <w:p>
            <w:pPr>
              <w:pStyle w:val="TableContents"/>
              <w:spacing w:before="0" w:after="283"/>
              <w:rPr/>
            </w:pPr>
            <w:r>
              <w:rPr/>
              <w:t>☒</w:t>
            </w:r>
          </w:p>
        </w:tc>
      </w:tr>
      <w:tr>
        <w:trPr/>
        <w:tc>
          <w:tcPr>
            <w:tcW w:w="186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c>
          <w:tcPr>
            <w:tcW w:w="22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Emerging growth company</w:t>
            </w:r>
          </w:p>
        </w:tc>
        <w:tc>
          <w:tcPr>
            <w:tcW w:w="305" w:type="dxa"/>
            <w:tcBorders/>
            <w:shd w:fill="auto" w:val="clear"/>
            <w:vAlign w:val="center"/>
          </w:tcPr>
          <w:p>
            <w:pPr>
              <w:pStyle w:val="TableContents"/>
              <w:spacing w:before="0" w:after="283"/>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spacing w:before="0" w:after="0"/>
        <w:ind w:left="0" w:right="0" w:hanging="0"/>
        <w:rPr>
          <w:caps w:val="false"/>
          <w:smallCaps w:val="false"/>
        </w:rPr>
      </w:pPr>
      <w:r>
        <w:rPr>
          <w:caps w:val="false"/>
          <w:smallCaps w:val="false"/>
        </w:rPr>
        <w:t> </w:t>
      </w:r>
    </w:p>
    <w:tbl>
      <w:tblPr>
        <w:tblW w:w="5050" w:type="dxa"/>
        <w:jc w:val="left"/>
        <w:tblInd w:w="0" w:type="dxa"/>
        <w:tblCellMar>
          <w:top w:w="0" w:type="dxa"/>
          <w:left w:w="0" w:type="dxa"/>
          <w:bottom w:w="28" w:type="dxa"/>
          <w:right w:w="0" w:type="dxa"/>
        </w:tblCellMar>
      </w:tblPr>
      <w:tblGrid>
        <w:gridCol w:w="2615"/>
        <w:gridCol w:w="60"/>
        <w:gridCol w:w="2375"/>
      </w:tblGrid>
      <w:tr>
        <w:trPr/>
        <w:tc>
          <w:tcPr>
            <w:tcW w:w="26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Class</w:t>
            </w:r>
          </w:p>
        </w:tc>
        <w:tc>
          <w:tcPr>
            <w:tcW w:w="60" w:type="dxa"/>
            <w:tcBorders/>
            <w:shd w:fill="auto" w:val="clear"/>
            <w:tcMar>
              <w:bottom w:w="0" w:type="dxa"/>
            </w:tcMar>
            <w:vAlign w:val="center"/>
          </w:tcPr>
          <w:p>
            <w:pPr>
              <w:pStyle w:val="TableContents"/>
              <w:spacing w:before="0" w:after="283"/>
              <w:rPr/>
            </w:pPr>
            <w:r>
              <w:rPr/>
              <w:t> </w:t>
            </w:r>
          </w:p>
        </w:tc>
        <w:tc>
          <w:tcPr>
            <w:tcW w:w="237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Outstanding at May 5, 2023</w:t>
            </w:r>
          </w:p>
        </w:tc>
      </w:tr>
      <w:tr>
        <w:trPr/>
        <w:tc>
          <w:tcPr>
            <w:tcW w:w="261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Common stock, $0.01 par value</w:t>
            </w:r>
          </w:p>
        </w:tc>
        <w:tc>
          <w:tcPr>
            <w:tcW w:w="60" w:type="dxa"/>
            <w:tcBorders/>
            <w:shd w:fill="CCEEFF" w:val="clear"/>
            <w:tcMar>
              <w:bottom w:w="0" w:type="dxa"/>
            </w:tcMar>
            <w:vAlign w:val="center"/>
          </w:tcPr>
          <w:p>
            <w:pPr>
              <w:pStyle w:val="TableContents"/>
              <w:spacing w:before="0" w:after="283"/>
              <w:rPr/>
            </w:pPr>
            <w:r>
              <w:rPr/>
              <w:t> </w:t>
            </w:r>
          </w:p>
        </w:tc>
        <w:tc>
          <w:tcPr>
            <w:tcW w:w="237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18,088,683</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spacing w:before="0" w:after="0"/>
        <w:ind w:left="0" w:right="0" w:hanging="0"/>
        <w:jc w:val="center"/>
        <w:rPr>
          <w:caps w:val="false"/>
          <w:smallCaps w:val="false"/>
        </w:rPr>
      </w:pPr>
      <w:r>
        <w:rPr>
          <w:caps w:val="false"/>
          <w:smallCaps w:val="false"/>
        </w:rPr>
        <w:t> </w:t>
      </w:r>
    </w:p>
    <w:tbl>
      <w:tblPr>
        <w:tblW w:w="9615" w:type="dxa"/>
        <w:jc w:val="left"/>
        <w:tblInd w:w="0" w:type="dxa"/>
        <w:tblCellMar>
          <w:top w:w="0" w:type="dxa"/>
          <w:left w:w="0" w:type="dxa"/>
          <w:bottom w:w="0" w:type="dxa"/>
          <w:right w:w="0" w:type="dxa"/>
        </w:tblCellMar>
      </w:tblPr>
      <w:tblGrid>
        <w:gridCol w:w="725"/>
        <w:gridCol w:w="8615"/>
        <w:gridCol w:w="275"/>
      </w:tblGrid>
      <w:tr>
        <w:trPr/>
        <w:tc>
          <w:tcPr>
            <w:tcW w:w="725" w:type="dxa"/>
            <w:tcBorders/>
            <w:shd w:fill="CCEEFF"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Part I.</w:t>
            </w:r>
          </w:p>
        </w:tc>
        <w:tc>
          <w:tcPr>
            <w:tcW w:w="8615" w:type="dxa"/>
            <w:tcBorders/>
            <w:shd w:fill="CCEEFF" w:val="clear"/>
            <w:vAlign w:val="center"/>
          </w:tcPr>
          <w:p>
            <w:pPr>
              <w:pStyle w:val="TableContents"/>
              <w:spacing w:before="0" w:after="283"/>
              <w:rPr/>
            </w:pPr>
            <w:hyperlink w:anchor="a_001">
              <w:r>
                <w:rPr>
                  <w:rStyle w:val="InternetLink"/>
                  <w:rFonts w:ascii="Times New Roman;Times;Serif" w:hAnsi="Times New Roman;Times;Serif"/>
                  <w:sz w:val="20"/>
                </w:rPr>
                <w:t>Financial Information</w:t>
              </w:r>
            </w:hyperlink>
          </w:p>
        </w:tc>
        <w:tc>
          <w:tcPr>
            <w:tcW w:w="275" w:type="dxa"/>
            <w:tcBorders/>
            <w:shd w:fill="CCEEFF" w:val="clear"/>
            <w:vAlign w:val="center"/>
          </w:tcPr>
          <w:p>
            <w:pPr>
              <w:pStyle w:val="TableContents"/>
              <w:spacing w:before="0" w:after="283"/>
              <w:jc w:val="center"/>
              <w:rPr/>
            </w:pPr>
            <w:r>
              <w:rPr/>
              <w:t>1</w:t>
            </w:r>
          </w:p>
        </w:tc>
      </w:tr>
      <w:tr>
        <w:trPr/>
        <w:tc>
          <w:tcPr>
            <w:tcW w:w="725" w:type="dxa"/>
            <w:tcBorders/>
            <w:shd w:fill="auto"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Item 1.</w:t>
            </w:r>
          </w:p>
        </w:tc>
        <w:tc>
          <w:tcPr>
            <w:tcW w:w="8615" w:type="dxa"/>
            <w:tcBorders/>
            <w:shd w:fill="auto" w:val="clear"/>
            <w:vAlign w:val="center"/>
          </w:tcPr>
          <w:p>
            <w:pPr>
              <w:pStyle w:val="TableContents"/>
              <w:spacing w:before="0" w:after="283"/>
              <w:rPr/>
            </w:pPr>
            <w:hyperlink w:anchor="a_002">
              <w:r>
                <w:rPr>
                  <w:rStyle w:val="InternetLink"/>
                  <w:rFonts w:ascii="Times New Roman;Times;Serif" w:hAnsi="Times New Roman;Times;Serif"/>
                  <w:sz w:val="20"/>
                </w:rPr>
                <w:t>Financial Statements</w:t>
              </w:r>
            </w:hyperlink>
          </w:p>
        </w:tc>
        <w:tc>
          <w:tcPr>
            <w:tcW w:w="275" w:type="dxa"/>
            <w:tcBorders/>
            <w:shd w:fill="auto" w:val="clear"/>
            <w:vAlign w:val="center"/>
          </w:tcPr>
          <w:p>
            <w:pPr>
              <w:pStyle w:val="TableContents"/>
              <w:spacing w:before="0" w:after="283"/>
              <w:jc w:val="center"/>
              <w:rPr/>
            </w:pPr>
            <w:r>
              <w:rPr/>
              <w:t>1</w:t>
            </w:r>
          </w:p>
        </w:tc>
      </w:tr>
      <w:tr>
        <w:trPr/>
        <w:tc>
          <w:tcPr>
            <w:tcW w:w="725" w:type="dxa"/>
            <w:tcBorders/>
            <w:shd w:fill="CCEEFF" w:val="clear"/>
            <w:vAlign w:val="center"/>
          </w:tcPr>
          <w:p>
            <w:pPr>
              <w:pStyle w:val="TableContents"/>
              <w:spacing w:before="0" w:after="283"/>
              <w:ind w:left="0" w:right="0" w:hanging="180"/>
              <w:rPr/>
            </w:pPr>
            <w:r>
              <w:rPr/>
              <w:t> </w:t>
            </w:r>
          </w:p>
        </w:tc>
        <w:tc>
          <w:tcPr>
            <w:tcW w:w="8615" w:type="dxa"/>
            <w:tcBorders/>
            <w:shd w:fill="CCEEFF" w:val="clear"/>
            <w:vAlign w:val="center"/>
          </w:tcPr>
          <w:p>
            <w:pPr>
              <w:pStyle w:val="TableContents"/>
              <w:spacing w:before="0" w:after="283"/>
              <w:rPr/>
            </w:pPr>
            <w:hyperlink w:anchor="a_003">
              <w:r>
                <w:rPr>
                  <w:rStyle w:val="InternetLink"/>
                  <w:rFonts w:ascii="Times New Roman;Times;Serif" w:hAnsi="Times New Roman;Times;Serif"/>
                  <w:sz w:val="20"/>
                </w:rPr>
                <w:t>Consolidated Balance Sheets as of March 31, 2023 (unaudited) and December 31, 2022</w:t>
              </w:r>
            </w:hyperlink>
          </w:p>
        </w:tc>
        <w:tc>
          <w:tcPr>
            <w:tcW w:w="275" w:type="dxa"/>
            <w:tcBorders/>
            <w:shd w:fill="CCEEFF" w:val="clear"/>
            <w:vAlign w:val="center"/>
          </w:tcPr>
          <w:p>
            <w:pPr>
              <w:pStyle w:val="TableContents"/>
              <w:spacing w:before="0" w:after="283"/>
              <w:jc w:val="center"/>
              <w:rPr/>
            </w:pPr>
            <w:r>
              <w:rPr/>
              <w:t>1</w:t>
            </w:r>
          </w:p>
        </w:tc>
      </w:tr>
      <w:tr>
        <w:trPr/>
        <w:tc>
          <w:tcPr>
            <w:tcW w:w="725" w:type="dxa"/>
            <w:tcBorders/>
            <w:shd w:fill="auto" w:val="clear"/>
            <w:vAlign w:val="center"/>
          </w:tcPr>
          <w:p>
            <w:pPr>
              <w:pStyle w:val="TableContents"/>
              <w:spacing w:before="0" w:after="283"/>
              <w:ind w:left="0" w:right="0" w:hanging="180"/>
              <w:rPr/>
            </w:pPr>
            <w:r>
              <w:rPr/>
              <w:t> </w:t>
            </w:r>
          </w:p>
        </w:tc>
        <w:tc>
          <w:tcPr>
            <w:tcW w:w="8615" w:type="dxa"/>
            <w:tcBorders/>
            <w:shd w:fill="auto" w:val="clear"/>
            <w:vAlign w:val="center"/>
          </w:tcPr>
          <w:p>
            <w:pPr>
              <w:pStyle w:val="TableContents"/>
              <w:spacing w:before="0" w:after="283"/>
              <w:rPr/>
            </w:pPr>
            <w:hyperlink w:anchor="a_004">
              <w:r>
                <w:rPr>
                  <w:rStyle w:val="InternetLink"/>
                  <w:rFonts w:ascii="Times New Roman;Times;Serif" w:hAnsi="Times New Roman;Times;Serif"/>
                  <w:sz w:val="20"/>
                </w:rPr>
                <w:t>Consolidated Statements of Income for the three months ended March 31, 2023 and 2022 (unaudited)</w:t>
              </w:r>
            </w:hyperlink>
          </w:p>
        </w:tc>
        <w:tc>
          <w:tcPr>
            <w:tcW w:w="275" w:type="dxa"/>
            <w:tcBorders/>
            <w:shd w:fill="auto" w:val="clear"/>
            <w:vAlign w:val="center"/>
          </w:tcPr>
          <w:p>
            <w:pPr>
              <w:pStyle w:val="TableContents"/>
              <w:spacing w:before="0" w:after="283"/>
              <w:jc w:val="center"/>
              <w:rPr/>
            </w:pPr>
            <w:r>
              <w:rPr/>
              <w:t>2</w:t>
            </w:r>
          </w:p>
        </w:tc>
      </w:tr>
      <w:tr>
        <w:trPr/>
        <w:tc>
          <w:tcPr>
            <w:tcW w:w="725" w:type="dxa"/>
            <w:tcBorders/>
            <w:shd w:fill="CCEEFF" w:val="clear"/>
            <w:vAlign w:val="center"/>
          </w:tcPr>
          <w:p>
            <w:pPr>
              <w:pStyle w:val="TableContents"/>
              <w:spacing w:before="0" w:after="283"/>
              <w:ind w:left="0" w:right="0" w:hanging="180"/>
              <w:rPr/>
            </w:pPr>
            <w:r>
              <w:rPr/>
              <w:t> </w:t>
            </w:r>
          </w:p>
        </w:tc>
        <w:tc>
          <w:tcPr>
            <w:tcW w:w="8615" w:type="dxa"/>
            <w:tcBorders/>
            <w:shd w:fill="CCEEFF" w:val="clear"/>
            <w:vAlign w:val="center"/>
          </w:tcPr>
          <w:p>
            <w:pPr>
              <w:pStyle w:val="TableContents"/>
              <w:spacing w:before="0" w:after="283"/>
              <w:rPr/>
            </w:pPr>
            <w:hyperlink w:anchor="a_005">
              <w:r>
                <w:rPr>
                  <w:rStyle w:val="InternetLink"/>
                  <w:rFonts w:ascii="Times New Roman;Times;Serif" w:hAnsi="Times New Roman;Times;Serif"/>
                  <w:sz w:val="20"/>
                </w:rPr>
                <w:t>Consolidated Statements of Equity for the three months ended March 31, 2023 and 2022 (unaudited)</w:t>
              </w:r>
            </w:hyperlink>
          </w:p>
        </w:tc>
        <w:tc>
          <w:tcPr>
            <w:tcW w:w="275" w:type="dxa"/>
            <w:tcBorders/>
            <w:shd w:fill="CCEEFF" w:val="clear"/>
            <w:vAlign w:val="center"/>
          </w:tcPr>
          <w:p>
            <w:pPr>
              <w:pStyle w:val="TableContents"/>
              <w:spacing w:before="0" w:after="283"/>
              <w:jc w:val="center"/>
              <w:rPr/>
            </w:pPr>
            <w:r>
              <w:rPr/>
              <w:t>3</w:t>
            </w:r>
          </w:p>
        </w:tc>
      </w:tr>
      <w:tr>
        <w:trPr/>
        <w:tc>
          <w:tcPr>
            <w:tcW w:w="725" w:type="dxa"/>
            <w:tcBorders/>
            <w:shd w:fill="auto" w:val="clear"/>
            <w:vAlign w:val="center"/>
          </w:tcPr>
          <w:p>
            <w:pPr>
              <w:pStyle w:val="TableContents"/>
              <w:spacing w:before="0" w:after="283"/>
              <w:ind w:left="0" w:right="0" w:hanging="180"/>
              <w:rPr/>
            </w:pPr>
            <w:r>
              <w:rPr/>
              <w:t> </w:t>
            </w:r>
          </w:p>
        </w:tc>
        <w:tc>
          <w:tcPr>
            <w:tcW w:w="8615" w:type="dxa"/>
            <w:tcBorders/>
            <w:shd w:fill="auto" w:val="clear"/>
            <w:vAlign w:val="center"/>
          </w:tcPr>
          <w:p>
            <w:pPr>
              <w:pStyle w:val="TableContents"/>
              <w:spacing w:before="0" w:after="283"/>
              <w:rPr/>
            </w:pPr>
            <w:hyperlink w:anchor="a_006">
              <w:r>
                <w:rPr>
                  <w:rStyle w:val="InternetLink"/>
                  <w:rFonts w:ascii="Times New Roman;Times;Serif" w:hAnsi="Times New Roman;Times;Serif"/>
                  <w:sz w:val="20"/>
                </w:rPr>
                <w:t>Consolidated Statements of Cash Flows for the three months ended March 31, 2023 and 2022 (unaudited) </w:t>
              </w:r>
            </w:hyperlink>
          </w:p>
        </w:tc>
        <w:tc>
          <w:tcPr>
            <w:tcW w:w="275" w:type="dxa"/>
            <w:tcBorders/>
            <w:shd w:fill="auto" w:val="clear"/>
            <w:vAlign w:val="center"/>
          </w:tcPr>
          <w:p>
            <w:pPr>
              <w:pStyle w:val="TableContents"/>
              <w:spacing w:before="0" w:after="283"/>
              <w:jc w:val="center"/>
              <w:rPr/>
            </w:pPr>
            <w:r>
              <w:rPr/>
              <w:t>4</w:t>
            </w:r>
          </w:p>
        </w:tc>
      </w:tr>
      <w:tr>
        <w:trPr/>
        <w:tc>
          <w:tcPr>
            <w:tcW w:w="725" w:type="dxa"/>
            <w:tcBorders/>
            <w:shd w:fill="CCEEFF" w:val="clear"/>
            <w:vAlign w:val="center"/>
          </w:tcPr>
          <w:p>
            <w:pPr>
              <w:pStyle w:val="TableContents"/>
              <w:spacing w:before="0" w:after="283"/>
              <w:ind w:left="0" w:right="0" w:hanging="180"/>
              <w:rPr/>
            </w:pPr>
            <w:r>
              <w:rPr/>
              <w:t> </w:t>
            </w:r>
          </w:p>
        </w:tc>
        <w:tc>
          <w:tcPr>
            <w:tcW w:w="8615" w:type="dxa"/>
            <w:tcBorders/>
            <w:shd w:fill="CCEEFF" w:val="clear"/>
            <w:vAlign w:val="center"/>
          </w:tcPr>
          <w:p>
            <w:pPr>
              <w:pStyle w:val="TableContents"/>
              <w:spacing w:before="0" w:after="283"/>
              <w:rPr/>
            </w:pPr>
            <w:hyperlink w:anchor="a_007">
              <w:r>
                <w:rPr>
                  <w:rStyle w:val="InternetLink"/>
                  <w:rFonts w:ascii="Times New Roman;Times;Serif" w:hAnsi="Times New Roman;Times;Serif"/>
                  <w:sz w:val="20"/>
                </w:rPr>
                <w:t>Notes to Consolidated Financial Statements (unaudited)</w:t>
              </w:r>
            </w:hyperlink>
          </w:p>
        </w:tc>
        <w:tc>
          <w:tcPr>
            <w:tcW w:w="275" w:type="dxa"/>
            <w:tcBorders/>
            <w:shd w:fill="CCEEFF" w:val="clear"/>
            <w:vAlign w:val="center"/>
          </w:tcPr>
          <w:p>
            <w:pPr>
              <w:pStyle w:val="TableContents"/>
              <w:spacing w:before="0" w:after="283"/>
              <w:jc w:val="center"/>
              <w:rPr/>
            </w:pPr>
            <w:r>
              <w:rPr/>
              <w:t>5</w:t>
            </w:r>
          </w:p>
        </w:tc>
      </w:tr>
      <w:tr>
        <w:trPr/>
        <w:tc>
          <w:tcPr>
            <w:tcW w:w="725" w:type="dxa"/>
            <w:tcBorders/>
            <w:shd w:fill="auto"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Item 2.</w:t>
            </w:r>
          </w:p>
        </w:tc>
        <w:tc>
          <w:tcPr>
            <w:tcW w:w="8615" w:type="dxa"/>
            <w:tcBorders/>
            <w:shd w:fill="auto" w:val="clear"/>
            <w:vAlign w:val="center"/>
          </w:tcPr>
          <w:p>
            <w:pPr>
              <w:pStyle w:val="TableContents"/>
              <w:spacing w:before="0" w:after="283"/>
              <w:rPr/>
            </w:pPr>
            <w:hyperlink w:anchor="a_008">
              <w:r>
                <w:rPr>
                  <w:rStyle w:val="InternetLink"/>
                  <w:rFonts w:ascii="Times New Roman;Times;Serif" w:hAnsi="Times New Roman;Times;Serif"/>
                  <w:sz w:val="20"/>
                </w:rPr>
                <w:t>Management’s Discussion and Analysis of Financial Condition and Results of Operations</w:t>
              </w:r>
            </w:hyperlink>
          </w:p>
        </w:tc>
        <w:tc>
          <w:tcPr>
            <w:tcW w:w="275" w:type="dxa"/>
            <w:tcBorders/>
            <w:shd w:fill="auto" w:val="clear"/>
            <w:vAlign w:val="center"/>
          </w:tcPr>
          <w:p>
            <w:pPr>
              <w:pStyle w:val="TableContents"/>
              <w:spacing w:before="0" w:after="283"/>
              <w:jc w:val="center"/>
              <w:rPr/>
            </w:pPr>
            <w:r>
              <w:rPr/>
              <w:t>20</w:t>
            </w:r>
          </w:p>
        </w:tc>
      </w:tr>
      <w:tr>
        <w:trPr/>
        <w:tc>
          <w:tcPr>
            <w:tcW w:w="725" w:type="dxa"/>
            <w:tcBorders/>
            <w:shd w:fill="CCEEFF"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Item 3.</w:t>
            </w:r>
          </w:p>
        </w:tc>
        <w:tc>
          <w:tcPr>
            <w:tcW w:w="8615" w:type="dxa"/>
            <w:tcBorders/>
            <w:shd w:fill="CCEEFF" w:val="clear"/>
            <w:vAlign w:val="center"/>
          </w:tcPr>
          <w:p>
            <w:pPr>
              <w:pStyle w:val="TableContents"/>
              <w:spacing w:before="0" w:after="283"/>
              <w:rPr/>
            </w:pPr>
            <w:hyperlink w:anchor="a_009">
              <w:r>
                <w:rPr>
                  <w:rStyle w:val="InternetLink"/>
                  <w:rFonts w:ascii="Times New Roman;Times;Serif" w:hAnsi="Times New Roman;Times;Serif"/>
                  <w:sz w:val="20"/>
                </w:rPr>
                <w:t>Quantitative and Qualitative Disclosures About Market Risk</w:t>
              </w:r>
            </w:hyperlink>
          </w:p>
        </w:tc>
        <w:tc>
          <w:tcPr>
            <w:tcW w:w="275" w:type="dxa"/>
            <w:tcBorders/>
            <w:shd w:fill="CCEEFF" w:val="clear"/>
            <w:vAlign w:val="center"/>
          </w:tcPr>
          <w:p>
            <w:pPr>
              <w:pStyle w:val="TableContents"/>
              <w:spacing w:before="0" w:after="283"/>
              <w:jc w:val="center"/>
              <w:rPr/>
            </w:pPr>
            <w:r>
              <w:rPr/>
              <w:t>38</w:t>
            </w:r>
          </w:p>
        </w:tc>
      </w:tr>
      <w:tr>
        <w:trPr/>
        <w:tc>
          <w:tcPr>
            <w:tcW w:w="725" w:type="dxa"/>
            <w:tcBorders/>
            <w:shd w:fill="auto"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Item 4.</w:t>
            </w:r>
          </w:p>
        </w:tc>
        <w:tc>
          <w:tcPr>
            <w:tcW w:w="8615" w:type="dxa"/>
            <w:tcBorders/>
            <w:shd w:fill="auto" w:val="clear"/>
            <w:vAlign w:val="center"/>
          </w:tcPr>
          <w:p>
            <w:pPr>
              <w:pStyle w:val="TableContents"/>
              <w:spacing w:before="0" w:after="283"/>
              <w:rPr/>
            </w:pPr>
            <w:hyperlink w:anchor="a_010">
              <w:r>
                <w:rPr>
                  <w:rStyle w:val="InternetLink"/>
                  <w:rFonts w:ascii="Times New Roman;Times;Serif" w:hAnsi="Times New Roman;Times;Serif"/>
                  <w:sz w:val="20"/>
                </w:rPr>
                <w:t>Controls and Procedures</w:t>
              </w:r>
            </w:hyperlink>
          </w:p>
        </w:tc>
        <w:tc>
          <w:tcPr>
            <w:tcW w:w="275" w:type="dxa"/>
            <w:tcBorders/>
            <w:shd w:fill="auto" w:val="clear"/>
            <w:vAlign w:val="center"/>
          </w:tcPr>
          <w:p>
            <w:pPr>
              <w:pStyle w:val="TableContents"/>
              <w:spacing w:before="0" w:after="283"/>
              <w:jc w:val="center"/>
              <w:rPr/>
            </w:pPr>
            <w:r>
              <w:rPr/>
              <w:t>40</w:t>
            </w:r>
          </w:p>
        </w:tc>
      </w:tr>
      <w:tr>
        <w:trPr/>
        <w:tc>
          <w:tcPr>
            <w:tcW w:w="725" w:type="dxa"/>
            <w:tcBorders/>
            <w:shd w:fill="CCEEFF"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Part II.</w:t>
            </w:r>
          </w:p>
        </w:tc>
        <w:tc>
          <w:tcPr>
            <w:tcW w:w="8615" w:type="dxa"/>
            <w:tcBorders/>
            <w:shd w:fill="CCEEFF" w:val="clear"/>
            <w:vAlign w:val="center"/>
          </w:tcPr>
          <w:p>
            <w:pPr>
              <w:pStyle w:val="TableContents"/>
              <w:spacing w:before="0" w:after="283"/>
              <w:rPr/>
            </w:pPr>
            <w:hyperlink w:anchor="a_011">
              <w:r>
                <w:rPr>
                  <w:rStyle w:val="InternetLink"/>
                  <w:rFonts w:ascii="Times New Roman;Times;Serif" w:hAnsi="Times New Roman;Times;Serif"/>
                  <w:sz w:val="20"/>
                </w:rPr>
                <w:t>Other Information</w:t>
              </w:r>
            </w:hyperlink>
          </w:p>
        </w:tc>
        <w:tc>
          <w:tcPr>
            <w:tcW w:w="275" w:type="dxa"/>
            <w:tcBorders/>
            <w:shd w:fill="CCEEFF" w:val="clear"/>
            <w:vAlign w:val="center"/>
          </w:tcPr>
          <w:p>
            <w:pPr>
              <w:pStyle w:val="TableContents"/>
              <w:spacing w:before="0" w:after="283"/>
              <w:jc w:val="center"/>
              <w:rPr/>
            </w:pPr>
            <w:r>
              <w:rPr/>
              <w:t>41</w:t>
            </w:r>
          </w:p>
        </w:tc>
      </w:tr>
      <w:tr>
        <w:trPr/>
        <w:tc>
          <w:tcPr>
            <w:tcW w:w="725" w:type="dxa"/>
            <w:tcBorders/>
            <w:shd w:fill="auto"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Item 1.</w:t>
            </w:r>
          </w:p>
        </w:tc>
        <w:tc>
          <w:tcPr>
            <w:tcW w:w="8615" w:type="dxa"/>
            <w:tcBorders/>
            <w:shd w:fill="auto" w:val="clear"/>
            <w:vAlign w:val="center"/>
          </w:tcPr>
          <w:p>
            <w:pPr>
              <w:pStyle w:val="TableContents"/>
              <w:spacing w:before="0" w:after="283"/>
              <w:rPr/>
            </w:pPr>
            <w:hyperlink w:anchor="a_012">
              <w:r>
                <w:rPr>
                  <w:rStyle w:val="InternetLink"/>
                  <w:rFonts w:ascii="Times New Roman;Times;Serif" w:hAnsi="Times New Roman;Times;Serif"/>
                  <w:sz w:val="20"/>
                </w:rPr>
                <w:t>Legal Proceedings</w:t>
              </w:r>
            </w:hyperlink>
          </w:p>
        </w:tc>
        <w:tc>
          <w:tcPr>
            <w:tcW w:w="275" w:type="dxa"/>
            <w:tcBorders/>
            <w:shd w:fill="auto" w:val="clear"/>
            <w:vAlign w:val="center"/>
          </w:tcPr>
          <w:p>
            <w:pPr>
              <w:pStyle w:val="TableContents"/>
              <w:spacing w:before="0" w:after="283"/>
              <w:jc w:val="center"/>
              <w:rPr/>
            </w:pPr>
            <w:r>
              <w:rPr/>
              <w:t>41</w:t>
            </w:r>
          </w:p>
        </w:tc>
      </w:tr>
      <w:tr>
        <w:trPr/>
        <w:tc>
          <w:tcPr>
            <w:tcW w:w="725" w:type="dxa"/>
            <w:tcBorders/>
            <w:shd w:fill="CCEEFF"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Item 1A.</w:t>
            </w:r>
          </w:p>
        </w:tc>
        <w:tc>
          <w:tcPr>
            <w:tcW w:w="8615" w:type="dxa"/>
            <w:tcBorders/>
            <w:shd w:fill="CCEEFF" w:val="clear"/>
            <w:vAlign w:val="center"/>
          </w:tcPr>
          <w:p>
            <w:pPr>
              <w:pStyle w:val="TableContents"/>
              <w:spacing w:before="0" w:after="283"/>
              <w:rPr/>
            </w:pPr>
            <w:hyperlink w:anchor="a_013">
              <w:r>
                <w:rPr>
                  <w:rStyle w:val="InternetLink"/>
                  <w:rFonts w:ascii="Times New Roman;Times;Serif" w:hAnsi="Times New Roman;Times;Serif"/>
                  <w:sz w:val="20"/>
                </w:rPr>
                <w:t>Risk Factors</w:t>
              </w:r>
            </w:hyperlink>
          </w:p>
        </w:tc>
        <w:tc>
          <w:tcPr>
            <w:tcW w:w="275" w:type="dxa"/>
            <w:tcBorders/>
            <w:shd w:fill="CCEEFF" w:val="clear"/>
            <w:vAlign w:val="center"/>
          </w:tcPr>
          <w:p>
            <w:pPr>
              <w:pStyle w:val="TableContents"/>
              <w:spacing w:before="0" w:after="283"/>
              <w:jc w:val="center"/>
              <w:rPr/>
            </w:pPr>
            <w:r>
              <w:rPr/>
              <w:t>41</w:t>
            </w:r>
          </w:p>
        </w:tc>
      </w:tr>
      <w:tr>
        <w:trPr/>
        <w:tc>
          <w:tcPr>
            <w:tcW w:w="725" w:type="dxa"/>
            <w:tcBorders/>
            <w:shd w:fill="auto"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Item 2.</w:t>
            </w:r>
          </w:p>
        </w:tc>
        <w:tc>
          <w:tcPr>
            <w:tcW w:w="8615" w:type="dxa"/>
            <w:tcBorders/>
            <w:shd w:fill="auto" w:val="clear"/>
            <w:vAlign w:val="center"/>
          </w:tcPr>
          <w:p>
            <w:pPr>
              <w:pStyle w:val="TableContents"/>
              <w:spacing w:before="0" w:after="283"/>
              <w:rPr/>
            </w:pPr>
            <w:hyperlink w:anchor="a_014">
              <w:r>
                <w:rPr>
                  <w:rStyle w:val="InternetLink"/>
                  <w:rFonts w:ascii="Times New Roman;Times;Serif" w:hAnsi="Times New Roman;Times;Serif"/>
                  <w:sz w:val="20"/>
                </w:rPr>
                <w:t>Unregistered Sales of Equity Securities and Use of Proceeds</w:t>
              </w:r>
            </w:hyperlink>
          </w:p>
        </w:tc>
        <w:tc>
          <w:tcPr>
            <w:tcW w:w="275" w:type="dxa"/>
            <w:tcBorders/>
            <w:shd w:fill="auto" w:val="clear"/>
            <w:vAlign w:val="center"/>
          </w:tcPr>
          <w:p>
            <w:pPr>
              <w:pStyle w:val="TableContents"/>
              <w:spacing w:before="0" w:after="283"/>
              <w:jc w:val="center"/>
              <w:rPr/>
            </w:pPr>
            <w:r>
              <w:rPr/>
              <w:t>41</w:t>
            </w:r>
          </w:p>
        </w:tc>
      </w:tr>
      <w:tr>
        <w:trPr/>
        <w:tc>
          <w:tcPr>
            <w:tcW w:w="725" w:type="dxa"/>
            <w:tcBorders/>
            <w:shd w:fill="CCEEFF"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 xml:space="preserve">Item 3. </w:t>
            </w:r>
          </w:p>
        </w:tc>
        <w:tc>
          <w:tcPr>
            <w:tcW w:w="8615" w:type="dxa"/>
            <w:tcBorders/>
            <w:shd w:fill="CCEEFF" w:val="clear"/>
            <w:vAlign w:val="center"/>
          </w:tcPr>
          <w:p>
            <w:pPr>
              <w:pStyle w:val="TableContents"/>
              <w:spacing w:before="0" w:after="283"/>
              <w:rPr/>
            </w:pPr>
            <w:hyperlink w:anchor="a_015">
              <w:r>
                <w:rPr>
                  <w:rStyle w:val="InternetLink"/>
                  <w:rFonts w:ascii="Times New Roman;Times;Serif" w:hAnsi="Times New Roman;Times;Serif"/>
                  <w:sz w:val="20"/>
                </w:rPr>
                <w:t>Defaults Upon Senior Securities</w:t>
              </w:r>
            </w:hyperlink>
          </w:p>
        </w:tc>
        <w:tc>
          <w:tcPr>
            <w:tcW w:w="275" w:type="dxa"/>
            <w:tcBorders/>
            <w:shd w:fill="CCEEFF" w:val="clear"/>
            <w:vAlign w:val="center"/>
          </w:tcPr>
          <w:p>
            <w:pPr>
              <w:pStyle w:val="TableContents"/>
              <w:spacing w:before="0" w:after="283"/>
              <w:jc w:val="center"/>
              <w:rPr/>
            </w:pPr>
            <w:r>
              <w:rPr/>
              <w:t>41</w:t>
            </w:r>
          </w:p>
        </w:tc>
      </w:tr>
      <w:tr>
        <w:trPr/>
        <w:tc>
          <w:tcPr>
            <w:tcW w:w="725" w:type="dxa"/>
            <w:tcBorders/>
            <w:shd w:fill="auto"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 xml:space="preserve">Item 4. </w:t>
            </w:r>
          </w:p>
        </w:tc>
        <w:tc>
          <w:tcPr>
            <w:tcW w:w="8615" w:type="dxa"/>
            <w:tcBorders/>
            <w:shd w:fill="auto" w:val="clear"/>
            <w:vAlign w:val="center"/>
          </w:tcPr>
          <w:p>
            <w:pPr>
              <w:pStyle w:val="TableContents"/>
              <w:spacing w:before="0" w:after="283"/>
              <w:rPr/>
            </w:pPr>
            <w:hyperlink w:anchor="a_016">
              <w:r>
                <w:rPr>
                  <w:rStyle w:val="InternetLink"/>
                  <w:rFonts w:ascii="Times New Roman;Times;Serif" w:hAnsi="Times New Roman;Times;Serif"/>
                  <w:sz w:val="20"/>
                </w:rPr>
                <w:t>Mine Safety Disclosures</w:t>
              </w:r>
            </w:hyperlink>
          </w:p>
        </w:tc>
        <w:tc>
          <w:tcPr>
            <w:tcW w:w="275" w:type="dxa"/>
            <w:tcBorders/>
            <w:shd w:fill="auto" w:val="clear"/>
            <w:vAlign w:val="center"/>
          </w:tcPr>
          <w:p>
            <w:pPr>
              <w:pStyle w:val="TableContents"/>
              <w:spacing w:before="0" w:after="283"/>
              <w:jc w:val="center"/>
              <w:rPr/>
            </w:pPr>
            <w:r>
              <w:rPr/>
              <w:t>41</w:t>
            </w:r>
          </w:p>
        </w:tc>
      </w:tr>
      <w:tr>
        <w:trPr/>
        <w:tc>
          <w:tcPr>
            <w:tcW w:w="725" w:type="dxa"/>
            <w:tcBorders/>
            <w:shd w:fill="CCEEFF"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Item 5.</w:t>
            </w:r>
          </w:p>
        </w:tc>
        <w:tc>
          <w:tcPr>
            <w:tcW w:w="8615" w:type="dxa"/>
            <w:tcBorders/>
            <w:shd w:fill="CCEEFF" w:val="clear"/>
            <w:vAlign w:val="center"/>
          </w:tcPr>
          <w:p>
            <w:pPr>
              <w:pStyle w:val="TableContents"/>
              <w:spacing w:before="0" w:after="283"/>
              <w:rPr/>
            </w:pPr>
            <w:hyperlink w:anchor="a_017">
              <w:r>
                <w:rPr>
                  <w:rStyle w:val="InternetLink"/>
                  <w:rFonts w:ascii="Times New Roman;Times;Serif" w:hAnsi="Times New Roman;Times;Serif"/>
                  <w:sz w:val="20"/>
                </w:rPr>
                <w:t>Other Information</w:t>
              </w:r>
            </w:hyperlink>
          </w:p>
        </w:tc>
        <w:tc>
          <w:tcPr>
            <w:tcW w:w="275" w:type="dxa"/>
            <w:tcBorders/>
            <w:shd w:fill="CCEEFF" w:val="clear"/>
            <w:vAlign w:val="center"/>
          </w:tcPr>
          <w:p>
            <w:pPr>
              <w:pStyle w:val="TableContents"/>
              <w:spacing w:before="0" w:after="283"/>
              <w:jc w:val="center"/>
              <w:rPr/>
            </w:pPr>
            <w:r>
              <w:rPr/>
              <w:t>41</w:t>
            </w:r>
          </w:p>
        </w:tc>
      </w:tr>
      <w:tr>
        <w:trPr/>
        <w:tc>
          <w:tcPr>
            <w:tcW w:w="725" w:type="dxa"/>
            <w:tcBorders/>
            <w:shd w:fill="auto"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Item 6.</w:t>
            </w:r>
          </w:p>
        </w:tc>
        <w:tc>
          <w:tcPr>
            <w:tcW w:w="8615" w:type="dxa"/>
            <w:tcBorders/>
            <w:shd w:fill="auto" w:val="clear"/>
            <w:vAlign w:val="center"/>
          </w:tcPr>
          <w:p>
            <w:pPr>
              <w:pStyle w:val="TableContents"/>
              <w:spacing w:before="0" w:after="283"/>
              <w:rPr/>
            </w:pPr>
            <w:hyperlink w:anchor="a_018">
              <w:r>
                <w:rPr>
                  <w:rStyle w:val="InternetLink"/>
                  <w:rFonts w:ascii="Times New Roman;Times;Serif" w:hAnsi="Times New Roman;Times;Serif"/>
                  <w:sz w:val="20"/>
                </w:rPr>
                <w:t>Exhibits</w:t>
              </w:r>
            </w:hyperlink>
          </w:p>
        </w:tc>
        <w:tc>
          <w:tcPr>
            <w:tcW w:w="275" w:type="dxa"/>
            <w:tcBorders/>
            <w:shd w:fill="auto" w:val="clear"/>
            <w:vAlign w:val="center"/>
          </w:tcPr>
          <w:p>
            <w:pPr>
              <w:pStyle w:val="TableContents"/>
              <w:spacing w:before="0" w:after="283"/>
              <w:jc w:val="center"/>
              <w:rPr/>
            </w:pPr>
            <w:r>
              <w:rPr/>
              <w:t>41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r>
        <w:rPr>
          <w:rFonts w:ascii="Times New Roman;Times;Serif" w:hAnsi="Times New Roman;Times;Serif"/>
          <w:b w:val="false"/>
          <w:i w:val="false"/>
          <w:caps w:val="false"/>
          <w:smallCaps w:val="false"/>
          <w:sz w:val="20"/>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CHICAGO ATLANTIC REAL ESTATE FINANCE, INC.</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pacing w:before="0" w:after="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24"/>
        <w:gridCol w:w="60"/>
        <w:gridCol w:w="140"/>
        <w:gridCol w:w="1220"/>
        <w:gridCol w:w="95"/>
        <w:gridCol w:w="60"/>
        <w:gridCol w:w="145"/>
        <w:gridCol w:w="1270"/>
        <w:gridCol w:w="91"/>
      </w:tblGrid>
      <w:tr>
        <w:trPr/>
        <w:tc>
          <w:tcPr>
            <w:tcW w:w="71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br/>
              <w:t>2022</w:t>
            </w:r>
          </w:p>
        </w:tc>
        <w:tc>
          <w:tcPr>
            <w:tcW w:w="91" w:type="dxa"/>
            <w:tcBorders/>
            <w:shd w:fill="auto" w:val="clear"/>
            <w:vAlign w:val="center"/>
          </w:tcPr>
          <w:p>
            <w:pPr>
              <w:pStyle w:val="TableContents"/>
              <w:spacing w:before="0" w:after="283"/>
              <w:rPr/>
            </w:pPr>
            <w:r>
              <w:rPr/>
              <w:t> </w:t>
            </w:r>
          </w:p>
        </w:tc>
      </w:tr>
      <w:tr>
        <w:trPr/>
        <w:tc>
          <w:tcPr>
            <w:tcW w:w="71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center"/>
              <w:rPr>
                <w:b/>
              </w:rPr>
            </w:pPr>
            <w:r>
              <w:rPr>
                <w:b/>
              </w:rPr>
              <w:t>(unaudited)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r>
      <w:tr>
        <w:trPr/>
        <w:tc>
          <w:tcPr>
            <w:tcW w:w="7124" w:type="dxa"/>
            <w:tcBorders/>
            <w:shd w:fill="auto" w:val="clear"/>
            <w:vAlign w:val="center"/>
          </w:tcPr>
          <w:p>
            <w:pPr>
              <w:pStyle w:val="TableContents"/>
              <w:spacing w:before="0" w:after="283"/>
              <w:rPr>
                <w:b/>
              </w:rPr>
            </w:pPr>
            <w:r>
              <w:rPr>
                <w:b/>
              </w:rPr>
              <w:t>Assets</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ind w:left="0" w:right="0" w:hanging="180"/>
              <w:rPr/>
            </w:pPr>
            <w:r>
              <w:rPr/>
              <w:t> </w:t>
            </w:r>
          </w:p>
        </w:tc>
      </w:tr>
      <w:tr>
        <w:trPr/>
        <w:tc>
          <w:tcPr>
            <w:tcW w:w="7124" w:type="dxa"/>
            <w:tcBorders/>
            <w:shd w:fill="CCEEFF" w:val="clear"/>
            <w:vAlign w:val="center"/>
          </w:tcPr>
          <w:p>
            <w:pPr>
              <w:pStyle w:val="TableContents"/>
              <w:spacing w:before="0" w:after="283"/>
              <w:jc w:val="left"/>
              <w:rPr/>
            </w:pPr>
            <w:r>
              <w:rPr/>
              <w:t>Loans held for investment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316,226,144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w:t>
            </w:r>
          </w:p>
        </w:tc>
        <w:tc>
          <w:tcPr>
            <w:tcW w:w="1270" w:type="dxa"/>
            <w:tcBorders/>
            <w:shd w:fill="CCEEFF" w:val="clear"/>
            <w:vAlign w:val="center"/>
          </w:tcPr>
          <w:p>
            <w:pPr>
              <w:pStyle w:val="TableContents"/>
              <w:spacing w:before="0" w:after="283"/>
              <w:jc w:val="right"/>
              <w:rPr/>
            </w:pPr>
            <w:r>
              <w:rPr/>
              <w:t>339,273,538</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jc w:val="left"/>
              <w:rPr/>
            </w:pPr>
            <w:r>
              <w:rPr/>
              <w:t>Current expected credit loss reserve</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(4,051,934</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auto" w:val="clear"/>
            <w:tcMar>
              <w:bottom w:w="28" w:type="dxa"/>
            </w:tcMar>
            <w:vAlign w:val="center"/>
          </w:tcPr>
          <w:p>
            <w:pPr>
              <w:pStyle w:val="TableContents"/>
              <w:spacing w:before="0" w:after="283"/>
              <w:jc w:val="right"/>
              <w:rPr/>
            </w:pPr>
            <w:r>
              <w:rPr/>
              <w:t>(3,940,939</w:t>
            </w:r>
          </w:p>
        </w:tc>
        <w:tc>
          <w:tcPr>
            <w:tcW w:w="91" w:type="dxa"/>
            <w:tcBorders/>
            <w:shd w:fill="auto" w:val="clear"/>
            <w:vAlign w:val="center"/>
          </w:tcPr>
          <w:p>
            <w:pPr>
              <w:pStyle w:val="TableContents"/>
              <w:spacing w:before="0" w:after="283"/>
              <w:ind w:left="0" w:right="0" w:hanging="180"/>
              <w:jc w:val="left"/>
              <w:rPr/>
            </w:pPr>
            <w:r>
              <w:rPr/>
              <w:t>)</w:t>
            </w:r>
          </w:p>
        </w:tc>
      </w:tr>
      <w:tr>
        <w:trPr/>
        <w:tc>
          <w:tcPr>
            <w:tcW w:w="7124" w:type="dxa"/>
            <w:tcBorders/>
            <w:shd w:fill="CCEEFF" w:val="clear"/>
            <w:vAlign w:val="center"/>
          </w:tcPr>
          <w:p>
            <w:pPr>
              <w:pStyle w:val="TableContents"/>
              <w:spacing w:before="0" w:after="283"/>
              <w:jc w:val="left"/>
              <w:rPr/>
            </w:pPr>
            <w:r>
              <w:rPr/>
              <w:t>Loans held for investment at carrying value,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312,174,210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335,332,599</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rPr/>
            </w:pPr>
            <w:r>
              <w:rPr/>
              <w:t>Cash</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4,640,905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jc w:val="left"/>
              <w:rPr/>
            </w:pPr>
            <w:r>
              <w:rPr/>
              <w:t> </w:t>
            </w:r>
          </w:p>
        </w:tc>
        <w:tc>
          <w:tcPr>
            <w:tcW w:w="1270" w:type="dxa"/>
            <w:tcBorders/>
            <w:shd w:fill="auto" w:val="clear"/>
            <w:vAlign w:val="center"/>
          </w:tcPr>
          <w:p>
            <w:pPr>
              <w:pStyle w:val="TableContents"/>
              <w:spacing w:before="0" w:after="283"/>
              <w:jc w:val="right"/>
              <w:rPr/>
            </w:pPr>
            <w:r>
              <w:rPr/>
              <w:t>5,715,827</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jc w:val="left"/>
              <w:rPr/>
            </w:pPr>
            <w:r>
              <w:rPr/>
              <w:t>Interest receivable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4,159,748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1,204,412</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jc w:val="left"/>
              <w:rPr/>
            </w:pPr>
            <w:r>
              <w:rPr/>
              <w:t>Other receivables and assets, net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1,668,629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jc w:val="left"/>
              <w:rPr/>
            </w:pPr>
            <w:r>
              <w:rPr/>
              <w:t> </w:t>
            </w:r>
          </w:p>
        </w:tc>
        <w:tc>
          <w:tcPr>
            <w:tcW w:w="1270" w:type="dxa"/>
            <w:tcBorders/>
            <w:shd w:fill="auto" w:val="clear"/>
            <w:vAlign w:val="center"/>
          </w:tcPr>
          <w:p>
            <w:pPr>
              <w:pStyle w:val="TableContents"/>
              <w:spacing w:before="0" w:after="283"/>
              <w:jc w:val="right"/>
              <w:rPr/>
            </w:pPr>
            <w:r>
              <w:rPr/>
              <w:t>1,018,212</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jc w:val="left"/>
              <w:rPr/>
            </w:pPr>
            <w:r>
              <w:rPr/>
              <w:t>Related party receivables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237,885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jc w:val="left"/>
              <w:rPr>
                <w:b/>
              </w:rPr>
            </w:pPr>
            <w:r>
              <w:rPr>
                <w:b/>
              </w:rPr>
              <w:t>Total Assets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b/>
              </w:rPr>
            </w:pPr>
            <w:r>
              <w:rPr>
                <w:b/>
              </w:rPr>
              <w:t>322,881,377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70" w:type="dxa"/>
            <w:tcBorders>
              <w:bottom w:val="double" w:sz="10" w:space="0" w:color="000000"/>
            </w:tcBorders>
            <w:shd w:fill="auto" w:val="clear"/>
            <w:tcMar>
              <w:bottom w:w="28" w:type="dxa"/>
            </w:tcMar>
            <w:vAlign w:val="center"/>
          </w:tcPr>
          <w:p>
            <w:pPr>
              <w:pStyle w:val="TableContents"/>
              <w:spacing w:before="0" w:after="283"/>
              <w:jc w:val="right"/>
              <w:rPr>
                <w:b/>
              </w:rPr>
            </w:pPr>
            <w:r>
              <w:rPr>
                <w:b/>
              </w:rPr>
              <w:t>343,271,050</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rPr>
                <w:b/>
              </w:rPr>
            </w:pPr>
            <w:r>
              <w:rPr>
                <w:b/>
              </w:rPr>
              <w:t>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jc w:val="left"/>
              <w:rPr/>
            </w:pPr>
            <w:r>
              <w:rPr/>
              <w:t> </w:t>
            </w:r>
          </w:p>
        </w:tc>
        <w:tc>
          <w:tcPr>
            <w:tcW w:w="1270" w:type="dxa"/>
            <w:tcBorders/>
            <w:shd w:fill="auto" w:val="cle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jc w:val="left"/>
              <w:rPr/>
            </w:pPr>
            <w:r>
              <w:rPr/>
              <w:t>Revolving loan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37,500,000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w:t>
            </w:r>
          </w:p>
        </w:tc>
        <w:tc>
          <w:tcPr>
            <w:tcW w:w="1270" w:type="dxa"/>
            <w:tcBorders/>
            <w:shd w:fill="CCEEFF" w:val="clear"/>
            <w:vAlign w:val="center"/>
          </w:tcPr>
          <w:p>
            <w:pPr>
              <w:pStyle w:val="TableContents"/>
              <w:spacing w:before="0" w:after="283"/>
              <w:jc w:val="right"/>
              <w:rPr/>
            </w:pPr>
            <w:r>
              <w:rPr/>
              <w:t>58,000,000</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jc w:val="left"/>
              <w:rPr/>
            </w:pPr>
            <w:r>
              <w:rPr/>
              <w:t>Dividend payable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8,667,701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jc w:val="left"/>
              <w:rPr/>
            </w:pPr>
            <w:r>
              <w:rPr/>
              <w:t> </w:t>
            </w:r>
          </w:p>
        </w:tc>
        <w:tc>
          <w:tcPr>
            <w:tcW w:w="1270" w:type="dxa"/>
            <w:tcBorders/>
            <w:shd w:fill="auto" w:val="clear"/>
            <w:vAlign w:val="center"/>
          </w:tcPr>
          <w:p>
            <w:pPr>
              <w:pStyle w:val="TableContents"/>
              <w:spacing w:before="0" w:after="283"/>
              <w:jc w:val="right"/>
              <w:rPr/>
            </w:pPr>
            <w:r>
              <w:rPr/>
              <w:t>13,618,591</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jc w:val="left"/>
              <w:rPr/>
            </w:pPr>
            <w:r>
              <w:rPr/>
              <w:t>Management and incentive fees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2,138,005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3,295,600</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jc w:val="left"/>
              <w:rPr/>
            </w:pPr>
            <w:r>
              <w:rPr/>
              <w:t>Related party payables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1,270,126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jc w:val="left"/>
              <w:rPr/>
            </w:pPr>
            <w:r>
              <w:rPr/>
              <w:t> </w:t>
            </w:r>
          </w:p>
        </w:tc>
        <w:tc>
          <w:tcPr>
            <w:tcW w:w="1270" w:type="dxa"/>
            <w:tcBorders/>
            <w:shd w:fill="auto" w:val="clear"/>
            <w:vAlign w:val="center"/>
          </w:tcPr>
          <w:p>
            <w:pPr>
              <w:pStyle w:val="TableContents"/>
              <w:spacing w:before="0" w:after="283"/>
              <w:jc w:val="right"/>
              <w:rPr/>
            </w:pPr>
            <w:r>
              <w:rPr/>
              <w:t>1,397,515</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jc w:val="left"/>
              <w:rPr/>
            </w:pPr>
            <w:r>
              <w:rPr/>
              <w:t>Accounts payable and other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962,153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1,058,128</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jc w:val="left"/>
              <w:rPr/>
            </w:pPr>
            <w:r>
              <w:rPr/>
              <w:t>Interest reserve</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220,064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auto" w:val="clear"/>
            <w:tcMar>
              <w:bottom w:w="28" w:type="dxa"/>
            </w:tcMar>
            <w:vAlign w:val="center"/>
          </w:tcPr>
          <w:p>
            <w:pPr>
              <w:pStyle w:val="TableContents"/>
              <w:spacing w:before="0" w:after="283"/>
              <w:jc w:val="right"/>
              <w:rPr/>
            </w:pPr>
            <w:r>
              <w:rPr/>
              <w:t>1,868,193</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jc w:val="left"/>
              <w:rPr>
                <w:b/>
              </w:rPr>
            </w:pPr>
            <w:r>
              <w:rPr>
                <w:b/>
              </w:rPr>
              <w:t>Total Liabilities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b/>
              </w:rPr>
            </w:pPr>
            <w:r>
              <w:rPr>
                <w:b/>
              </w:rPr>
              <w:t>50,758,049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CCEEFF" w:val="clear"/>
            <w:tcMar>
              <w:bottom w:w="28" w:type="dxa"/>
            </w:tcMar>
            <w:vAlign w:val="center"/>
          </w:tcPr>
          <w:p>
            <w:pPr>
              <w:pStyle w:val="TableContents"/>
              <w:spacing w:before="0" w:after="283"/>
              <w:jc w:val="right"/>
              <w:rPr>
                <w:b/>
              </w:rPr>
            </w:pPr>
            <w:r>
              <w:rPr>
                <w:b/>
              </w:rPr>
              <w:t>79,238,027</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jc w:val="left"/>
              <w:rPr>
                <w:b/>
              </w:rPr>
            </w:pPr>
            <w:r>
              <w:rPr>
                <w:b/>
              </w:rPr>
              <w:t>Commitments and contingencies (Note 8)</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0"/>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jc w:val="left"/>
              <w:rPr/>
            </w:pPr>
            <w:r>
              <w:rPr/>
              <w:t> </w:t>
            </w:r>
          </w:p>
        </w:tc>
        <w:tc>
          <w:tcPr>
            <w:tcW w:w="1270" w:type="dxa"/>
            <w:tcBorders/>
            <w:shd w:fill="auto" w:val="clear"/>
            <w:vAlign w:val="center"/>
          </w:tcPr>
          <w:p>
            <w:pPr>
              <w:pStyle w:val="TableContents"/>
              <w:spacing w:before="0" w:after="0"/>
              <w:jc w:val="right"/>
              <w:rPr/>
            </w:pPr>
            <w:r>
              <w:rPr/>
              <w:t> </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jc w:val="left"/>
              <w:rPr>
                <w:b/>
              </w:rPr>
            </w:pPr>
            <w:r>
              <w:rPr>
                <w:b/>
              </w:rPr>
              <w:t>Stockholders’ equity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jc w:val="left"/>
              <w:rPr/>
            </w:pPr>
            <w:r>
              <w:rPr/>
              <w:t> </w:t>
            </w:r>
          </w:p>
        </w:tc>
        <w:tc>
          <w:tcPr>
            <w:tcW w:w="1270" w:type="dxa"/>
            <w:tcBorders/>
            <w:shd w:fill="auto" w:val="clear"/>
            <w:vAlign w:val="center"/>
          </w:tcPr>
          <w:p>
            <w:pPr>
              <w:pStyle w:val="TableContents"/>
              <w:spacing w:before="0" w:after="283"/>
              <w:jc w:val="right"/>
              <w:rPr/>
            </w:pPr>
            <w:r>
              <w:rPr/>
              <w:t> </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jc w:val="left"/>
              <w:rPr/>
            </w:pPr>
            <w:r>
              <w:rPr/>
              <w:t>Common stock, par value $0.01 per share, 100,000,000 shares authorized and 18,088,683 and 17,766,936 shares issued and outstanding, respectively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180,887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176,859</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jc w:val="left"/>
              <w:rPr/>
            </w:pPr>
            <w:r>
              <w:rPr/>
              <w:t>Additional paid-in-capital</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274,925,072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jc w:val="left"/>
              <w:rPr/>
            </w:pPr>
            <w:r>
              <w:rPr/>
              <w:t> </w:t>
            </w:r>
          </w:p>
        </w:tc>
        <w:tc>
          <w:tcPr>
            <w:tcW w:w="1270" w:type="dxa"/>
            <w:tcBorders/>
            <w:shd w:fill="auto" w:val="clear"/>
            <w:vAlign w:val="center"/>
          </w:tcPr>
          <w:p>
            <w:pPr>
              <w:pStyle w:val="TableContents"/>
              <w:spacing w:before="0" w:after="283"/>
              <w:jc w:val="right"/>
              <w:rPr/>
            </w:pPr>
            <w:r>
              <w:rPr/>
              <w:t>268,995,848</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jc w:val="left"/>
              <w:rPr/>
            </w:pPr>
            <w:r>
              <w:rPr/>
              <w:t>Accumulated earnings (deficit)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(2,982,631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CCEEFF" w:val="clear"/>
            <w:tcMar>
              <w:bottom w:w="28" w:type="dxa"/>
            </w:tcMar>
            <w:vAlign w:val="center"/>
          </w:tcPr>
          <w:p>
            <w:pPr>
              <w:pStyle w:val="TableContents"/>
              <w:spacing w:before="0" w:after="283"/>
              <w:jc w:val="right"/>
              <w:rPr/>
            </w:pPr>
            <w:r>
              <w:rPr/>
              <w:t>(5,139,684</w:t>
            </w:r>
          </w:p>
        </w:tc>
        <w:tc>
          <w:tcPr>
            <w:tcW w:w="91" w:type="dxa"/>
            <w:tcBorders/>
            <w:shd w:fill="CCEEFF" w:val="clear"/>
            <w:vAlign w:val="center"/>
          </w:tcPr>
          <w:p>
            <w:pPr>
              <w:pStyle w:val="TableContents"/>
              <w:spacing w:before="0" w:after="283"/>
              <w:ind w:left="0" w:right="0" w:hanging="180"/>
              <w:jc w:val="left"/>
              <w:rPr/>
            </w:pPr>
            <w:r>
              <w:rPr/>
              <w:t>)</w:t>
            </w:r>
          </w:p>
        </w:tc>
      </w:tr>
      <w:tr>
        <w:trPr/>
        <w:tc>
          <w:tcPr>
            <w:tcW w:w="7124" w:type="dxa"/>
            <w:tcBorders/>
            <w:shd w:fill="auto" w:val="clear"/>
            <w:vAlign w:val="center"/>
          </w:tcPr>
          <w:p>
            <w:pPr>
              <w:pStyle w:val="TableContents"/>
              <w:spacing w:before="0" w:after="283"/>
              <w:jc w:val="left"/>
              <w:rPr>
                <w:b/>
              </w:rPr>
            </w:pPr>
            <w:r>
              <w:rPr>
                <w:b/>
              </w:rPr>
              <w:t>Total stockholders’ equity</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b/>
              </w:rPr>
            </w:pPr>
            <w:r>
              <w:rPr>
                <w:b/>
              </w:rPr>
              <w:t>272,123,328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70" w:type="dxa"/>
            <w:tcBorders>
              <w:bottom w:val="single" w:sz="12" w:space="0" w:color="000000"/>
            </w:tcBorders>
            <w:shd w:fill="auto" w:val="clear"/>
            <w:tcMar>
              <w:bottom w:w="28" w:type="dxa"/>
            </w:tcMar>
            <w:vAlign w:val="center"/>
          </w:tcPr>
          <w:p>
            <w:pPr>
              <w:pStyle w:val="TableContents"/>
              <w:spacing w:before="0" w:after="283"/>
              <w:jc w:val="right"/>
              <w:rPr>
                <w:b/>
              </w:rPr>
            </w:pPr>
            <w:r>
              <w:rPr>
                <w:b/>
              </w:rPr>
              <w:t>264,033,023</w:t>
            </w:r>
          </w:p>
        </w:tc>
        <w:tc>
          <w:tcPr>
            <w:tcW w:w="91" w:type="dxa"/>
            <w:tcBorders/>
            <w:shd w:fill="auto" w:val="clear"/>
            <w:vAlign w:val="center"/>
          </w:tcPr>
          <w:p>
            <w:pPr>
              <w:pStyle w:val="TableContents"/>
              <w:spacing w:before="0" w:after="283"/>
              <w:ind w:left="0" w:right="0" w:hanging="180"/>
              <w:jc w:val="left"/>
              <w:rPr/>
            </w:pPr>
            <w:r>
              <w:rPr/>
              <w:t> </w:t>
            </w:r>
          </w:p>
        </w:tc>
      </w:tr>
      <w:tr>
        <w:trPr/>
        <w:tc>
          <w:tcPr>
            <w:tcW w:w="71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 </w:t>
            </w:r>
          </w:p>
        </w:tc>
        <w:tc>
          <w:tcPr>
            <w:tcW w:w="1270"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ind w:left="0" w:right="0" w:hanging="180"/>
              <w:jc w:val="left"/>
              <w:rPr/>
            </w:pPr>
            <w:r>
              <w:rPr/>
              <w:t> </w:t>
            </w:r>
          </w:p>
        </w:tc>
      </w:tr>
      <w:tr>
        <w:trPr/>
        <w:tc>
          <w:tcPr>
            <w:tcW w:w="7124" w:type="dxa"/>
            <w:tcBorders/>
            <w:shd w:fill="auto" w:val="clear"/>
            <w:vAlign w:val="center"/>
          </w:tcPr>
          <w:p>
            <w:pPr>
              <w:pStyle w:val="TableContents"/>
              <w:spacing w:before="0" w:after="283"/>
              <w:jc w:val="left"/>
              <w:rPr>
                <w:b/>
              </w:rPr>
            </w:pPr>
            <w:r>
              <w:rPr>
                <w:b/>
              </w:rPr>
              <w:t>Total liabilities and stockholders’ equity</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pPr>
            <w:r>
              <w:rPr/>
              <w:t>322,881,377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70" w:type="dxa"/>
            <w:tcBorders>
              <w:bottom w:val="double" w:sz="10" w:space="0" w:color="000000"/>
            </w:tcBorders>
            <w:shd w:fill="auto" w:val="clear"/>
            <w:tcMar>
              <w:bottom w:w="28" w:type="dxa"/>
            </w:tcMar>
            <w:vAlign w:val="center"/>
          </w:tcPr>
          <w:p>
            <w:pPr>
              <w:pStyle w:val="TableContents"/>
              <w:spacing w:before="0" w:after="283"/>
              <w:jc w:val="right"/>
              <w:rPr/>
            </w:pPr>
            <w:r>
              <w:rPr/>
              <w:t>343,271,050</w:t>
            </w:r>
          </w:p>
        </w:tc>
        <w:tc>
          <w:tcPr>
            <w:tcW w:w="91" w:type="dxa"/>
            <w:tcBorders/>
            <w:shd w:fill="auto" w:val="clear"/>
            <w:vAlign w:val="center"/>
          </w:tcPr>
          <w:p>
            <w:pPr>
              <w:pStyle w:val="TableContents"/>
              <w:spacing w:before="0" w:after="283"/>
              <w:jc w:val="left"/>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CHICAGO ATLANTIC REAL ESTATE FINANCE, INC.</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9160" w:type="dxa"/>
        <w:jc w:val="left"/>
        <w:tblInd w:w="0" w:type="dxa"/>
        <w:tblCellMar>
          <w:top w:w="0" w:type="dxa"/>
          <w:left w:w="0" w:type="dxa"/>
          <w:bottom w:w="0" w:type="dxa"/>
          <w:right w:w="0" w:type="dxa"/>
        </w:tblCellMar>
      </w:tblPr>
      <w:tblGrid>
        <w:gridCol w:w="5960"/>
        <w:gridCol w:w="60"/>
        <w:gridCol w:w="152"/>
        <w:gridCol w:w="1203"/>
        <w:gridCol w:w="95"/>
        <w:gridCol w:w="60"/>
        <w:gridCol w:w="152"/>
        <w:gridCol w:w="1203"/>
        <w:gridCol w:w="275"/>
      </w:tblGrid>
      <w:tr>
        <w:trPr/>
        <w:tc>
          <w:tcPr>
            <w:tcW w:w="5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b/>
              </w:rPr>
            </w:pPr>
            <w:r>
              <w:rPr>
                <w:b/>
              </w:rPr>
              <w:t>For the</w:t>
              <w:br/>
              <w:t>three months</w:t>
              <w:br/>
              <w:t>ended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b/>
              </w:rPr>
            </w:pPr>
            <w:r>
              <w:rPr>
                <w:b/>
              </w:rPr>
              <w:t>For the</w:t>
              <w:br/>
              <w:t>three months</w:t>
              <w:br/>
              <w:t>ended</w:t>
            </w:r>
          </w:p>
        </w:tc>
        <w:tc>
          <w:tcPr>
            <w:tcW w:w="275" w:type="dxa"/>
            <w:tcBorders/>
            <w:shd w:fill="auto"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2022</w:t>
            </w:r>
          </w:p>
        </w:tc>
        <w:tc>
          <w:tcPr>
            <w:tcW w:w="275" w:type="dxa"/>
            <w:tcBorders/>
            <w:shd w:fill="auto"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283"/>
              <w:rPr>
                <w:b/>
              </w:rPr>
            </w:pPr>
            <w:r>
              <w:rPr>
                <w:b/>
              </w:rPr>
              <w:t>Revenues</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ind w:left="0" w:right="0" w:firstLine="200"/>
              <w:rPr/>
            </w:pPr>
            <w:r>
              <w:rPr/>
              <w:t> </w:t>
            </w:r>
          </w:p>
        </w:tc>
      </w:tr>
      <w:tr>
        <w:trPr/>
        <w:tc>
          <w:tcPr>
            <w:tcW w:w="5960" w:type="dxa"/>
            <w:tcBorders/>
            <w:shd w:fill="CCEEFF" w:val="clear"/>
            <w:vAlign w:val="center"/>
          </w:tcPr>
          <w:p>
            <w:pPr>
              <w:pStyle w:val="TableContents"/>
              <w:spacing w:before="0" w:after="283"/>
              <w:jc w:val="left"/>
              <w:rPr/>
            </w:pPr>
            <w:r>
              <w:rPr/>
              <w:t>Interest income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w:t>
            </w:r>
          </w:p>
        </w:tc>
        <w:tc>
          <w:tcPr>
            <w:tcW w:w="1203" w:type="dxa"/>
            <w:tcBorders/>
            <w:shd w:fill="CCEEFF" w:val="clear"/>
            <w:vAlign w:val="center"/>
          </w:tcPr>
          <w:p>
            <w:pPr>
              <w:pStyle w:val="TableContents"/>
              <w:spacing w:before="0" w:after="283"/>
              <w:jc w:val="right"/>
              <w:rPr/>
            </w:pPr>
            <w:r>
              <w:rPr/>
              <w:t>16,527,304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w:t>
            </w:r>
          </w:p>
        </w:tc>
        <w:tc>
          <w:tcPr>
            <w:tcW w:w="1203" w:type="dxa"/>
            <w:tcBorders/>
            <w:shd w:fill="CCEEFF" w:val="clear"/>
            <w:vAlign w:val="center"/>
          </w:tcPr>
          <w:p>
            <w:pPr>
              <w:pStyle w:val="TableContents"/>
              <w:spacing w:before="0" w:after="283"/>
              <w:jc w:val="right"/>
              <w:rPr/>
            </w:pPr>
            <w:r>
              <w:rPr/>
              <w:t>9,833,053</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5960" w:type="dxa"/>
            <w:tcBorders/>
            <w:shd w:fill="auto" w:val="clear"/>
            <w:vAlign w:val="center"/>
          </w:tcPr>
          <w:p>
            <w:pPr>
              <w:pStyle w:val="TableContents"/>
              <w:spacing w:before="0" w:after="283"/>
              <w:jc w:val="left"/>
              <w:rPr/>
            </w:pPr>
            <w:r>
              <w:rPr/>
              <w:t>Interest expense</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(1,618,296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(72,268</w:t>
            </w:r>
          </w:p>
        </w:tc>
        <w:tc>
          <w:tcPr>
            <w:tcW w:w="275" w:type="dxa"/>
            <w:tcBorders/>
            <w:shd w:fill="auto" w:val="clear"/>
            <w:vAlign w:val="center"/>
          </w:tcPr>
          <w:p>
            <w:pPr>
              <w:pStyle w:val="TableContents"/>
              <w:spacing w:before="0" w:after="283"/>
              <w:jc w:val="left"/>
              <w:rPr/>
            </w:pPr>
            <w:r>
              <w:rPr/>
              <w:t>)</w:t>
            </w:r>
          </w:p>
        </w:tc>
      </w:tr>
      <w:tr>
        <w:trPr/>
        <w:tc>
          <w:tcPr>
            <w:tcW w:w="5960" w:type="dxa"/>
            <w:tcBorders/>
            <w:shd w:fill="CCEEFF" w:val="clear"/>
            <w:vAlign w:val="center"/>
          </w:tcPr>
          <w:p>
            <w:pPr>
              <w:pStyle w:val="TableContents"/>
              <w:spacing w:before="0" w:after="283"/>
              <w:jc w:val="left"/>
              <w:rPr>
                <w:b/>
              </w:rPr>
            </w:pPr>
            <w:r>
              <w:rPr>
                <w:b/>
              </w:rPr>
              <w:t>Net interest income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14,909,008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9,760,785</w:t>
            </w:r>
          </w:p>
        </w:tc>
        <w:tc>
          <w:tcPr>
            <w:tcW w:w="275" w:type="dxa"/>
            <w:tcBorders/>
            <w:shd w:fill="CCEEFF" w:val="clear"/>
            <w:vAlign w:val="center"/>
          </w:tcPr>
          <w:p>
            <w:pPr>
              <w:pStyle w:val="TableContents"/>
              <w:spacing w:before="0" w:after="283"/>
              <w:jc w:val="left"/>
              <w:rPr/>
            </w:pPr>
            <w:r>
              <w:rPr/>
              <w:t> </w:t>
            </w:r>
          </w:p>
        </w:tc>
      </w:tr>
      <w:tr>
        <w:trPr/>
        <w:tc>
          <w:tcPr>
            <w:tcW w:w="5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jc w:val="left"/>
              <w:rPr/>
            </w:pPr>
            <w:r>
              <w:rPr/>
              <w:t> </w:t>
            </w:r>
          </w:p>
        </w:tc>
      </w:tr>
      <w:tr>
        <w:trPr/>
        <w:tc>
          <w:tcPr>
            <w:tcW w:w="5960" w:type="dxa"/>
            <w:tcBorders/>
            <w:shd w:fill="CCEEFF" w:val="clear"/>
            <w:vAlign w:val="center"/>
          </w:tcPr>
          <w:p>
            <w:pPr>
              <w:pStyle w:val="TableContents"/>
              <w:spacing w:before="0" w:after="283"/>
              <w:rPr>
                <w:b/>
              </w:rPr>
            </w:pPr>
            <w:r>
              <w:rPr>
                <w:b/>
              </w:rPr>
              <w:t>Expenses</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5960" w:type="dxa"/>
            <w:tcBorders/>
            <w:shd w:fill="auto" w:val="clear"/>
            <w:vAlign w:val="center"/>
          </w:tcPr>
          <w:p>
            <w:pPr>
              <w:pStyle w:val="TableContents"/>
              <w:spacing w:before="0" w:after="283"/>
              <w:jc w:val="left"/>
              <w:rPr/>
            </w:pPr>
            <w:r>
              <w:rPr/>
              <w:t>Management and incentive fees, net</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2,138,005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671,505</w:t>
            </w:r>
          </w:p>
        </w:tc>
        <w:tc>
          <w:tcPr>
            <w:tcW w:w="275" w:type="dxa"/>
            <w:tcBorders/>
            <w:shd w:fill="auto" w:val="clear"/>
            <w:vAlign w:val="center"/>
          </w:tcPr>
          <w:p>
            <w:pPr>
              <w:pStyle w:val="TableContents"/>
              <w:spacing w:before="0" w:after="283"/>
              <w:ind w:left="0" w:right="0" w:firstLine="200"/>
              <w:jc w:val="left"/>
              <w:rPr/>
            </w:pPr>
            <w:r>
              <w:rPr/>
              <w:t> </w:t>
            </w:r>
          </w:p>
        </w:tc>
      </w:tr>
      <w:tr>
        <w:trPr/>
        <w:tc>
          <w:tcPr>
            <w:tcW w:w="5960" w:type="dxa"/>
            <w:tcBorders/>
            <w:shd w:fill="CCEEFF" w:val="clear"/>
            <w:vAlign w:val="center"/>
          </w:tcPr>
          <w:p>
            <w:pPr>
              <w:pStyle w:val="TableContents"/>
              <w:spacing w:before="0" w:after="283"/>
              <w:jc w:val="left"/>
              <w:rPr/>
            </w:pPr>
            <w:r>
              <w:rPr/>
              <w:t>General and administrative expense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1,274,825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556,141</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5960" w:type="dxa"/>
            <w:tcBorders/>
            <w:shd w:fill="auto" w:val="clear"/>
            <w:vAlign w:val="center"/>
          </w:tcPr>
          <w:p>
            <w:pPr>
              <w:pStyle w:val="TableContents"/>
              <w:spacing w:before="0" w:after="283"/>
              <w:jc w:val="left"/>
              <w:rPr/>
            </w:pPr>
            <w:r>
              <w:rPr/>
              <w:t>Professional fees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569,375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556,904</w:t>
            </w:r>
          </w:p>
        </w:tc>
        <w:tc>
          <w:tcPr>
            <w:tcW w:w="275" w:type="dxa"/>
            <w:tcBorders/>
            <w:shd w:fill="auto" w:val="clear"/>
            <w:vAlign w:val="center"/>
          </w:tcPr>
          <w:p>
            <w:pPr>
              <w:pStyle w:val="TableContents"/>
              <w:spacing w:before="0" w:after="283"/>
              <w:ind w:left="0" w:right="0" w:firstLine="200"/>
              <w:jc w:val="left"/>
              <w:rPr/>
            </w:pPr>
            <w:r>
              <w:rPr/>
              <w:t> </w:t>
            </w:r>
          </w:p>
        </w:tc>
      </w:tr>
      <w:tr>
        <w:trPr/>
        <w:tc>
          <w:tcPr>
            <w:tcW w:w="5960" w:type="dxa"/>
            <w:tcBorders/>
            <w:shd w:fill="CCEEFF" w:val="clear"/>
            <w:vAlign w:val="center"/>
          </w:tcPr>
          <w:p>
            <w:pPr>
              <w:pStyle w:val="TableContents"/>
              <w:spacing w:before="0" w:after="283"/>
              <w:jc w:val="left"/>
              <w:rPr/>
            </w:pPr>
            <w:r>
              <w:rPr/>
              <w:t>Stock based compensation</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138,335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120,940</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5960" w:type="dxa"/>
            <w:tcBorders/>
            <w:shd w:fill="auto" w:val="clear"/>
            <w:vAlign w:val="center"/>
          </w:tcPr>
          <w:p>
            <w:pPr>
              <w:pStyle w:val="TableContents"/>
              <w:spacing w:before="0" w:after="283"/>
              <w:jc w:val="left"/>
              <w:rPr/>
            </w:pPr>
            <w:r>
              <w:rPr/>
              <w:t>Provision for current expected credit losses</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96,119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51,343</w:t>
            </w:r>
          </w:p>
        </w:tc>
        <w:tc>
          <w:tcPr>
            <w:tcW w:w="275" w:type="dxa"/>
            <w:tcBorders/>
            <w:shd w:fill="auto" w:val="clear"/>
            <w:vAlign w:val="center"/>
          </w:tcPr>
          <w:p>
            <w:pPr>
              <w:pStyle w:val="TableContents"/>
              <w:spacing w:before="0" w:after="283"/>
              <w:jc w:val="left"/>
              <w:rPr/>
            </w:pPr>
            <w:r>
              <w:rPr/>
              <w:t> </w:t>
            </w:r>
          </w:p>
        </w:tc>
      </w:tr>
      <w:tr>
        <w:trPr/>
        <w:tc>
          <w:tcPr>
            <w:tcW w:w="5960" w:type="dxa"/>
            <w:tcBorders/>
            <w:shd w:fill="CCEEFF" w:val="clear"/>
            <w:vAlign w:val="center"/>
          </w:tcPr>
          <w:p>
            <w:pPr>
              <w:pStyle w:val="TableContents"/>
              <w:spacing w:before="0" w:after="283"/>
              <w:jc w:val="left"/>
              <w:rPr>
                <w:b/>
              </w:rPr>
            </w:pPr>
            <w:r>
              <w:rPr>
                <w:b/>
              </w:rPr>
              <w:t>Total expenses</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pPr>
            <w:r>
              <w:rPr/>
              <w:t>4,216,659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pPr>
            <w:r>
              <w:rPr/>
              <w:t>1,956,833</w:t>
            </w:r>
          </w:p>
        </w:tc>
        <w:tc>
          <w:tcPr>
            <w:tcW w:w="275" w:type="dxa"/>
            <w:tcBorders/>
            <w:shd w:fill="CCEEFF" w:val="clear"/>
            <w:vAlign w:val="center"/>
          </w:tcPr>
          <w:p>
            <w:pPr>
              <w:pStyle w:val="TableContents"/>
              <w:spacing w:before="0" w:after="283"/>
              <w:jc w:val="left"/>
              <w:rPr/>
            </w:pPr>
            <w:r>
              <w:rPr/>
              <w:t> </w:t>
            </w:r>
          </w:p>
        </w:tc>
      </w:tr>
      <w:tr>
        <w:trPr/>
        <w:tc>
          <w:tcPr>
            <w:tcW w:w="5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jc w:val="left"/>
              <w:rPr/>
            </w:pPr>
            <w:r>
              <w:rPr/>
              <w:t> </w:t>
            </w:r>
          </w:p>
        </w:tc>
      </w:tr>
      <w:tr>
        <w:trPr/>
        <w:tc>
          <w:tcPr>
            <w:tcW w:w="5960" w:type="dxa"/>
            <w:tcBorders/>
            <w:shd w:fill="CCEEFF" w:val="clear"/>
            <w:vAlign w:val="center"/>
          </w:tcPr>
          <w:p>
            <w:pPr>
              <w:pStyle w:val="TableContents"/>
              <w:spacing w:before="0" w:after="283"/>
              <w:jc w:val="left"/>
              <w:rPr>
                <w:b/>
              </w:rPr>
            </w:pPr>
            <w:r>
              <w:rPr>
                <w:b/>
              </w:rPr>
              <w:t>Net Income before income taxes</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b/>
              </w:rPr>
            </w:pPr>
            <w:r>
              <w:rPr>
                <w:b/>
              </w:rPr>
              <w:t>10,692,349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b/>
              </w:rPr>
            </w:pPr>
            <w:r>
              <w:rPr>
                <w:b/>
              </w:rPr>
              <w:t>7,803,952</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5960" w:type="dxa"/>
            <w:tcBorders/>
            <w:shd w:fill="auto" w:val="clear"/>
            <w:vAlign w:val="center"/>
          </w:tcPr>
          <w:p>
            <w:pPr>
              <w:pStyle w:val="TableContents"/>
              <w:spacing w:before="0" w:after="283"/>
              <w:jc w:val="left"/>
              <w:rPr/>
            </w:pPr>
            <w:r>
              <w:rPr/>
              <w:t>Income tax expense</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275" w:type="dxa"/>
            <w:tcBorders/>
            <w:shd w:fill="auto" w:val="clear"/>
            <w:vAlign w:val="center"/>
          </w:tcPr>
          <w:p>
            <w:pPr>
              <w:pStyle w:val="TableContents"/>
              <w:spacing w:before="0" w:after="283"/>
              <w:jc w:val="left"/>
              <w:rPr/>
            </w:pPr>
            <w:r>
              <w:rPr/>
              <w:t> </w:t>
            </w:r>
          </w:p>
        </w:tc>
      </w:tr>
      <w:tr>
        <w:trPr/>
        <w:tc>
          <w:tcPr>
            <w:tcW w:w="5960" w:type="dxa"/>
            <w:tcBorders/>
            <w:shd w:fill="CCEEFF" w:val="clear"/>
            <w:vAlign w:val="center"/>
          </w:tcPr>
          <w:p>
            <w:pPr>
              <w:pStyle w:val="TableContents"/>
              <w:spacing w:before="0" w:after="283"/>
              <w:jc w:val="left"/>
              <w:rPr>
                <w:b/>
              </w:rPr>
            </w:pPr>
            <w:r>
              <w:rPr>
                <w:b/>
              </w:rPr>
              <w:t>Net Income</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b/>
              </w:rPr>
            </w:pPr>
            <w:r>
              <w:rPr>
                <w:b/>
              </w:rPr>
              <w:t>$</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b/>
              </w:rPr>
            </w:pPr>
            <w:r>
              <w:rPr>
                <w:b/>
              </w:rPr>
              <w:t>10,692,349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b/>
              </w:rPr>
            </w:pPr>
            <w:r>
              <w:rPr>
                <w:b/>
              </w:rPr>
              <w:t>$</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b/>
              </w:rPr>
            </w:pPr>
            <w:r>
              <w:rPr>
                <w:b/>
              </w:rPr>
              <w:t>7,803,952</w:t>
            </w:r>
          </w:p>
        </w:tc>
        <w:tc>
          <w:tcPr>
            <w:tcW w:w="275" w:type="dxa"/>
            <w:tcBorders/>
            <w:shd w:fill="CCEEFF" w:val="clear"/>
            <w:vAlign w:val="center"/>
          </w:tcPr>
          <w:p>
            <w:pPr>
              <w:pStyle w:val="TableContents"/>
              <w:spacing w:before="0" w:after="283"/>
              <w:jc w:val="left"/>
              <w:rPr/>
            </w:pPr>
            <w:r>
              <w:rPr/>
              <w:t> </w:t>
            </w:r>
          </w:p>
        </w:tc>
      </w:tr>
      <w:tr>
        <w:trPr/>
        <w:tc>
          <w:tcPr>
            <w:tcW w:w="5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jc w:val="left"/>
              <w:rPr/>
            </w:pPr>
            <w:r>
              <w:rPr/>
              <w:t> </w:t>
            </w:r>
          </w:p>
        </w:tc>
      </w:tr>
      <w:tr>
        <w:trPr/>
        <w:tc>
          <w:tcPr>
            <w:tcW w:w="5960" w:type="dxa"/>
            <w:tcBorders/>
            <w:shd w:fill="CCEEFF" w:val="clear"/>
            <w:vAlign w:val="center"/>
          </w:tcPr>
          <w:p>
            <w:pPr>
              <w:pStyle w:val="TableContents"/>
              <w:spacing w:before="0" w:after="283"/>
              <w:rPr>
                <w:b/>
              </w:rPr>
            </w:pPr>
            <w:r>
              <w:rPr>
                <w:b/>
              </w:rPr>
              <w:t>Earnings per common share: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5960" w:type="dxa"/>
            <w:tcBorders/>
            <w:shd w:fill="auto" w:val="clear"/>
            <w:vAlign w:val="center"/>
          </w:tcPr>
          <w:p>
            <w:pPr>
              <w:pStyle w:val="TableContents"/>
              <w:spacing w:before="0" w:after="283"/>
              <w:rPr/>
            </w:pPr>
            <w:r>
              <w:rPr/>
              <w:t>Basic earnings per common share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w:t>
            </w:r>
          </w:p>
        </w:tc>
        <w:tc>
          <w:tcPr>
            <w:tcW w:w="1203" w:type="dxa"/>
            <w:tcBorders/>
            <w:shd w:fill="auto" w:val="clear"/>
            <w:vAlign w:val="center"/>
          </w:tcPr>
          <w:p>
            <w:pPr>
              <w:pStyle w:val="TableContents"/>
              <w:spacing w:before="0" w:after="283"/>
              <w:jc w:val="right"/>
              <w:rPr/>
            </w:pPr>
            <w:r>
              <w:rPr/>
              <w:t>0.60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w:t>
            </w:r>
          </w:p>
        </w:tc>
        <w:tc>
          <w:tcPr>
            <w:tcW w:w="1203" w:type="dxa"/>
            <w:tcBorders/>
            <w:shd w:fill="auto" w:val="clear"/>
            <w:vAlign w:val="center"/>
          </w:tcPr>
          <w:p>
            <w:pPr>
              <w:pStyle w:val="TableContents"/>
              <w:spacing w:before="0" w:after="283"/>
              <w:jc w:val="right"/>
              <w:rPr/>
            </w:pPr>
            <w:r>
              <w:rPr/>
              <w:t>0.44</w:t>
            </w:r>
          </w:p>
        </w:tc>
        <w:tc>
          <w:tcPr>
            <w:tcW w:w="275" w:type="dxa"/>
            <w:tcBorders/>
            <w:shd w:fill="auto" w:val="clear"/>
            <w:vAlign w:val="center"/>
          </w:tcPr>
          <w:p>
            <w:pPr>
              <w:pStyle w:val="TableContents"/>
              <w:spacing w:before="0" w:after="283"/>
              <w:ind w:left="0" w:right="0" w:firstLine="200"/>
              <w:jc w:val="left"/>
              <w:rPr/>
            </w:pPr>
            <w:r>
              <w:rPr/>
              <w:t> </w:t>
            </w:r>
          </w:p>
        </w:tc>
      </w:tr>
      <w:tr>
        <w:trPr/>
        <w:tc>
          <w:tcPr>
            <w:tcW w:w="5960" w:type="dxa"/>
            <w:tcBorders/>
            <w:shd w:fill="CCEEFF" w:val="clear"/>
            <w:vAlign w:val="center"/>
          </w:tcPr>
          <w:p>
            <w:pPr>
              <w:pStyle w:val="TableContents"/>
              <w:spacing w:before="0" w:after="283"/>
              <w:rPr/>
            </w:pPr>
            <w:r>
              <w:rPr/>
              <w:t>Diluted earnings per common share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w:t>
            </w:r>
          </w:p>
        </w:tc>
        <w:tc>
          <w:tcPr>
            <w:tcW w:w="1203" w:type="dxa"/>
            <w:tcBorders/>
            <w:shd w:fill="CCEEFF" w:val="clear"/>
            <w:vAlign w:val="center"/>
          </w:tcPr>
          <w:p>
            <w:pPr>
              <w:pStyle w:val="TableContents"/>
              <w:spacing w:before="0" w:after="283"/>
              <w:jc w:val="right"/>
              <w:rPr/>
            </w:pPr>
            <w:r>
              <w:rPr/>
              <w:t>0.60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w:t>
            </w:r>
          </w:p>
        </w:tc>
        <w:tc>
          <w:tcPr>
            <w:tcW w:w="1203" w:type="dxa"/>
            <w:tcBorders/>
            <w:shd w:fill="CCEEFF" w:val="clear"/>
            <w:vAlign w:val="center"/>
          </w:tcPr>
          <w:p>
            <w:pPr>
              <w:pStyle w:val="TableContents"/>
              <w:spacing w:before="0" w:after="283"/>
              <w:jc w:val="right"/>
              <w:rPr/>
            </w:pPr>
            <w:r>
              <w:rPr/>
              <w:t>0.44</w:t>
            </w:r>
          </w:p>
        </w:tc>
        <w:tc>
          <w:tcPr>
            <w:tcW w:w="275" w:type="dxa"/>
            <w:tcBorders/>
            <w:shd w:fill="CCEEFF" w:val="clear"/>
            <w:vAlign w:val="center"/>
          </w:tcPr>
          <w:p>
            <w:pPr>
              <w:pStyle w:val="TableContents"/>
              <w:spacing w:before="0" w:after="283"/>
              <w:jc w:val="left"/>
              <w:rPr/>
            </w:pPr>
            <w:r>
              <w:rPr/>
              <w:t> </w:t>
            </w:r>
          </w:p>
        </w:tc>
      </w:tr>
      <w:tr>
        <w:trPr/>
        <w:tc>
          <w:tcPr>
            <w:tcW w:w="5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jc w:val="left"/>
              <w:rPr/>
            </w:pPr>
            <w:r>
              <w:rPr/>
              <w:t> </w:t>
            </w:r>
          </w:p>
        </w:tc>
      </w:tr>
      <w:tr>
        <w:trPr/>
        <w:tc>
          <w:tcPr>
            <w:tcW w:w="5960" w:type="dxa"/>
            <w:tcBorders/>
            <w:shd w:fill="CCEEFF" w:val="clear"/>
            <w:vAlign w:val="center"/>
          </w:tcPr>
          <w:p>
            <w:pPr>
              <w:pStyle w:val="TableContents"/>
              <w:spacing w:before="0" w:after="283"/>
              <w:rPr>
                <w:b/>
              </w:rPr>
            </w:pPr>
            <w:r>
              <w:rPr>
                <w:b/>
              </w:rPr>
              <w:t>Weighted average number of common shares outstanding:</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5960" w:type="dxa"/>
            <w:tcBorders/>
            <w:shd w:fill="auto" w:val="clear"/>
            <w:vAlign w:val="center"/>
          </w:tcPr>
          <w:p>
            <w:pPr>
              <w:pStyle w:val="TableContents"/>
              <w:spacing w:before="0" w:after="283"/>
              <w:rPr/>
            </w:pPr>
            <w:r>
              <w:rPr/>
              <w:t>Basic weighted average shares of common stock outstanding</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17,879,444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17,641,090</w:t>
            </w:r>
          </w:p>
        </w:tc>
        <w:tc>
          <w:tcPr>
            <w:tcW w:w="275" w:type="dxa"/>
            <w:tcBorders/>
            <w:shd w:fill="auto" w:val="clear"/>
            <w:vAlign w:val="center"/>
          </w:tcPr>
          <w:p>
            <w:pPr>
              <w:pStyle w:val="TableContents"/>
              <w:spacing w:before="0" w:after="283"/>
              <w:jc w:val="left"/>
              <w:rPr/>
            </w:pPr>
            <w:r>
              <w:rPr/>
              <w:t> </w:t>
            </w:r>
          </w:p>
        </w:tc>
      </w:tr>
      <w:tr>
        <w:trPr/>
        <w:tc>
          <w:tcPr>
            <w:tcW w:w="5960" w:type="dxa"/>
            <w:tcBorders/>
            <w:shd w:fill="CCEEFF" w:val="clear"/>
            <w:vAlign w:val="center"/>
          </w:tcPr>
          <w:p>
            <w:pPr>
              <w:pStyle w:val="TableContents"/>
              <w:spacing w:before="0" w:after="283"/>
              <w:rPr/>
            </w:pPr>
            <w:r>
              <w:rPr/>
              <w:t>Diluted weighted average shares of common stock outstanding</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17,960,103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17,737,975</w:t>
            </w:r>
          </w:p>
        </w:tc>
        <w:tc>
          <w:tcPr>
            <w:tcW w:w="2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CHICAGO ATLANTIC REAL ESTATE FINANCE, INC.</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EQUITY</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237"/>
        <w:gridCol w:w="60"/>
        <w:gridCol w:w="60"/>
        <w:gridCol w:w="1100"/>
        <w:gridCol w:w="95"/>
        <w:gridCol w:w="60"/>
        <w:gridCol w:w="140"/>
        <w:gridCol w:w="800"/>
        <w:gridCol w:w="60"/>
        <w:gridCol w:w="60"/>
        <w:gridCol w:w="140"/>
        <w:gridCol w:w="1220"/>
        <w:gridCol w:w="60"/>
        <w:gridCol w:w="60"/>
        <w:gridCol w:w="154"/>
        <w:gridCol w:w="1216"/>
        <w:gridCol w:w="95"/>
        <w:gridCol w:w="60"/>
        <w:gridCol w:w="148"/>
        <w:gridCol w:w="1298"/>
        <w:gridCol w:w="82"/>
      </w:tblGrid>
      <w:tr>
        <w:trPr/>
        <w:tc>
          <w:tcPr>
            <w:tcW w:w="3237"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2255"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center"/>
              <w:rPr>
                <w:b/>
              </w:rPr>
            </w:pPr>
            <w:r>
              <w:rPr>
                <w:b/>
              </w:rPr>
              <w:t>Additional</w:t>
              <w:br/>
              <w:t>Paid-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shd w:fill="auto" w:val="clear"/>
            <w:vAlign w:val="center"/>
          </w:tcPr>
          <w:p>
            <w:pPr>
              <w:pStyle w:val="TableContents"/>
              <w:spacing w:before="0" w:after="283"/>
              <w:jc w:val="center"/>
              <w:rPr>
                <w:b/>
              </w:rPr>
            </w:pPr>
            <w:r>
              <w:rPr>
                <w:b/>
              </w:rPr>
              <w:t>Accumulated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6" w:type="dxa"/>
            <w:gridSpan w:val="2"/>
            <w:tcBorders/>
            <w:shd w:fill="auto" w:val="clear"/>
            <w:vAlign w:val="center"/>
          </w:tcPr>
          <w:p>
            <w:pPr>
              <w:pStyle w:val="TableContents"/>
              <w:spacing w:before="0" w:after="283"/>
              <w:jc w:val="center"/>
              <w:rPr>
                <w:b/>
              </w:rPr>
            </w:pPr>
            <w:r>
              <w:rPr>
                <w:b/>
              </w:rPr>
              <w:t>Total Stockholders’</w:t>
            </w:r>
          </w:p>
        </w:tc>
        <w:tc>
          <w:tcPr>
            <w:tcW w:w="82" w:type="dxa"/>
            <w:tcBorders/>
            <w:shd w:fill="auto" w:val="clear"/>
            <w:vAlign w:val="center"/>
          </w:tcPr>
          <w:p>
            <w:pPr>
              <w:pStyle w:val="TableContents"/>
              <w:spacing w:before="0" w:after="283"/>
              <w:rPr/>
            </w:pPr>
            <w:r>
              <w:rPr/>
              <w:t> </w:t>
            </w:r>
          </w:p>
        </w:tc>
      </w:tr>
      <w:tr>
        <w:trPr/>
        <w:tc>
          <w:tcPr>
            <w:tcW w:w="3237"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Shares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In-Capital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Earnings</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Equity</w:t>
            </w:r>
          </w:p>
        </w:tc>
        <w:tc>
          <w:tcPr>
            <w:tcW w:w="82" w:type="dxa"/>
            <w:tcBorders/>
            <w:shd w:fill="auto" w:val="clear"/>
            <w:vAlign w:val="center"/>
          </w:tcPr>
          <w:p>
            <w:pPr>
              <w:pStyle w:val="TableContents"/>
              <w:spacing w:before="0" w:after="283"/>
              <w:ind w:left="0" w:right="0" w:hanging="180"/>
              <w:rPr/>
            </w:pPr>
            <w:r>
              <w:rPr/>
              <w:t> </w:t>
            </w:r>
          </w:p>
        </w:tc>
      </w:tr>
      <w:tr>
        <w:trPr/>
        <w:tc>
          <w:tcPr>
            <w:tcW w:w="3237" w:type="dxa"/>
            <w:tcBorders/>
            <w:shd w:fill="CCEEFF" w:val="clear"/>
            <w:vAlign w:val="center"/>
          </w:tcPr>
          <w:p>
            <w:pPr>
              <w:pStyle w:val="TableContents"/>
              <w:spacing w:before="0" w:after="283"/>
              <w:rPr>
                <w:b/>
              </w:rPr>
            </w:pPr>
            <w:r>
              <w:rPr>
                <w:b/>
              </w:rPr>
              <w:t>Balance at January 1, 2023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17,766,936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176,859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268,995,848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w:t>
            </w:r>
          </w:p>
        </w:tc>
        <w:tc>
          <w:tcPr>
            <w:tcW w:w="1216" w:type="dxa"/>
            <w:tcBorders/>
            <w:shd w:fill="CCEEFF" w:val="clear"/>
            <w:vAlign w:val="center"/>
          </w:tcPr>
          <w:p>
            <w:pPr>
              <w:pStyle w:val="TableContents"/>
              <w:spacing w:before="0" w:after="283"/>
              <w:jc w:val="right"/>
              <w:rPr/>
            </w:pPr>
            <w:r>
              <w:rPr/>
              <w:t>(5,139,684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jc w:val="left"/>
              <w:rPr/>
            </w:pPr>
            <w:r>
              <w:rPr/>
              <w:t>$</w:t>
            </w:r>
          </w:p>
        </w:tc>
        <w:tc>
          <w:tcPr>
            <w:tcW w:w="1298" w:type="dxa"/>
            <w:tcBorders/>
            <w:shd w:fill="CCEEFF" w:val="clear"/>
            <w:vAlign w:val="center"/>
          </w:tcPr>
          <w:p>
            <w:pPr>
              <w:pStyle w:val="TableContents"/>
              <w:spacing w:before="0" w:after="283"/>
              <w:jc w:val="right"/>
              <w:rPr/>
            </w:pPr>
            <w:r>
              <w:rPr/>
              <w:t>264,033,023</w:t>
            </w:r>
          </w:p>
        </w:tc>
        <w:tc>
          <w:tcPr>
            <w:tcW w:w="82" w:type="dxa"/>
            <w:tcBorders/>
            <w:shd w:fill="CCEEFF" w:val="clear"/>
            <w:vAlign w:val="center"/>
          </w:tcPr>
          <w:p>
            <w:pPr>
              <w:pStyle w:val="TableContents"/>
              <w:spacing w:before="0" w:after="283"/>
              <w:ind w:left="0" w:right="0" w:hanging="180"/>
              <w:jc w:val="left"/>
              <w:rPr/>
            </w:pPr>
            <w:r>
              <w:rPr/>
              <w:t> </w:t>
            </w:r>
          </w:p>
        </w:tc>
      </w:tr>
      <w:tr>
        <w:trPr/>
        <w:tc>
          <w:tcPr>
            <w:tcW w:w="3237" w:type="dxa"/>
            <w:tcBorders/>
            <w:shd w:fill="auto" w:val="clear"/>
            <w:vAlign w:val="center"/>
          </w:tcPr>
          <w:p>
            <w:pPr>
              <w:pStyle w:val="TableContents"/>
              <w:spacing w:before="0" w:after="283"/>
              <w:jc w:val="left"/>
              <w:rPr/>
            </w:pPr>
            <w:r>
              <w:rPr/>
              <w:t>Issuance of common stock in connection with initial public offering and concurrent private placement, net of offering costs, underwriting discounts and commissions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395,779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283"/>
              <w:jc w:val="right"/>
              <w:rPr/>
            </w:pPr>
            <w:r>
              <w:rPr/>
              <w:t>3,958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5,790,889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1216"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jc w:val="left"/>
              <w:rPr/>
            </w:pPr>
            <w:r>
              <w:rPr/>
              <w:t>$</w:t>
            </w:r>
          </w:p>
        </w:tc>
        <w:tc>
          <w:tcPr>
            <w:tcW w:w="1298" w:type="dxa"/>
            <w:tcBorders/>
            <w:shd w:fill="auto" w:val="clear"/>
            <w:vAlign w:val="center"/>
          </w:tcPr>
          <w:p>
            <w:pPr>
              <w:pStyle w:val="TableContents"/>
              <w:spacing w:before="0" w:after="283"/>
              <w:jc w:val="right"/>
              <w:rPr/>
            </w:pPr>
            <w:r>
              <w:rPr/>
              <w:t>5,794,847</w:t>
            </w:r>
          </w:p>
        </w:tc>
        <w:tc>
          <w:tcPr>
            <w:tcW w:w="82" w:type="dxa"/>
            <w:tcBorders/>
            <w:shd w:fill="auto" w:val="clear"/>
            <w:vAlign w:val="center"/>
          </w:tcPr>
          <w:p>
            <w:pPr>
              <w:pStyle w:val="TableContents"/>
              <w:spacing w:before="0" w:after="283"/>
              <w:ind w:left="0" w:right="0" w:hanging="180"/>
              <w:jc w:val="left"/>
              <w:rPr/>
            </w:pPr>
            <w:r>
              <w:rPr/>
              <w:t> </w:t>
            </w:r>
          </w:p>
        </w:tc>
      </w:tr>
      <w:tr>
        <w:trPr/>
        <w:tc>
          <w:tcPr>
            <w:tcW w:w="3237" w:type="dxa"/>
            <w:tcBorders/>
            <w:shd w:fill="CCEEFF" w:val="clear"/>
            <w:vAlign w:val="center"/>
          </w:tcPr>
          <w:p>
            <w:pPr>
              <w:pStyle w:val="TableContents"/>
              <w:spacing w:before="0" w:after="283"/>
              <w:jc w:val="left"/>
              <w:rPr/>
            </w:pPr>
            <w:r>
              <w:rPr/>
              <w:t>Stock-based compensation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(417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70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138,335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6" w:type="dxa"/>
            <w:tcBorders/>
            <w:shd w:fill="CCEEFF" w:val="clear"/>
            <w:vAlign w:val="center"/>
          </w:tcPr>
          <w:p>
            <w:pPr>
              <w:pStyle w:val="TableContents"/>
              <w:spacing w:before="0" w:after="283"/>
              <w:jc w:val="right"/>
              <w:rPr/>
            </w:pPr>
            <w:r>
              <w:rPr/>
              <w:t>984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jc w:val="left"/>
              <w:rPr/>
            </w:pPr>
            <w:r>
              <w:rPr/>
              <w:t>$</w:t>
            </w:r>
          </w:p>
        </w:tc>
        <w:tc>
          <w:tcPr>
            <w:tcW w:w="1298" w:type="dxa"/>
            <w:tcBorders/>
            <w:shd w:fill="CCEEFF" w:val="clear"/>
            <w:vAlign w:val="center"/>
          </w:tcPr>
          <w:p>
            <w:pPr>
              <w:pStyle w:val="TableContents"/>
              <w:spacing w:before="0" w:after="283"/>
              <w:jc w:val="right"/>
              <w:rPr/>
            </w:pPr>
            <w:r>
              <w:rPr/>
              <w:t>139,389</w:t>
            </w:r>
          </w:p>
        </w:tc>
        <w:tc>
          <w:tcPr>
            <w:tcW w:w="82" w:type="dxa"/>
            <w:tcBorders/>
            <w:shd w:fill="CCEEFF" w:val="clear"/>
            <w:vAlign w:val="center"/>
          </w:tcPr>
          <w:p>
            <w:pPr>
              <w:pStyle w:val="TableContents"/>
              <w:spacing w:before="0" w:after="283"/>
              <w:ind w:left="0" w:right="0" w:hanging="180"/>
              <w:jc w:val="left"/>
              <w:rPr/>
            </w:pPr>
            <w:r>
              <w:rPr/>
              <w:t> </w:t>
            </w:r>
          </w:p>
        </w:tc>
      </w:tr>
      <w:tr>
        <w:trPr/>
        <w:tc>
          <w:tcPr>
            <w:tcW w:w="3237" w:type="dxa"/>
            <w:tcBorders/>
            <w:shd w:fill="auto" w:val="clear"/>
            <w:vAlign w:val="center"/>
          </w:tcPr>
          <w:p>
            <w:pPr>
              <w:pStyle w:val="TableContents"/>
              <w:spacing w:before="0" w:after="283"/>
              <w:rPr/>
            </w:pPr>
            <w:r>
              <w:rPr/>
              <w:t>Dividends declared on common shares ($0.47 per share)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1216" w:type="dxa"/>
            <w:tcBorders/>
            <w:shd w:fill="auto" w:val="clear"/>
            <w:vAlign w:val="center"/>
          </w:tcPr>
          <w:p>
            <w:pPr>
              <w:pStyle w:val="TableContents"/>
              <w:spacing w:before="0" w:after="283"/>
              <w:jc w:val="right"/>
              <w:rPr/>
            </w:pPr>
            <w:r>
              <w:rPr/>
              <w:t>(8,536,280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jc w:val="left"/>
              <w:rPr/>
            </w:pPr>
            <w:r>
              <w:rPr/>
              <w:t>$</w:t>
            </w:r>
          </w:p>
        </w:tc>
        <w:tc>
          <w:tcPr>
            <w:tcW w:w="1298" w:type="dxa"/>
            <w:tcBorders/>
            <w:shd w:fill="auto" w:val="clear"/>
            <w:vAlign w:val="center"/>
          </w:tcPr>
          <w:p>
            <w:pPr>
              <w:pStyle w:val="TableContents"/>
              <w:spacing w:before="0" w:after="283"/>
              <w:jc w:val="right"/>
              <w:rPr/>
            </w:pPr>
            <w:r>
              <w:rPr/>
              <w:t>(8,536,280</w:t>
            </w:r>
          </w:p>
        </w:tc>
        <w:tc>
          <w:tcPr>
            <w:tcW w:w="82" w:type="dxa"/>
            <w:tcBorders/>
            <w:shd w:fill="auto" w:val="clear"/>
            <w:vAlign w:val="center"/>
          </w:tcPr>
          <w:p>
            <w:pPr>
              <w:pStyle w:val="TableContents"/>
              <w:spacing w:before="0" w:after="283"/>
              <w:ind w:left="0" w:right="0" w:hanging="180"/>
              <w:jc w:val="left"/>
              <w:rPr/>
            </w:pPr>
            <w:r>
              <w:rPr/>
              <w:t>)</w:t>
            </w:r>
          </w:p>
        </w:tc>
      </w:tr>
      <w:tr>
        <w:trPr/>
        <w:tc>
          <w:tcPr>
            <w:tcW w:w="3237"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spacing w:before="0" w:after="283"/>
              <w:jc w:val="right"/>
              <w:rPr/>
            </w:pPr>
            <w:r>
              <w:rPr/>
              <w:t>10,692,349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8"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298" w:type="dxa"/>
            <w:tcBorders>
              <w:bottom w:val="single" w:sz="12" w:space="0" w:color="000000"/>
            </w:tcBorders>
            <w:shd w:fill="CCEEFF" w:val="clear"/>
            <w:tcMar>
              <w:bottom w:w="28" w:type="dxa"/>
            </w:tcMar>
            <w:vAlign w:val="center"/>
          </w:tcPr>
          <w:p>
            <w:pPr>
              <w:pStyle w:val="TableContents"/>
              <w:spacing w:before="0" w:after="283"/>
              <w:jc w:val="right"/>
              <w:rPr/>
            </w:pPr>
            <w:r>
              <w:rPr/>
              <w:t>10,692,349</w:t>
            </w:r>
          </w:p>
        </w:tc>
        <w:tc>
          <w:tcPr>
            <w:tcW w:w="82" w:type="dxa"/>
            <w:tcBorders/>
            <w:shd w:fill="CCEEFF" w:val="clear"/>
            <w:vAlign w:val="center"/>
          </w:tcPr>
          <w:p>
            <w:pPr>
              <w:pStyle w:val="TableContents"/>
              <w:spacing w:before="0" w:after="283"/>
              <w:ind w:left="0" w:right="0" w:hanging="180"/>
              <w:jc w:val="left"/>
              <w:rPr/>
            </w:pPr>
            <w:r>
              <w:rPr/>
              <w:t> </w:t>
            </w:r>
          </w:p>
        </w:tc>
      </w:tr>
      <w:tr>
        <w:trPr/>
        <w:tc>
          <w:tcPr>
            <w:tcW w:w="3237" w:type="dxa"/>
            <w:tcBorders/>
            <w:shd w:fill="auto" w:val="clear"/>
            <w:vAlign w:val="center"/>
          </w:tcPr>
          <w:p>
            <w:pPr>
              <w:pStyle w:val="TableContents"/>
              <w:spacing w:before="0" w:after="283"/>
              <w:rPr>
                <w:b/>
              </w:rPr>
            </w:pPr>
            <w:r>
              <w:rPr>
                <w:b/>
              </w:rPr>
              <w:t>Balance at March 31, 2023</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18,162,298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auto" w:val="clear"/>
            <w:tcMar>
              <w:bottom w:w="28" w:type="dxa"/>
            </w:tcMar>
            <w:vAlign w:val="center"/>
          </w:tcPr>
          <w:p>
            <w:pPr>
              <w:pStyle w:val="TableContents"/>
              <w:spacing w:before="0" w:after="283"/>
              <w:jc w:val="right"/>
              <w:rPr/>
            </w:pPr>
            <w:r>
              <w:rPr/>
              <w:t>180,887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pPr>
            <w:r>
              <w:rPr/>
              <w:t>274,925,072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16" w:type="dxa"/>
            <w:tcBorders>
              <w:bottom w:val="double" w:sz="10" w:space="0" w:color="000000"/>
            </w:tcBorders>
            <w:shd w:fill="auto" w:val="clear"/>
            <w:tcMar>
              <w:bottom w:w="28" w:type="dxa"/>
            </w:tcMar>
            <w:vAlign w:val="center"/>
          </w:tcPr>
          <w:p>
            <w:pPr>
              <w:pStyle w:val="TableContents"/>
              <w:spacing w:before="0" w:after="283"/>
              <w:jc w:val="right"/>
              <w:rPr/>
            </w:pPr>
            <w:r>
              <w:rPr/>
              <w:t>(2,982,631</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8"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98" w:type="dxa"/>
            <w:tcBorders>
              <w:bottom w:val="double" w:sz="10" w:space="0" w:color="000000"/>
            </w:tcBorders>
            <w:shd w:fill="auto" w:val="clear"/>
            <w:tcMar>
              <w:bottom w:w="28" w:type="dxa"/>
            </w:tcMar>
            <w:vAlign w:val="center"/>
          </w:tcPr>
          <w:p>
            <w:pPr>
              <w:pStyle w:val="TableContents"/>
              <w:spacing w:before="0" w:after="283"/>
              <w:jc w:val="right"/>
              <w:rPr/>
            </w:pPr>
            <w:r>
              <w:rPr/>
              <w:t>272,123,328</w:t>
            </w:r>
          </w:p>
        </w:tc>
        <w:tc>
          <w:tcPr>
            <w:tcW w:w="82" w:type="dxa"/>
            <w:tcBorders/>
            <w:shd w:fill="auto" w:val="clear"/>
            <w:vAlign w:val="center"/>
          </w:tcPr>
          <w:p>
            <w:pPr>
              <w:pStyle w:val="TableContents"/>
              <w:spacing w:before="0" w:after="283"/>
              <w:ind w:left="0" w:right="0" w:hanging="180"/>
              <w:jc w:val="left"/>
              <w:rPr/>
            </w:pPr>
            <w:r>
              <w:rPr/>
              <w:t> </w:t>
            </w:r>
          </w:p>
        </w:tc>
      </w:tr>
      <w:tr>
        <w:trPr/>
        <w:tc>
          <w:tcPr>
            <w:tcW w:w="323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6"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jc w:val="left"/>
              <w:rPr/>
            </w:pPr>
            <w:r>
              <w:rPr/>
              <w:t> </w:t>
            </w:r>
          </w:p>
        </w:tc>
        <w:tc>
          <w:tcPr>
            <w:tcW w:w="1298" w:type="dxa"/>
            <w:tcBorders/>
            <w:shd w:fill="CCEEFF" w:val="clear"/>
            <w:vAlign w:val="center"/>
          </w:tcPr>
          <w:p>
            <w:pPr>
              <w:pStyle w:val="TableContents"/>
              <w:spacing w:before="0" w:after="283"/>
              <w:jc w:val="right"/>
              <w:rPr/>
            </w:pPr>
            <w:r>
              <w:rPr/>
              <w:t> </w:t>
            </w:r>
          </w:p>
        </w:tc>
        <w:tc>
          <w:tcPr>
            <w:tcW w:w="82" w:type="dxa"/>
            <w:tcBorders/>
            <w:shd w:fill="CCEEFF" w:val="clear"/>
            <w:vAlign w:val="center"/>
          </w:tcPr>
          <w:p>
            <w:pPr>
              <w:pStyle w:val="TableContents"/>
              <w:spacing w:before="0" w:after="283"/>
              <w:ind w:left="0" w:right="0" w:hanging="180"/>
              <w:jc w:val="left"/>
              <w:rPr/>
            </w:pPr>
            <w:r>
              <w:rPr/>
              <w:t> </w:t>
            </w:r>
          </w:p>
        </w:tc>
      </w:tr>
      <w:tr>
        <w:trPr/>
        <w:tc>
          <w:tcPr>
            <w:tcW w:w="3237" w:type="dxa"/>
            <w:tcBorders/>
            <w:shd w:fill="auto" w:val="clear"/>
            <w:vAlign w:val="center"/>
          </w:tcPr>
          <w:p>
            <w:pPr>
              <w:pStyle w:val="TableContents"/>
              <w:spacing w:before="0" w:after="283"/>
              <w:rPr>
                <w:b/>
              </w:rPr>
            </w:pPr>
            <w:r>
              <w:rPr>
                <w:b/>
              </w:rPr>
              <w:t>Balance at January 1, 2022</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17,453,553</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auto" w:val="clear"/>
            <w:tcMar>
              <w:bottom w:w="28" w:type="dxa"/>
            </w:tcMar>
            <w:vAlign w:val="center"/>
          </w:tcPr>
          <w:p>
            <w:pPr>
              <w:pStyle w:val="TableContents"/>
              <w:spacing w:before="0" w:after="283"/>
              <w:jc w:val="right"/>
              <w:rPr/>
            </w:pPr>
            <w:r>
              <w:rPr/>
              <w:t>173,551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pPr>
            <w:r>
              <w:rPr/>
              <w:t>264,081,977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16" w:type="dxa"/>
            <w:tcBorders>
              <w:bottom w:val="double" w:sz="10" w:space="0" w:color="000000"/>
            </w:tcBorders>
            <w:shd w:fill="auto" w:val="clear"/>
            <w:tcMar>
              <w:bottom w:w="28" w:type="dxa"/>
            </w:tcMar>
            <w:vAlign w:val="center"/>
          </w:tcPr>
          <w:p>
            <w:pPr>
              <w:pStyle w:val="TableContents"/>
              <w:spacing w:before="0" w:after="283"/>
              <w:jc w:val="right"/>
              <w:rPr/>
            </w:pPr>
            <w:r>
              <w:rPr/>
              <w:t>(177,560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8"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1298" w:type="dxa"/>
            <w:tcBorders>
              <w:bottom w:val="double" w:sz="10" w:space="0" w:color="000000"/>
            </w:tcBorders>
            <w:shd w:fill="auto" w:val="clear"/>
            <w:tcMar>
              <w:bottom w:w="28" w:type="dxa"/>
            </w:tcMar>
            <w:vAlign w:val="center"/>
          </w:tcPr>
          <w:p>
            <w:pPr>
              <w:pStyle w:val="TableContents"/>
              <w:spacing w:before="0" w:after="283"/>
              <w:jc w:val="right"/>
              <w:rPr/>
            </w:pPr>
            <w:r>
              <w:rPr/>
              <w:t>264,077,968</w:t>
            </w:r>
          </w:p>
        </w:tc>
        <w:tc>
          <w:tcPr>
            <w:tcW w:w="82" w:type="dxa"/>
            <w:tcBorders/>
            <w:shd w:fill="auto" w:val="clear"/>
            <w:vAlign w:val="center"/>
          </w:tcPr>
          <w:p>
            <w:pPr>
              <w:pStyle w:val="TableContents"/>
              <w:spacing w:before="0" w:after="283"/>
              <w:ind w:left="0" w:right="0" w:hanging="180"/>
              <w:jc w:val="left"/>
              <w:rPr/>
            </w:pPr>
            <w:r>
              <w:rPr/>
              <w:t> </w:t>
            </w:r>
          </w:p>
        </w:tc>
      </w:tr>
      <w:tr>
        <w:trPr/>
        <w:tc>
          <w:tcPr>
            <w:tcW w:w="3237" w:type="dxa"/>
            <w:tcBorders/>
            <w:shd w:fill="CCEEFF" w:val="clear"/>
            <w:vAlign w:val="center"/>
          </w:tcPr>
          <w:p>
            <w:pPr>
              <w:pStyle w:val="TableContents"/>
              <w:spacing w:before="0" w:after="283"/>
              <w:jc w:val="left"/>
              <w:rPr/>
            </w:pPr>
            <w:r>
              <w:rPr/>
              <w:t>Issuance of common stock, net of offering costs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302,800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283"/>
              <w:jc w:val="right"/>
              <w:rPr/>
            </w:pPr>
            <w:r>
              <w:rPr/>
              <w:t>3,028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4,478,528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6"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jc w:val="left"/>
              <w:rPr/>
            </w:pPr>
            <w:r>
              <w:rPr/>
              <w:t>$</w:t>
            </w:r>
          </w:p>
        </w:tc>
        <w:tc>
          <w:tcPr>
            <w:tcW w:w="1298" w:type="dxa"/>
            <w:tcBorders/>
            <w:shd w:fill="CCEEFF" w:val="clear"/>
            <w:vAlign w:val="center"/>
          </w:tcPr>
          <w:p>
            <w:pPr>
              <w:pStyle w:val="TableContents"/>
              <w:spacing w:before="0" w:after="283"/>
              <w:jc w:val="right"/>
              <w:rPr/>
            </w:pPr>
            <w:r>
              <w:rPr/>
              <w:t>4,481,556</w:t>
            </w:r>
          </w:p>
        </w:tc>
        <w:tc>
          <w:tcPr>
            <w:tcW w:w="82" w:type="dxa"/>
            <w:tcBorders/>
            <w:shd w:fill="CCEEFF" w:val="clear"/>
            <w:vAlign w:val="center"/>
          </w:tcPr>
          <w:p>
            <w:pPr>
              <w:pStyle w:val="TableContents"/>
              <w:spacing w:before="0" w:after="283"/>
              <w:ind w:left="0" w:right="0" w:hanging="180"/>
              <w:jc w:val="left"/>
              <w:rPr/>
            </w:pPr>
            <w:r>
              <w:rPr/>
              <w:t> </w:t>
            </w:r>
          </w:p>
        </w:tc>
      </w:tr>
      <w:tr>
        <w:trPr/>
        <w:tc>
          <w:tcPr>
            <w:tcW w:w="3237" w:type="dxa"/>
            <w:tcBorders/>
            <w:shd w:fill="auto" w:val="clear"/>
            <w:vAlign w:val="center"/>
          </w:tcPr>
          <w:p>
            <w:pPr>
              <w:pStyle w:val="TableContents"/>
              <w:spacing w:before="0" w:after="283"/>
              <w:jc w:val="left"/>
              <w:rPr/>
            </w:pPr>
            <w:r>
              <w:rPr/>
              <w:t>Stock based 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(3,750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120,940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shd w:fill="auto" w:val="clear"/>
            <w:vAlign w:val="center"/>
          </w:tcPr>
          <w:p>
            <w:pPr>
              <w:pStyle w:val="TableContents"/>
              <w:spacing w:before="0" w:after="283"/>
              <w:jc w:val="left"/>
              <w:rPr/>
            </w:pPr>
            <w:r>
              <w:rPr/>
              <w:t> </w:t>
            </w:r>
          </w:p>
        </w:tc>
        <w:tc>
          <w:tcPr>
            <w:tcW w:w="1216" w:type="dxa"/>
            <w:tcBorders/>
            <w:shd w:fill="auto" w:val="clear"/>
            <w:vAlign w:val="center"/>
          </w:tcPr>
          <w:p>
            <w:pPr>
              <w:pStyle w:val="TableContents"/>
              <w:spacing w:before="0" w:after="283"/>
              <w:jc w:val="right"/>
              <w:rPr/>
            </w:pPr>
            <w:r>
              <w:rPr/>
              <w:t>975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jc w:val="left"/>
              <w:rPr/>
            </w:pPr>
            <w:r>
              <w:rPr/>
              <w:t>$</w:t>
            </w:r>
          </w:p>
        </w:tc>
        <w:tc>
          <w:tcPr>
            <w:tcW w:w="1298" w:type="dxa"/>
            <w:tcBorders/>
            <w:shd w:fill="auto" w:val="clear"/>
            <w:vAlign w:val="center"/>
          </w:tcPr>
          <w:p>
            <w:pPr>
              <w:pStyle w:val="TableContents"/>
              <w:spacing w:before="0" w:after="283"/>
              <w:jc w:val="right"/>
              <w:rPr/>
            </w:pPr>
            <w:r>
              <w:rPr/>
              <w:t>121,915</w:t>
            </w:r>
          </w:p>
        </w:tc>
        <w:tc>
          <w:tcPr>
            <w:tcW w:w="82" w:type="dxa"/>
            <w:tcBorders/>
            <w:shd w:fill="auto" w:val="clear"/>
            <w:vAlign w:val="center"/>
          </w:tcPr>
          <w:p>
            <w:pPr>
              <w:pStyle w:val="TableContents"/>
              <w:spacing w:before="0" w:after="283"/>
              <w:ind w:left="0" w:right="0" w:hanging="180"/>
              <w:jc w:val="left"/>
              <w:rPr/>
            </w:pPr>
            <w:r>
              <w:rPr/>
              <w:t> </w:t>
            </w:r>
          </w:p>
        </w:tc>
      </w:tr>
      <w:tr>
        <w:trPr/>
        <w:tc>
          <w:tcPr>
            <w:tcW w:w="3237" w:type="dxa"/>
            <w:tcBorders/>
            <w:shd w:fill="CCEEFF" w:val="clear"/>
            <w:vAlign w:val="center"/>
          </w:tcPr>
          <w:p>
            <w:pPr>
              <w:pStyle w:val="TableContents"/>
              <w:spacing w:before="0" w:after="283"/>
              <w:rPr/>
            </w:pPr>
            <w:r>
              <w:rPr/>
              <w:t>Dividends declared on common shares ($0.40 per share)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1216" w:type="dxa"/>
            <w:tcBorders/>
            <w:shd w:fill="CCEEFF" w:val="clear"/>
            <w:vAlign w:val="center"/>
          </w:tcPr>
          <w:p>
            <w:pPr>
              <w:pStyle w:val="TableContents"/>
              <w:spacing w:before="0" w:after="283"/>
              <w:jc w:val="right"/>
              <w:rPr/>
            </w:pPr>
            <w:r>
              <w:rPr/>
              <w:t>(7,100,875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jc w:val="left"/>
              <w:rPr/>
            </w:pPr>
            <w:r>
              <w:rPr/>
              <w:t>$</w:t>
            </w:r>
          </w:p>
        </w:tc>
        <w:tc>
          <w:tcPr>
            <w:tcW w:w="1298" w:type="dxa"/>
            <w:tcBorders/>
            <w:shd w:fill="CCEEFF" w:val="clear"/>
            <w:vAlign w:val="center"/>
          </w:tcPr>
          <w:p>
            <w:pPr>
              <w:pStyle w:val="TableContents"/>
              <w:spacing w:before="0" w:after="283"/>
              <w:jc w:val="right"/>
              <w:rPr/>
            </w:pPr>
            <w:r>
              <w:rPr/>
              <w:t>(7,100,875</w:t>
            </w:r>
          </w:p>
        </w:tc>
        <w:tc>
          <w:tcPr>
            <w:tcW w:w="82" w:type="dxa"/>
            <w:tcBorders/>
            <w:shd w:fill="CCEEFF" w:val="clear"/>
            <w:vAlign w:val="center"/>
          </w:tcPr>
          <w:p>
            <w:pPr>
              <w:pStyle w:val="TableContents"/>
              <w:spacing w:before="0" w:after="283"/>
              <w:ind w:left="0" w:right="0" w:hanging="180"/>
              <w:jc w:val="left"/>
              <w:rPr/>
            </w:pPr>
            <w:r>
              <w:rPr/>
              <w:t>)</w:t>
            </w:r>
          </w:p>
        </w:tc>
      </w:tr>
      <w:tr>
        <w:trPr/>
        <w:tc>
          <w:tcPr>
            <w:tcW w:w="3237" w:type="dxa"/>
            <w:tcBorders/>
            <w:shd w:fill="auto" w:val="clear"/>
            <w:vAlign w:val="center"/>
          </w:tcPr>
          <w:p>
            <w:pPr>
              <w:pStyle w:val="TableContents"/>
              <w:spacing w:before="0" w:after="283"/>
              <w:jc w:val="left"/>
              <w:rPr/>
            </w:pPr>
            <w:r>
              <w:rPr/>
              <w:t>Net income</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16" w:type="dxa"/>
            <w:tcBorders>
              <w:bottom w:val="single" w:sz="12" w:space="0" w:color="000000"/>
            </w:tcBorders>
            <w:shd w:fill="auto" w:val="clear"/>
            <w:tcMar>
              <w:bottom w:w="28" w:type="dxa"/>
            </w:tcMar>
            <w:vAlign w:val="center"/>
          </w:tcPr>
          <w:p>
            <w:pPr>
              <w:pStyle w:val="TableContents"/>
              <w:spacing w:before="0" w:after="283"/>
              <w:jc w:val="right"/>
              <w:rPr/>
            </w:pPr>
            <w:r>
              <w:rPr/>
              <w:t>7,803,952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8" w:type="dxa"/>
            <w:tcBorders>
              <w:bottom w:val="single" w:sz="12" w:space="0" w:color="000000"/>
            </w:tcBorders>
            <w:shd w:fill="auto" w:val="clear"/>
            <w:tcMar>
              <w:bottom w:w="28" w:type="dxa"/>
            </w:tcMar>
            <w:vAlign w:val="center"/>
          </w:tcPr>
          <w:p>
            <w:pPr>
              <w:pStyle w:val="TableContents"/>
              <w:spacing w:before="0" w:after="283"/>
              <w:jc w:val="left"/>
              <w:rPr/>
            </w:pPr>
            <w:r>
              <w:rPr/>
              <w:t>$</w:t>
            </w:r>
          </w:p>
        </w:tc>
        <w:tc>
          <w:tcPr>
            <w:tcW w:w="1298" w:type="dxa"/>
            <w:tcBorders>
              <w:bottom w:val="single" w:sz="12" w:space="0" w:color="000000"/>
            </w:tcBorders>
            <w:shd w:fill="auto" w:val="clear"/>
            <w:tcMar>
              <w:bottom w:w="28" w:type="dxa"/>
            </w:tcMar>
            <w:vAlign w:val="center"/>
          </w:tcPr>
          <w:p>
            <w:pPr>
              <w:pStyle w:val="TableContents"/>
              <w:spacing w:before="0" w:after="283"/>
              <w:jc w:val="right"/>
              <w:rPr/>
            </w:pPr>
            <w:r>
              <w:rPr/>
              <w:t>7,803,952</w:t>
            </w:r>
          </w:p>
        </w:tc>
        <w:tc>
          <w:tcPr>
            <w:tcW w:w="82" w:type="dxa"/>
            <w:tcBorders/>
            <w:shd w:fill="auto" w:val="clear"/>
            <w:vAlign w:val="center"/>
          </w:tcPr>
          <w:p>
            <w:pPr>
              <w:pStyle w:val="TableContents"/>
              <w:spacing w:before="0" w:after="283"/>
              <w:ind w:left="0" w:right="0" w:hanging="180"/>
              <w:jc w:val="left"/>
              <w:rPr/>
            </w:pPr>
            <w:r>
              <w:rPr/>
              <w:t> </w:t>
            </w:r>
          </w:p>
        </w:tc>
      </w:tr>
      <w:tr>
        <w:trPr/>
        <w:tc>
          <w:tcPr>
            <w:tcW w:w="3237" w:type="dxa"/>
            <w:tcBorders/>
            <w:shd w:fill="CCEEFF" w:val="clear"/>
            <w:vAlign w:val="center"/>
          </w:tcPr>
          <w:p>
            <w:pPr>
              <w:pStyle w:val="TableContents"/>
              <w:spacing w:before="0" w:after="283"/>
              <w:rPr>
                <w:b/>
              </w:rPr>
            </w:pPr>
            <w:r>
              <w:rPr>
                <w:b/>
              </w:rPr>
              <w:t>Balance at March 31, 2022</w:t>
            </w:r>
          </w:p>
        </w:tc>
        <w:tc>
          <w:tcPr>
            <w:tcW w:w="60" w:type="dxa"/>
            <w:tcBorders/>
            <w:shd w:fill="CCEEFF" w:val="clear"/>
            <w:vAlign w:val="center"/>
          </w:tcPr>
          <w:p>
            <w:pPr>
              <w:pStyle w:val="TableContents"/>
              <w:spacing w:before="0" w:after="283"/>
              <w:rPr/>
            </w:pPr>
            <w:r>
              <w:rPr/>
              <w:t> </w:t>
            </w:r>
          </w:p>
        </w:tc>
        <w:tc>
          <w:tcPr>
            <w:tcW w:w="60"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spacing w:before="0" w:after="283"/>
              <w:jc w:val="right"/>
              <w:rPr/>
            </w:pPr>
            <w:r>
              <w:rPr/>
              <w:t>17,752,603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pPr>
            <w:r>
              <w:rPr/>
              <w:t>176,579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pPr>
            <w:r>
              <w:rPr/>
              <w:t>268,681,445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4"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16" w:type="dxa"/>
            <w:tcBorders>
              <w:bottom w:val="double" w:sz="10" w:space="0" w:color="000000"/>
            </w:tcBorders>
            <w:shd w:fill="CCEEFF" w:val="clear"/>
            <w:tcMar>
              <w:bottom w:w="28" w:type="dxa"/>
            </w:tcMar>
            <w:vAlign w:val="center"/>
          </w:tcPr>
          <w:p>
            <w:pPr>
              <w:pStyle w:val="TableContents"/>
              <w:spacing w:before="0" w:after="283"/>
              <w:jc w:val="right"/>
              <w:rPr/>
            </w:pPr>
            <w:r>
              <w:rPr/>
              <w:t>526,492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8"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98" w:type="dxa"/>
            <w:tcBorders>
              <w:bottom w:val="double" w:sz="10" w:space="0" w:color="000000"/>
            </w:tcBorders>
            <w:shd w:fill="CCEEFF" w:val="clear"/>
            <w:tcMar>
              <w:bottom w:w="28" w:type="dxa"/>
            </w:tcMar>
            <w:vAlign w:val="center"/>
          </w:tcPr>
          <w:p>
            <w:pPr>
              <w:pStyle w:val="TableContents"/>
              <w:spacing w:before="0" w:after="283"/>
              <w:jc w:val="right"/>
              <w:rPr/>
            </w:pPr>
            <w:r>
              <w:rPr/>
              <w:t>269,384,516</w:t>
            </w:r>
          </w:p>
        </w:tc>
        <w:tc>
          <w:tcPr>
            <w:tcW w:w="82" w:type="dxa"/>
            <w:tcBorders/>
            <w:shd w:fill="CCEEFF" w:val="clear"/>
            <w:vAlign w:val="center"/>
          </w:tcPr>
          <w:p>
            <w:pPr>
              <w:pStyle w:val="TableContents"/>
              <w:spacing w:before="0" w:after="283"/>
              <w:jc w:val="left"/>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CHICAGO ATLANTIC REAL ESTATE FINANCE, INC.</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221"/>
        <w:gridCol w:w="60"/>
        <w:gridCol w:w="194"/>
        <w:gridCol w:w="1639"/>
        <w:gridCol w:w="95"/>
        <w:gridCol w:w="60"/>
        <w:gridCol w:w="194"/>
        <w:gridCol w:w="1639"/>
        <w:gridCol w:w="103"/>
      </w:tblGrid>
      <w:tr>
        <w:trPr/>
        <w:tc>
          <w:tcPr>
            <w:tcW w:w="6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3" w:type="dxa"/>
            <w:gridSpan w:val="2"/>
            <w:tcBorders/>
            <w:shd w:fill="auto" w:val="clear"/>
            <w:vAlign w:val="center"/>
          </w:tcPr>
          <w:p>
            <w:pPr>
              <w:pStyle w:val="TableContents"/>
              <w:spacing w:before="0" w:after="283"/>
              <w:jc w:val="center"/>
              <w:rPr>
                <w:b/>
              </w:rPr>
            </w:pPr>
            <w:r>
              <w:rPr>
                <w:b/>
              </w:rPr>
              <w:t>For the</w:t>
              <w:br/>
              <w:t>three months ended</w:t>
              <w:br/>
              <w:t>March 31,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3" w:type="dxa"/>
            <w:gridSpan w:val="2"/>
            <w:tcBorders/>
            <w:shd w:fill="auto" w:val="clear"/>
            <w:vAlign w:val="center"/>
          </w:tcPr>
          <w:p>
            <w:pPr>
              <w:pStyle w:val="TableContents"/>
              <w:spacing w:before="0" w:after="283"/>
              <w:jc w:val="center"/>
              <w:rPr>
                <w:b/>
              </w:rPr>
            </w:pPr>
            <w:r>
              <w:rPr>
                <w:b/>
              </w:rPr>
              <w:t>For the</w:t>
              <w:br/>
              <w:t>three months ended</w:t>
              <w:br/>
              <w:t>March 31,</w:t>
            </w:r>
          </w:p>
        </w:tc>
        <w:tc>
          <w:tcPr>
            <w:tcW w:w="103" w:type="dxa"/>
            <w:tcBorders/>
            <w:shd w:fill="auto" w:val="clear"/>
            <w:vAlign w:val="center"/>
          </w:tcPr>
          <w:p>
            <w:pPr>
              <w:pStyle w:val="TableContents"/>
              <w:spacing w:before="0" w:after="283"/>
              <w:rPr/>
            </w:pPr>
            <w:r>
              <w:rPr/>
              <w:t> </w:t>
            </w:r>
          </w:p>
        </w:tc>
      </w:tr>
      <w:tr>
        <w:trPr/>
        <w:tc>
          <w:tcPr>
            <w:tcW w:w="6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103" w:type="dxa"/>
            <w:tcBorders/>
            <w:shd w:fill="auto" w:val="clear"/>
            <w:vAlign w:val="center"/>
          </w:tcPr>
          <w:p>
            <w:pPr>
              <w:pStyle w:val="TableContents"/>
              <w:spacing w:before="0" w:after="283"/>
              <w:rPr/>
            </w:pPr>
            <w:r>
              <w:rPr/>
              <w:t> </w:t>
            </w:r>
          </w:p>
        </w:tc>
      </w:tr>
      <w:tr>
        <w:trPr/>
        <w:tc>
          <w:tcPr>
            <w:tcW w:w="6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3"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3" w:type="dxa"/>
            <w:gridSpan w:val="2"/>
            <w:tcBorders/>
            <w:shd w:fill="auto" w:val="clear"/>
            <w:vAlign w:val="center"/>
          </w:tcPr>
          <w:p>
            <w:pPr>
              <w:pStyle w:val="TableContents"/>
              <w:spacing w:before="0" w:after="283"/>
              <w:jc w:val="center"/>
              <w:rPr/>
            </w:pPr>
            <w:r>
              <w:rPr/>
              <w:t> </w:t>
            </w:r>
          </w:p>
        </w:tc>
        <w:tc>
          <w:tcPr>
            <w:tcW w:w="103" w:type="dxa"/>
            <w:tcBorders/>
            <w:shd w:fill="auto" w:val="clear"/>
            <w:vAlign w:val="center"/>
          </w:tcPr>
          <w:p>
            <w:pPr>
              <w:pStyle w:val="TableContents"/>
              <w:spacing w:before="0" w:after="283"/>
              <w:rPr/>
            </w:pPr>
            <w:r>
              <w:rPr/>
              <w:t> </w:t>
            </w:r>
          </w:p>
        </w:tc>
      </w:tr>
      <w:tr>
        <w:trPr/>
        <w:tc>
          <w:tcPr>
            <w:tcW w:w="6221" w:type="dxa"/>
            <w:tcBorders/>
            <w:shd w:fill="auto" w:val="clear"/>
            <w:vAlign w:val="center"/>
          </w:tcPr>
          <w:p>
            <w:pPr>
              <w:pStyle w:val="TableContents"/>
              <w:spacing w:before="0" w:after="283"/>
              <w:rPr>
                <w:b/>
              </w:rPr>
            </w:pPr>
            <w:r>
              <w:rPr>
                <w:b/>
              </w:rPr>
              <w:t>Operating activities</w:t>
            </w:r>
          </w:p>
        </w:tc>
        <w:tc>
          <w:tcPr>
            <w:tcW w:w="60" w:type="dxa"/>
            <w:tcBorders/>
            <w:shd w:fill="auto" w:val="clear"/>
            <w:vAlign w:val="center"/>
          </w:tcPr>
          <w:p>
            <w:pPr>
              <w:pStyle w:val="TableContents"/>
              <w:spacing w:before="0" w:after="283"/>
              <w:rPr/>
            </w:pPr>
            <w:r>
              <w:rPr/>
              <w:t> </w:t>
            </w:r>
          </w:p>
        </w:tc>
        <w:tc>
          <w:tcPr>
            <w:tcW w:w="1833"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33" w:type="dxa"/>
            <w:gridSpan w:val="2"/>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ind w:left="0" w:right="0" w:hanging="180"/>
              <w:rPr/>
            </w:pPr>
            <w:r>
              <w:rPr/>
              <w:t> </w:t>
            </w:r>
          </w:p>
        </w:tc>
      </w:tr>
      <w:tr>
        <w:trPr/>
        <w:tc>
          <w:tcPr>
            <w:tcW w:w="6221"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w:t>
            </w:r>
          </w:p>
        </w:tc>
        <w:tc>
          <w:tcPr>
            <w:tcW w:w="1639" w:type="dxa"/>
            <w:tcBorders/>
            <w:shd w:fill="CCEEFF" w:val="clear"/>
            <w:vAlign w:val="center"/>
          </w:tcPr>
          <w:p>
            <w:pPr>
              <w:pStyle w:val="TableContents"/>
              <w:spacing w:before="0" w:after="283"/>
              <w:jc w:val="right"/>
              <w:rPr/>
            </w:pPr>
            <w:r>
              <w:rPr/>
              <w:t>10,692,349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w:t>
            </w:r>
          </w:p>
        </w:tc>
        <w:tc>
          <w:tcPr>
            <w:tcW w:w="1639" w:type="dxa"/>
            <w:tcBorders/>
            <w:shd w:fill="CCEEFF" w:val="clear"/>
            <w:vAlign w:val="center"/>
          </w:tcPr>
          <w:p>
            <w:pPr>
              <w:pStyle w:val="TableContents"/>
              <w:spacing w:before="0" w:after="283"/>
              <w:jc w:val="right"/>
              <w:rPr/>
            </w:pPr>
            <w:r>
              <w:rPr/>
              <w:t>7,803,952</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b/>
              </w:rPr>
            </w:pPr>
            <w:r>
              <w:rPr>
                <w:b/>
              </w:rPr>
              <w:t>Adjustments to reconcile net income to net cash provided by operating activities:</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pPr>
            <w:r>
              <w:rPr/>
              <w:t>Accretion of deferred loan origination fees and other discounts</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(908,873</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(894,087</w:t>
            </w:r>
          </w:p>
        </w:tc>
        <w:tc>
          <w:tcPr>
            <w:tcW w:w="103" w:type="dxa"/>
            <w:tcBorders/>
            <w:shd w:fill="auto" w:val="clear"/>
            <w:vAlign w:val="center"/>
          </w:tcPr>
          <w:p>
            <w:pPr>
              <w:pStyle w:val="TableContents"/>
              <w:spacing w:before="0" w:after="283"/>
              <w:ind w:left="0" w:right="0" w:hanging="180"/>
              <w:jc w:val="left"/>
              <w:rPr/>
            </w:pPr>
            <w:r>
              <w:rPr/>
              <w:t>)</w:t>
            </w:r>
          </w:p>
        </w:tc>
      </w:tr>
      <w:tr>
        <w:trPr/>
        <w:tc>
          <w:tcPr>
            <w:tcW w:w="6221" w:type="dxa"/>
            <w:tcBorders/>
            <w:shd w:fill="CCEEFF" w:val="clear"/>
            <w:vAlign w:val="center"/>
          </w:tcPr>
          <w:p>
            <w:pPr>
              <w:pStyle w:val="TableContents"/>
              <w:spacing w:before="0" w:after="283"/>
              <w:jc w:val="left"/>
              <w:rPr/>
            </w:pPr>
            <w:r>
              <w:rPr/>
              <w:t>Paid-in-kind interest</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(2,256,228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(970,569</w:t>
            </w:r>
          </w:p>
        </w:tc>
        <w:tc>
          <w:tcPr>
            <w:tcW w:w="103" w:type="dxa"/>
            <w:tcBorders/>
            <w:shd w:fill="CCEEFF" w:val="clear"/>
            <w:vAlign w:val="center"/>
          </w:tcPr>
          <w:p>
            <w:pPr>
              <w:pStyle w:val="TableContents"/>
              <w:spacing w:before="0" w:after="283"/>
              <w:ind w:left="0" w:right="0" w:hanging="180"/>
              <w:jc w:val="left"/>
              <w:rPr/>
            </w:pPr>
            <w:r>
              <w:rPr/>
              <w:t>)</w:t>
            </w:r>
          </w:p>
        </w:tc>
      </w:tr>
      <w:tr>
        <w:trPr/>
        <w:tc>
          <w:tcPr>
            <w:tcW w:w="6221" w:type="dxa"/>
            <w:tcBorders/>
            <w:shd w:fill="auto" w:val="clear"/>
            <w:vAlign w:val="center"/>
          </w:tcPr>
          <w:p>
            <w:pPr>
              <w:pStyle w:val="TableContents"/>
              <w:spacing w:before="0" w:after="283"/>
              <w:jc w:val="left"/>
              <w:rPr/>
            </w:pPr>
            <w:r>
              <w:rPr/>
              <w:t>Provision for current expected credit losses</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96,119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48,296</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pPr>
            <w:r>
              <w:rPr/>
              <w:t>Amortization of deferred debt issuance costs</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167,304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72,268</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pPr>
            <w:r>
              <w:rPr/>
              <w:t>Stock based compensation</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138,335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120,940</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b/>
              </w:rPr>
            </w:pPr>
            <w:r>
              <w:rPr>
                <w:b/>
              </w:rPr>
              <w:t>Changes in operating assets and liabilities:</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pPr>
            <w:r>
              <w:rPr/>
              <w:t>Interest receivable</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(2,955,336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(175,960</w:t>
            </w:r>
          </w:p>
        </w:tc>
        <w:tc>
          <w:tcPr>
            <w:tcW w:w="103" w:type="dxa"/>
            <w:tcBorders/>
            <w:shd w:fill="CCEEFF" w:val="clear"/>
            <w:vAlign w:val="center"/>
          </w:tcPr>
          <w:p>
            <w:pPr>
              <w:pStyle w:val="TableContents"/>
              <w:spacing w:before="0" w:after="283"/>
              <w:ind w:left="0" w:right="0" w:hanging="180"/>
              <w:jc w:val="left"/>
              <w:rPr/>
            </w:pPr>
            <w:r>
              <w:rPr/>
              <w:t>)</w:t>
            </w:r>
          </w:p>
        </w:tc>
      </w:tr>
      <w:tr>
        <w:trPr/>
        <w:tc>
          <w:tcPr>
            <w:tcW w:w="6221" w:type="dxa"/>
            <w:tcBorders/>
            <w:shd w:fill="auto" w:val="clear"/>
            <w:vAlign w:val="center"/>
          </w:tcPr>
          <w:p>
            <w:pPr>
              <w:pStyle w:val="TableContents"/>
              <w:spacing w:before="0" w:after="283"/>
              <w:jc w:val="left"/>
              <w:rPr/>
            </w:pPr>
            <w:r>
              <w:rPr/>
              <w:t>Other receivables and assets, net</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(19,507</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(10,053</w:t>
            </w:r>
          </w:p>
        </w:tc>
        <w:tc>
          <w:tcPr>
            <w:tcW w:w="103" w:type="dxa"/>
            <w:tcBorders/>
            <w:shd w:fill="auto" w:val="clear"/>
            <w:vAlign w:val="center"/>
          </w:tcPr>
          <w:p>
            <w:pPr>
              <w:pStyle w:val="TableContents"/>
              <w:spacing w:before="0" w:after="283"/>
              <w:ind w:left="0" w:right="0" w:hanging="180"/>
              <w:jc w:val="left"/>
              <w:rPr/>
            </w:pPr>
            <w:r>
              <w:rPr/>
              <w:t>)</w:t>
            </w:r>
          </w:p>
        </w:tc>
      </w:tr>
      <w:tr>
        <w:trPr/>
        <w:tc>
          <w:tcPr>
            <w:tcW w:w="6221" w:type="dxa"/>
            <w:tcBorders/>
            <w:shd w:fill="CCEEFF" w:val="clear"/>
            <w:vAlign w:val="center"/>
          </w:tcPr>
          <w:p>
            <w:pPr>
              <w:pStyle w:val="TableContents"/>
              <w:spacing w:before="0" w:after="283"/>
              <w:jc w:val="left"/>
              <w:rPr/>
            </w:pPr>
            <w:r>
              <w:rPr/>
              <w:t>Interest reserve</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(1,648,129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(3,084,470</w:t>
            </w:r>
          </w:p>
        </w:tc>
        <w:tc>
          <w:tcPr>
            <w:tcW w:w="103" w:type="dxa"/>
            <w:tcBorders/>
            <w:shd w:fill="CCEEFF" w:val="clear"/>
            <w:vAlign w:val="center"/>
          </w:tcPr>
          <w:p>
            <w:pPr>
              <w:pStyle w:val="TableContents"/>
              <w:spacing w:before="0" w:after="283"/>
              <w:ind w:left="0" w:right="0" w:hanging="180"/>
              <w:jc w:val="left"/>
              <w:rPr/>
            </w:pPr>
            <w:r>
              <w:rPr/>
              <w:t>)</w:t>
            </w:r>
          </w:p>
        </w:tc>
      </w:tr>
      <w:tr>
        <w:trPr/>
        <w:tc>
          <w:tcPr>
            <w:tcW w:w="6221" w:type="dxa"/>
            <w:tcBorders/>
            <w:shd w:fill="auto" w:val="clear"/>
            <w:vAlign w:val="center"/>
          </w:tcPr>
          <w:p>
            <w:pPr>
              <w:pStyle w:val="TableContents"/>
              <w:spacing w:before="0" w:after="283"/>
              <w:jc w:val="left"/>
              <w:rPr/>
            </w:pPr>
            <w:r>
              <w:rPr/>
              <w:t>Related party payable</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(127,389</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0"/>
              <w:jc w:val="right"/>
              <w:rPr/>
            </w:pPr>
            <w:r>
              <w:rPr/>
              <w:t>-</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pPr>
            <w:r>
              <w:rPr/>
              <w:t>Related party receivable</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(237,885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0"/>
              <w:jc w:val="right"/>
              <w:rPr/>
            </w:pPr>
            <w:r>
              <w:rPr/>
              <w:t>-</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pPr>
            <w:r>
              <w:rPr/>
              <w:t>Management and incentive fees payable</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(1,157,595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(233,618</w:t>
            </w:r>
          </w:p>
        </w:tc>
        <w:tc>
          <w:tcPr>
            <w:tcW w:w="103" w:type="dxa"/>
            <w:tcBorders/>
            <w:shd w:fill="auto" w:val="clear"/>
            <w:vAlign w:val="center"/>
          </w:tcPr>
          <w:p>
            <w:pPr>
              <w:pStyle w:val="TableContents"/>
              <w:spacing w:before="0" w:after="283"/>
              <w:ind w:left="0" w:right="0" w:hanging="180"/>
              <w:jc w:val="left"/>
              <w:rPr/>
            </w:pPr>
            <w:r>
              <w:rPr/>
              <w:t>)</w:t>
            </w:r>
          </w:p>
        </w:tc>
      </w:tr>
      <w:tr>
        <w:trPr/>
        <w:tc>
          <w:tcPr>
            <w:tcW w:w="6221" w:type="dxa"/>
            <w:tcBorders/>
            <w:shd w:fill="CCEEFF" w:val="clear"/>
            <w:vAlign w:val="center"/>
          </w:tcPr>
          <w:p>
            <w:pPr>
              <w:pStyle w:val="TableContents"/>
              <w:spacing w:before="0" w:after="283"/>
              <w:jc w:val="left"/>
              <w:rPr/>
            </w:pPr>
            <w:r>
              <w:rPr/>
              <w:t>Accounts payable and accrued expenses</w:t>
            </w:r>
          </w:p>
        </w:tc>
        <w:tc>
          <w:tcPr>
            <w:tcW w:w="60" w:type="dxa"/>
            <w:tcBorders/>
            <w:shd w:fill="CCEEFF" w:val="clear"/>
            <w:vAlign w:val="center"/>
          </w:tcPr>
          <w:p>
            <w:pPr>
              <w:pStyle w:val="TableContents"/>
              <w:spacing w:before="0" w:after="283"/>
              <w:rPr/>
            </w:pPr>
            <w:r>
              <w:rPr/>
              <w:t> </w:t>
            </w:r>
          </w:p>
        </w:tc>
        <w:tc>
          <w:tcPr>
            <w:tcW w:w="19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CCEEFF" w:val="clear"/>
            <w:tcMar>
              <w:bottom w:w="28" w:type="dxa"/>
            </w:tcMar>
            <w:vAlign w:val="center"/>
          </w:tcPr>
          <w:p>
            <w:pPr>
              <w:pStyle w:val="TableContents"/>
              <w:spacing w:before="0" w:after="283"/>
              <w:jc w:val="right"/>
              <w:rPr/>
            </w:pPr>
            <w:r>
              <w:rPr/>
              <w:t>(81,098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CCEEFF" w:val="clear"/>
            <w:tcMar>
              <w:bottom w:w="28" w:type="dxa"/>
            </w:tcMar>
            <w:vAlign w:val="center"/>
          </w:tcPr>
          <w:p>
            <w:pPr>
              <w:pStyle w:val="TableContents"/>
              <w:spacing w:before="0" w:after="283"/>
              <w:jc w:val="right"/>
              <w:rPr/>
            </w:pPr>
            <w:r>
              <w:rPr/>
              <w:t>358,933</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b/>
              </w:rPr>
            </w:pPr>
            <w:r>
              <w:rPr>
                <w:b/>
              </w:rPr>
              <w:t>Net cash provided by operating activities</w:t>
            </w:r>
          </w:p>
        </w:tc>
        <w:tc>
          <w:tcPr>
            <w:tcW w:w="60" w:type="dxa"/>
            <w:tcBorders/>
            <w:shd w:fill="auto" w:val="clear"/>
            <w:vAlign w:val="center"/>
          </w:tcPr>
          <w:p>
            <w:pPr>
              <w:pStyle w:val="TableContents"/>
              <w:spacing w:before="0" w:after="283"/>
              <w:rPr/>
            </w:pPr>
            <w:r>
              <w:rPr/>
              <w:t> </w:t>
            </w:r>
          </w:p>
        </w:tc>
        <w:tc>
          <w:tcPr>
            <w:tcW w:w="19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auto" w:val="clear"/>
            <w:tcMar>
              <w:bottom w:w="28" w:type="dxa"/>
            </w:tcMar>
            <w:vAlign w:val="center"/>
          </w:tcPr>
          <w:p>
            <w:pPr>
              <w:pStyle w:val="TableContents"/>
              <w:spacing w:before="0" w:after="283"/>
              <w:jc w:val="right"/>
              <w:rPr>
                <w:b/>
              </w:rPr>
            </w:pPr>
            <w:r>
              <w:rPr>
                <w:b/>
              </w:rPr>
              <w:t>1,702,067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auto" w:val="clear"/>
            <w:tcMar>
              <w:bottom w:w="28" w:type="dxa"/>
            </w:tcMar>
            <w:vAlign w:val="center"/>
          </w:tcPr>
          <w:p>
            <w:pPr>
              <w:pStyle w:val="TableContents"/>
              <w:spacing w:before="0" w:after="283"/>
              <w:jc w:val="right"/>
              <w:rPr>
                <w:b/>
              </w:rPr>
            </w:pPr>
            <w:r>
              <w:rPr>
                <w:b/>
              </w:rPr>
              <w:t>3,035,632</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b/>
              </w:rPr>
            </w:pPr>
            <w:r>
              <w:rPr>
                <w:b/>
              </w:rPr>
              <w:t>Cash flows from investing activities</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pPr>
            <w:r>
              <w:rPr/>
              <w:t>Issuance of and fundings of loans</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(32,941,660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(82,794,575</w:t>
            </w:r>
          </w:p>
        </w:tc>
        <w:tc>
          <w:tcPr>
            <w:tcW w:w="103" w:type="dxa"/>
            <w:tcBorders/>
            <w:shd w:fill="CCEEFF" w:val="clear"/>
            <w:vAlign w:val="center"/>
          </w:tcPr>
          <w:p>
            <w:pPr>
              <w:pStyle w:val="TableContents"/>
              <w:spacing w:before="0" w:after="283"/>
              <w:ind w:left="0" w:right="0" w:hanging="180"/>
              <w:jc w:val="left"/>
              <w:rPr/>
            </w:pPr>
            <w:r>
              <w:rPr/>
              <w:t>)</w:t>
            </w:r>
          </w:p>
        </w:tc>
      </w:tr>
      <w:tr>
        <w:trPr/>
        <w:tc>
          <w:tcPr>
            <w:tcW w:w="6221" w:type="dxa"/>
            <w:tcBorders/>
            <w:shd w:fill="auto" w:val="clear"/>
            <w:vAlign w:val="center"/>
          </w:tcPr>
          <w:p>
            <w:pPr>
              <w:pStyle w:val="TableContents"/>
              <w:spacing w:before="0" w:after="283"/>
              <w:jc w:val="left"/>
              <w:rPr/>
            </w:pPr>
            <w:r>
              <w:rPr/>
              <w:t>Proceeds from sales of loans</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13,399,712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0"/>
              <w:jc w:val="right"/>
              <w:rPr/>
            </w:pPr>
            <w:r>
              <w:rPr/>
              <w:t>-</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pPr>
            <w:r>
              <w:rPr/>
              <w:t>Principal repayment of loans</w:t>
            </w:r>
          </w:p>
        </w:tc>
        <w:tc>
          <w:tcPr>
            <w:tcW w:w="60" w:type="dxa"/>
            <w:tcBorders/>
            <w:shd w:fill="CCEEFF" w:val="clear"/>
            <w:vAlign w:val="center"/>
          </w:tcPr>
          <w:p>
            <w:pPr>
              <w:pStyle w:val="TableContents"/>
              <w:spacing w:before="0" w:after="283"/>
              <w:rPr/>
            </w:pPr>
            <w:r>
              <w:rPr/>
              <w:t> </w:t>
            </w:r>
          </w:p>
        </w:tc>
        <w:tc>
          <w:tcPr>
            <w:tcW w:w="19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CCEEFF" w:val="clear"/>
            <w:tcMar>
              <w:bottom w:w="28" w:type="dxa"/>
            </w:tcMar>
            <w:vAlign w:val="center"/>
          </w:tcPr>
          <w:p>
            <w:pPr>
              <w:pStyle w:val="TableContents"/>
              <w:spacing w:before="0" w:after="283"/>
              <w:jc w:val="right"/>
              <w:rPr/>
            </w:pPr>
            <w:r>
              <w:rPr/>
              <w:t>44,858,834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CCEEFF" w:val="clear"/>
            <w:tcMar>
              <w:bottom w:w="28" w:type="dxa"/>
            </w:tcMar>
            <w:vAlign w:val="center"/>
          </w:tcPr>
          <w:p>
            <w:pPr>
              <w:pStyle w:val="TableContents"/>
              <w:spacing w:before="0" w:after="283"/>
              <w:jc w:val="right"/>
              <w:rPr/>
            </w:pPr>
            <w:r>
              <w:rPr/>
              <w:t>5,619,201</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b/>
              </w:rPr>
            </w:pPr>
            <w:r>
              <w:rPr>
                <w:b/>
              </w:rPr>
              <w:t>Net cash provided by/(used) in investing activities</w:t>
            </w:r>
          </w:p>
        </w:tc>
        <w:tc>
          <w:tcPr>
            <w:tcW w:w="60" w:type="dxa"/>
            <w:tcBorders/>
            <w:shd w:fill="auto" w:val="clear"/>
            <w:vAlign w:val="center"/>
          </w:tcPr>
          <w:p>
            <w:pPr>
              <w:pStyle w:val="TableContents"/>
              <w:spacing w:before="0" w:after="283"/>
              <w:rPr/>
            </w:pPr>
            <w:r>
              <w:rPr/>
              <w:t> </w:t>
            </w:r>
          </w:p>
        </w:tc>
        <w:tc>
          <w:tcPr>
            <w:tcW w:w="19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auto" w:val="clear"/>
            <w:tcMar>
              <w:bottom w:w="28" w:type="dxa"/>
            </w:tcMar>
            <w:vAlign w:val="center"/>
          </w:tcPr>
          <w:p>
            <w:pPr>
              <w:pStyle w:val="TableContents"/>
              <w:spacing w:before="0" w:after="283"/>
              <w:jc w:val="right"/>
              <w:rPr>
                <w:b/>
              </w:rPr>
            </w:pPr>
            <w:r>
              <w:rPr>
                <w:b/>
              </w:rPr>
              <w:t>25,316,886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auto" w:val="clear"/>
            <w:tcMar>
              <w:bottom w:w="28" w:type="dxa"/>
            </w:tcMar>
            <w:vAlign w:val="center"/>
          </w:tcPr>
          <w:p>
            <w:pPr>
              <w:pStyle w:val="TableContents"/>
              <w:spacing w:before="0" w:after="283"/>
              <w:jc w:val="right"/>
              <w:rPr>
                <w:b/>
              </w:rPr>
            </w:pPr>
            <w:r>
              <w:rPr>
                <w:b/>
              </w:rPr>
              <w:t>(77,175,374</w:t>
            </w:r>
          </w:p>
        </w:tc>
        <w:tc>
          <w:tcPr>
            <w:tcW w:w="103" w:type="dxa"/>
            <w:tcBorders/>
            <w:shd w:fill="auto" w:val="clear"/>
            <w:vAlign w:val="center"/>
          </w:tcPr>
          <w:p>
            <w:pPr>
              <w:pStyle w:val="TableContents"/>
              <w:spacing w:before="0" w:after="283"/>
              <w:ind w:left="0" w:right="0" w:hanging="180"/>
              <w:jc w:val="left"/>
              <w:rPr>
                <w:b/>
              </w:rPr>
            </w:pPr>
            <w:r>
              <w:rPr>
                <w:b/>
              </w:rPr>
              <w:t>)</w:t>
            </w:r>
          </w:p>
        </w:tc>
      </w:tr>
      <w:tr>
        <w:trPr/>
        <w:tc>
          <w:tcPr>
            <w:tcW w:w="622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b/>
              </w:rPr>
            </w:pPr>
            <w:r>
              <w:rPr>
                <w:b/>
              </w:rPr>
              <w:t>Cash flows from financing activities</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pPr>
            <w:r>
              <w:rPr/>
              <w:t>Proceeds from sale of common stock</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6,000,010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4,505,664</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pPr>
            <w:r>
              <w:rPr/>
              <w:t>Proceeds from borrowings on revolving loan</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28,500,000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0"/>
              <w:jc w:val="right"/>
              <w:rPr/>
            </w:pPr>
            <w:r>
              <w:rPr/>
              <w:t>-</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pPr>
            <w:r>
              <w:rPr/>
              <w:t>Repayment of borrowings on revolving loan</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(49,000,000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0"/>
              <w:jc w:val="right"/>
              <w:rPr/>
            </w:pPr>
            <w:r>
              <w:rPr/>
              <w:t>-</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pPr>
            <w:r>
              <w:rPr/>
              <w:t>Dividends paid to common shareholders</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(13,486,186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(4,512,329</w:t>
            </w:r>
          </w:p>
        </w:tc>
        <w:tc>
          <w:tcPr>
            <w:tcW w:w="103" w:type="dxa"/>
            <w:tcBorders/>
            <w:shd w:fill="auto" w:val="clear"/>
            <w:vAlign w:val="center"/>
          </w:tcPr>
          <w:p>
            <w:pPr>
              <w:pStyle w:val="TableContents"/>
              <w:spacing w:before="0" w:after="283"/>
              <w:ind w:left="0" w:right="0" w:hanging="180"/>
              <w:jc w:val="left"/>
              <w:rPr/>
            </w:pPr>
            <w:r>
              <w:rPr/>
              <w:t>)</w:t>
            </w:r>
          </w:p>
        </w:tc>
      </w:tr>
      <w:tr>
        <w:trPr/>
        <w:tc>
          <w:tcPr>
            <w:tcW w:w="6221" w:type="dxa"/>
            <w:tcBorders/>
            <w:shd w:fill="CCEEFF" w:val="clear"/>
            <w:vAlign w:val="center"/>
          </w:tcPr>
          <w:p>
            <w:pPr>
              <w:pStyle w:val="TableContents"/>
              <w:spacing w:before="0" w:after="283"/>
              <w:jc w:val="left"/>
              <w:rPr/>
            </w:pPr>
            <w:r>
              <w:rPr/>
              <w:t>Payment of deferred debt issuance costs</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(2,988</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0"/>
              <w:jc w:val="right"/>
              <w:rPr/>
            </w:pPr>
            <w:r>
              <w:rPr/>
              <w:t>-</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pPr>
            <w:r>
              <w:rPr/>
              <w:t>Payment of deferred offering costs</w:t>
            </w:r>
          </w:p>
        </w:tc>
        <w:tc>
          <w:tcPr>
            <w:tcW w:w="60" w:type="dxa"/>
            <w:tcBorders/>
            <w:shd w:fill="auto" w:val="clear"/>
            <w:vAlign w:val="center"/>
          </w:tcPr>
          <w:p>
            <w:pPr>
              <w:pStyle w:val="TableContents"/>
              <w:spacing w:before="0" w:after="283"/>
              <w:rPr/>
            </w:pPr>
            <w:r>
              <w:rPr/>
              <w:t> </w:t>
            </w:r>
          </w:p>
        </w:tc>
        <w:tc>
          <w:tcPr>
            <w:tcW w:w="19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auto" w:val="clear"/>
            <w:tcMar>
              <w:bottom w:w="28" w:type="dxa"/>
            </w:tcMar>
            <w:vAlign w:val="center"/>
          </w:tcPr>
          <w:p>
            <w:pPr>
              <w:pStyle w:val="TableContents"/>
              <w:spacing w:before="0" w:after="283"/>
              <w:jc w:val="right"/>
              <w:rPr/>
            </w:pPr>
            <w:r>
              <w:rPr/>
              <w:t>(104,711</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auto" w:val="clear"/>
            <w:tcMar>
              <w:bottom w:w="28" w:type="dxa"/>
            </w:tcMar>
            <w:vAlign w:val="center"/>
          </w:tcPr>
          <w:p>
            <w:pPr>
              <w:pStyle w:val="TableContents"/>
              <w:spacing w:before="0" w:after="283"/>
              <w:jc w:val="right"/>
              <w:rPr/>
            </w:pPr>
            <w:r>
              <w:rPr/>
              <w:t>(23,941</w:t>
            </w:r>
          </w:p>
        </w:tc>
        <w:tc>
          <w:tcPr>
            <w:tcW w:w="103" w:type="dxa"/>
            <w:tcBorders/>
            <w:shd w:fill="auto" w:val="clear"/>
            <w:vAlign w:val="center"/>
          </w:tcPr>
          <w:p>
            <w:pPr>
              <w:pStyle w:val="TableContents"/>
              <w:spacing w:before="0" w:after="283"/>
              <w:ind w:left="0" w:right="0" w:hanging="180"/>
              <w:jc w:val="left"/>
              <w:rPr/>
            </w:pPr>
            <w:r>
              <w:rPr/>
              <w:t>)</w:t>
            </w:r>
          </w:p>
        </w:tc>
      </w:tr>
      <w:tr>
        <w:trPr/>
        <w:tc>
          <w:tcPr>
            <w:tcW w:w="6221" w:type="dxa"/>
            <w:tcBorders/>
            <w:shd w:fill="CCEEFF" w:val="clear"/>
            <w:vAlign w:val="center"/>
          </w:tcPr>
          <w:p>
            <w:pPr>
              <w:pStyle w:val="TableContents"/>
              <w:spacing w:before="0" w:after="283"/>
              <w:jc w:val="left"/>
              <w:rPr>
                <w:b/>
              </w:rPr>
            </w:pPr>
            <w:r>
              <w:rPr>
                <w:b/>
              </w:rPr>
              <w:t>Net cash used in financing activities</w:t>
            </w:r>
          </w:p>
        </w:tc>
        <w:tc>
          <w:tcPr>
            <w:tcW w:w="60" w:type="dxa"/>
            <w:tcBorders/>
            <w:shd w:fill="CCEEFF" w:val="clear"/>
            <w:vAlign w:val="center"/>
          </w:tcPr>
          <w:p>
            <w:pPr>
              <w:pStyle w:val="TableContents"/>
              <w:spacing w:before="0" w:after="283"/>
              <w:rPr/>
            </w:pPr>
            <w:r>
              <w:rPr/>
              <w:t> </w:t>
            </w:r>
          </w:p>
        </w:tc>
        <w:tc>
          <w:tcPr>
            <w:tcW w:w="19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CCEEFF" w:val="clear"/>
            <w:tcMar>
              <w:bottom w:w="28" w:type="dxa"/>
            </w:tcMar>
            <w:vAlign w:val="center"/>
          </w:tcPr>
          <w:p>
            <w:pPr>
              <w:pStyle w:val="TableContents"/>
              <w:spacing w:before="0" w:after="283"/>
              <w:jc w:val="right"/>
              <w:rPr>
                <w:b/>
              </w:rPr>
            </w:pPr>
            <w:r>
              <w:rPr>
                <w:b/>
              </w:rPr>
              <w:t>(28,093,875</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9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CCEEFF" w:val="clear"/>
            <w:tcMar>
              <w:bottom w:w="28" w:type="dxa"/>
            </w:tcMar>
            <w:vAlign w:val="center"/>
          </w:tcPr>
          <w:p>
            <w:pPr>
              <w:pStyle w:val="TableContents"/>
              <w:spacing w:before="0" w:after="283"/>
              <w:jc w:val="right"/>
              <w:rPr>
                <w:b/>
              </w:rPr>
            </w:pPr>
            <w:r>
              <w:rPr>
                <w:b/>
              </w:rPr>
              <w:t>(30,606</w:t>
            </w:r>
          </w:p>
        </w:tc>
        <w:tc>
          <w:tcPr>
            <w:tcW w:w="103" w:type="dxa"/>
            <w:tcBorders/>
            <w:shd w:fill="CCEEFF" w:val="clear"/>
            <w:vAlign w:val="center"/>
          </w:tcPr>
          <w:p>
            <w:pPr>
              <w:pStyle w:val="TableContents"/>
              <w:spacing w:before="0" w:after="283"/>
              <w:ind w:left="0" w:right="0" w:hanging="180"/>
              <w:jc w:val="left"/>
              <w:rPr>
                <w:b/>
              </w:rPr>
            </w:pPr>
            <w:r>
              <w:rPr>
                <w:b/>
              </w:rPr>
              <w:t>)</w:t>
            </w:r>
          </w:p>
        </w:tc>
      </w:tr>
      <w:tr>
        <w:trPr/>
        <w:tc>
          <w:tcPr>
            <w:tcW w:w="6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b/>
              </w:rPr>
            </w:pPr>
            <w:r>
              <w:rPr>
                <w:b/>
              </w:rPr>
              <w:t>Change in cash</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b/>
              </w:rPr>
            </w:pPr>
            <w:r>
              <w:rPr>
                <w:b/>
              </w:rPr>
              <w:t>(1,074,922</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b/>
              </w:rPr>
            </w:pPr>
            <w:r>
              <w:rPr>
                <w:b/>
              </w:rPr>
              <w:t>(74,170,348</w:t>
            </w:r>
          </w:p>
        </w:tc>
        <w:tc>
          <w:tcPr>
            <w:tcW w:w="103" w:type="dxa"/>
            <w:tcBorders/>
            <w:shd w:fill="CCEEFF" w:val="clear"/>
            <w:vAlign w:val="center"/>
          </w:tcPr>
          <w:p>
            <w:pPr>
              <w:pStyle w:val="TableContents"/>
              <w:spacing w:before="0" w:after="283"/>
              <w:ind w:left="0" w:right="0" w:hanging="180"/>
              <w:jc w:val="left"/>
              <w:rPr>
                <w:b/>
              </w:rPr>
            </w:pPr>
            <w:r>
              <w:rPr>
                <w:b/>
              </w:rPr>
              <w:t>)</w:t>
            </w:r>
          </w:p>
        </w:tc>
      </w:tr>
      <w:tr>
        <w:trPr/>
        <w:tc>
          <w:tcPr>
            <w:tcW w:w="6221" w:type="dxa"/>
            <w:tcBorders/>
            <w:shd w:fill="auto" w:val="clear"/>
            <w:vAlign w:val="center"/>
          </w:tcPr>
          <w:p>
            <w:pPr>
              <w:pStyle w:val="TableContents"/>
              <w:spacing w:before="0" w:after="283"/>
              <w:rPr>
                <w:b/>
              </w:rPr>
            </w:pPr>
            <w:r>
              <w:rPr>
                <w:b/>
              </w:rPr>
              <w:t>Cash, beginning of period</w:t>
            </w:r>
          </w:p>
        </w:tc>
        <w:tc>
          <w:tcPr>
            <w:tcW w:w="60" w:type="dxa"/>
            <w:tcBorders/>
            <w:shd w:fill="auto" w:val="clear"/>
            <w:vAlign w:val="center"/>
          </w:tcPr>
          <w:p>
            <w:pPr>
              <w:pStyle w:val="TableContents"/>
              <w:spacing w:before="0" w:after="283"/>
              <w:rPr/>
            </w:pPr>
            <w:r>
              <w:rPr/>
              <w:t> </w:t>
            </w:r>
          </w:p>
        </w:tc>
        <w:tc>
          <w:tcPr>
            <w:tcW w:w="19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auto" w:val="clear"/>
            <w:tcMar>
              <w:bottom w:w="28" w:type="dxa"/>
            </w:tcMar>
            <w:vAlign w:val="center"/>
          </w:tcPr>
          <w:p>
            <w:pPr>
              <w:pStyle w:val="TableContents"/>
              <w:spacing w:before="0" w:after="283"/>
              <w:jc w:val="right"/>
              <w:rPr>
                <w:b/>
              </w:rPr>
            </w:pPr>
            <w:r>
              <w:rPr>
                <w:b/>
              </w:rPr>
              <w:t>5,715,827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639" w:type="dxa"/>
            <w:tcBorders>
              <w:bottom w:val="single" w:sz="12" w:space="0" w:color="000000"/>
            </w:tcBorders>
            <w:shd w:fill="auto" w:val="clear"/>
            <w:tcMar>
              <w:bottom w:w="28" w:type="dxa"/>
            </w:tcMar>
            <w:vAlign w:val="center"/>
          </w:tcPr>
          <w:p>
            <w:pPr>
              <w:pStyle w:val="TableContents"/>
              <w:spacing w:before="0" w:after="283"/>
              <w:jc w:val="right"/>
              <w:rPr>
                <w:b/>
              </w:rPr>
            </w:pPr>
            <w:r>
              <w:rPr>
                <w:b/>
              </w:rPr>
              <w:t>80,248,526</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rPr>
                <w:b/>
              </w:rPr>
            </w:pPr>
            <w:r>
              <w:rPr>
                <w:b/>
              </w:rPr>
              <w:t>Cash, end of period</w:t>
            </w:r>
          </w:p>
        </w:tc>
        <w:tc>
          <w:tcPr>
            <w:tcW w:w="60" w:type="dxa"/>
            <w:tcBorders/>
            <w:shd w:fill="CCEEFF" w:val="clear"/>
            <w:vAlign w:val="center"/>
          </w:tcPr>
          <w:p>
            <w:pPr>
              <w:pStyle w:val="TableContents"/>
              <w:spacing w:before="0" w:after="283"/>
              <w:rPr/>
            </w:pPr>
            <w:r>
              <w:rPr/>
              <w:t> </w:t>
            </w:r>
          </w:p>
        </w:tc>
        <w:tc>
          <w:tcPr>
            <w:tcW w:w="194"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639" w:type="dxa"/>
            <w:tcBorders>
              <w:bottom w:val="double" w:sz="10" w:space="0" w:color="000000"/>
            </w:tcBorders>
            <w:shd w:fill="CCEEFF" w:val="clear"/>
            <w:tcMar>
              <w:bottom w:w="28" w:type="dxa"/>
            </w:tcMar>
            <w:vAlign w:val="center"/>
          </w:tcPr>
          <w:p>
            <w:pPr>
              <w:pStyle w:val="TableContents"/>
              <w:spacing w:before="0" w:after="283"/>
              <w:jc w:val="right"/>
              <w:rPr>
                <w:b/>
              </w:rPr>
            </w:pPr>
            <w:r>
              <w:rPr>
                <w:b/>
              </w:rPr>
              <w:t>4,640,905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639" w:type="dxa"/>
            <w:tcBorders>
              <w:bottom w:val="double" w:sz="10" w:space="0" w:color="000000"/>
            </w:tcBorders>
            <w:shd w:fill="CCEEFF" w:val="clear"/>
            <w:tcMar>
              <w:bottom w:w="28" w:type="dxa"/>
            </w:tcMar>
            <w:vAlign w:val="center"/>
          </w:tcPr>
          <w:p>
            <w:pPr>
              <w:pStyle w:val="TableContents"/>
              <w:spacing w:before="0" w:after="283"/>
              <w:jc w:val="right"/>
              <w:rPr>
                <w:b/>
              </w:rPr>
            </w:pPr>
            <w:r>
              <w:rPr>
                <w:b/>
              </w:rPr>
              <w:t>6,078,178</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b/>
              </w:rPr>
            </w:pPr>
            <w:r>
              <w:rPr>
                <w:b/>
              </w:rPr>
              <w:t>Supplemental disclosure of non-cash financing and investing activity</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pPr>
            <w:r>
              <w:rPr/>
              <w:t>Interest reserve withheld from funding of loan</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b/>
              </w:rPr>
            </w:pPr>
            <w:r>
              <w:rPr>
                <w:b/>
              </w:rPr>
              <w:t>$</w:t>
            </w:r>
          </w:p>
        </w:tc>
        <w:tc>
          <w:tcPr>
            <w:tcW w:w="1639" w:type="dxa"/>
            <w:tcBorders/>
            <w:shd w:fill="auto" w:val="clear"/>
            <w:vAlign w:val="center"/>
          </w:tcPr>
          <w:p>
            <w:pPr>
              <w:pStyle w:val="TableContents"/>
              <w:spacing w:before="0" w:after="0"/>
              <w:jc w:val="right"/>
              <w:rPr>
                <w:b/>
              </w:rPr>
            </w:pPr>
            <w:r>
              <w:rPr>
                <w:b/>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b/>
              </w:rPr>
            </w:pPr>
            <w:r>
              <w:rPr>
                <w:b/>
              </w:rPr>
              <w:t>$</w:t>
            </w:r>
          </w:p>
        </w:tc>
        <w:tc>
          <w:tcPr>
            <w:tcW w:w="1639" w:type="dxa"/>
            <w:tcBorders/>
            <w:shd w:fill="auto" w:val="clear"/>
            <w:vAlign w:val="center"/>
          </w:tcPr>
          <w:p>
            <w:pPr>
              <w:pStyle w:val="TableContents"/>
              <w:spacing w:before="0" w:after="283"/>
              <w:jc w:val="right"/>
              <w:rPr>
                <w:b/>
              </w:rPr>
            </w:pPr>
            <w:r>
              <w:rPr>
                <w:b/>
              </w:rPr>
              <w:t>3,919,974</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pPr>
            <w:r>
              <w:rPr/>
              <w:t>OID withheld from funding of loans held for investment</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b/>
              </w:rPr>
            </w:pPr>
            <w:r>
              <w:rPr>
                <w:b/>
              </w:rPr>
              <w:t>1,118,340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b/>
              </w:rPr>
            </w:pPr>
            <w:r>
              <w:rPr>
                <w:b/>
              </w:rPr>
              <w:t>1,128,415</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pPr>
            <w:r>
              <w:rPr/>
              <w:t>Dividends declared and not yet paid</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b/>
              </w:rPr>
            </w:pPr>
            <w:r>
              <w:rPr>
                <w:b/>
              </w:rPr>
              <w:t>8,667,701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b/>
              </w:rPr>
            </w:pPr>
            <w:r>
              <w:rPr>
                <w:b/>
              </w:rPr>
              <w:t>7,100,066</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 </w:t>
            </w:r>
          </w:p>
        </w:tc>
        <w:tc>
          <w:tcPr>
            <w:tcW w:w="1639" w:type="dxa"/>
            <w:tcBorders/>
            <w:shd w:fill="CCEEFF" w:val="clear"/>
            <w:vAlign w:val="center"/>
          </w:tcPr>
          <w:p>
            <w:pPr>
              <w:pStyle w:val="TableContents"/>
              <w:spacing w:before="0" w:after="283"/>
              <w:jc w:val="right"/>
              <w:rPr/>
            </w:pPr>
            <w:r>
              <w:rPr/>
              <w:t> </w:t>
            </w:r>
          </w:p>
        </w:tc>
        <w:tc>
          <w:tcPr>
            <w:tcW w:w="103" w:type="dxa"/>
            <w:tcBorders/>
            <w:shd w:fill="CCEEFF" w:val="clear"/>
            <w:vAlign w:val="center"/>
          </w:tcPr>
          <w:p>
            <w:pPr>
              <w:pStyle w:val="TableContents"/>
              <w:spacing w:before="0" w:after="283"/>
              <w:ind w:left="0" w:right="0" w:hanging="180"/>
              <w:jc w:val="left"/>
              <w:rPr/>
            </w:pPr>
            <w:r>
              <w:rPr/>
              <w:t> </w:t>
            </w:r>
          </w:p>
        </w:tc>
      </w:tr>
      <w:tr>
        <w:trPr/>
        <w:tc>
          <w:tcPr>
            <w:tcW w:w="6221" w:type="dxa"/>
            <w:tcBorders/>
            <w:shd w:fill="auto" w:val="clear"/>
            <w:vAlign w:val="center"/>
          </w:tcPr>
          <w:p>
            <w:pPr>
              <w:pStyle w:val="TableContents"/>
              <w:spacing w:before="0" w:after="283"/>
              <w:jc w:val="left"/>
              <w:rPr>
                <w:b/>
              </w:rPr>
            </w:pPr>
            <w:r>
              <w:rPr>
                <w:b/>
              </w:rPr>
              <w:t>Supplemental information:</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39" w:type="dxa"/>
            <w:tcBorders/>
            <w:shd w:fill="auto" w:val="clear"/>
            <w:vAlign w:val="center"/>
          </w:tcPr>
          <w:p>
            <w:pPr>
              <w:pStyle w:val="TableContents"/>
              <w:spacing w:before="0" w:after="283"/>
              <w:jc w:val="right"/>
              <w:rPr/>
            </w:pPr>
            <w:r>
              <w:rPr/>
              <w:t> </w:t>
            </w:r>
          </w:p>
        </w:tc>
        <w:tc>
          <w:tcPr>
            <w:tcW w:w="103" w:type="dxa"/>
            <w:tcBorders/>
            <w:shd w:fill="auto" w:val="clear"/>
            <w:vAlign w:val="center"/>
          </w:tcPr>
          <w:p>
            <w:pPr>
              <w:pStyle w:val="TableContents"/>
              <w:spacing w:before="0" w:after="283"/>
              <w:ind w:left="0" w:right="0" w:hanging="180"/>
              <w:jc w:val="left"/>
              <w:rPr/>
            </w:pPr>
            <w:r>
              <w:rPr/>
              <w:t> </w:t>
            </w:r>
          </w:p>
        </w:tc>
      </w:tr>
      <w:tr>
        <w:trPr/>
        <w:tc>
          <w:tcPr>
            <w:tcW w:w="6221" w:type="dxa"/>
            <w:tcBorders/>
            <w:shd w:fill="CCEEFF" w:val="clear"/>
            <w:vAlign w:val="center"/>
          </w:tcPr>
          <w:p>
            <w:pPr>
              <w:pStyle w:val="TableContents"/>
              <w:spacing w:before="0" w:after="283"/>
              <w:jc w:val="left"/>
              <w:rPr/>
            </w:pPr>
            <w:r>
              <w:rPr/>
              <w:t>Interest paid during the period</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w:t>
            </w:r>
          </w:p>
        </w:tc>
        <w:tc>
          <w:tcPr>
            <w:tcW w:w="1639" w:type="dxa"/>
            <w:tcBorders/>
            <w:shd w:fill="CCEEFF" w:val="clear"/>
            <w:vAlign w:val="center"/>
          </w:tcPr>
          <w:p>
            <w:pPr>
              <w:pStyle w:val="TableContents"/>
              <w:spacing w:before="0" w:after="283"/>
              <w:jc w:val="right"/>
              <w:rPr/>
            </w:pPr>
            <w:r>
              <w:rPr/>
              <w:t>1,363,742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4" w:type="dxa"/>
            <w:tcBorders/>
            <w:shd w:fill="CCEEFF" w:val="clear"/>
            <w:vAlign w:val="center"/>
          </w:tcPr>
          <w:p>
            <w:pPr>
              <w:pStyle w:val="TableContents"/>
              <w:spacing w:before="0" w:after="283"/>
              <w:jc w:val="left"/>
              <w:rPr/>
            </w:pPr>
            <w:r>
              <w:rPr/>
              <w:t>$</w:t>
            </w:r>
          </w:p>
        </w:tc>
        <w:tc>
          <w:tcPr>
            <w:tcW w:w="1639" w:type="dxa"/>
            <w:tcBorders/>
            <w:shd w:fill="CCEEFF" w:val="clear"/>
            <w:vAlign w:val="center"/>
          </w:tcPr>
          <w:p>
            <w:pPr>
              <w:pStyle w:val="TableContents"/>
              <w:spacing w:before="0" w:after="0"/>
              <w:jc w:val="right"/>
              <w:rPr/>
            </w:pPr>
            <w:r>
              <w:rPr/>
              <w:t>-</w:t>
            </w:r>
          </w:p>
        </w:tc>
        <w:tc>
          <w:tcPr>
            <w:tcW w:w="103"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CHICAGO ATLANTIC REAL ESTATE FINANCE, INC.</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DESCRIPTION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Real Estate Finance, Inc., and its wholly owned consolidated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all of its REIT taxable income prior to the deduction for dividends paid and complies with various other requirements as a REIT.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externally managed by Chicago Atlantic REIT Manager, LLC (the “Manager”), a Delaware limited liability company, pursuant to the terms of the management agreement dated May 1, 2021, as amended in October 2021, which has a three-year initial term set to expire on April 30, 2024 (the “Management Agreement”), by and among the Company and the Manager. After the initial term, the management agreement is automatically renewed for one-year periods unless the Company or the Manager elects not to renew in accordance with the terms of the Management Agreement.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7). All of the Company’s investment decisions are made by the investment committee of the Manager, subject to oversight by the Company’s board of directors (the “Board”). The Manager is wholly-owned by Chicago Atlantic Group, LLC (the “Sponsor”).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positions, results of operations, and cash flows of Chicago Atlantic Real Estate Finance, Inc., and its wholly owned consolidated subsidiary, Chicago Atlantic Lincoln, LLC. All intercompany accounts and transactions have been eliminated in consolidation.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2022. In the opinion of the Company, all normal recurring adjustments have been made that are necessary to the fair statement of the results of operations and financial position as of and for the periods presented. Operating results for the three-month period ended March 31, 2023 are not necessarily indicative of the results that may be expected for the year ending December 31, 2023.</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 in the Preparation of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Maryland corporation and elected to be taxed as a REIT under the Code, commencing with its taxable year ended December 31, 2021. The Company believes that its method of operations will enable it to continue to qualify as a REIT. However, no assurances can be given that the Company’s beliefs or expectations will be fulfilled, since qualification as a REIT depends on the Company satisfying numerous asset, income and distribution tests which depends, in part, on the Company’s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qualify as a REIT, the Company must meet a number of organizational and operational requirements, including a requirement that the Company distributes annually to its stockholders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if the Company distributes less than the sum of 1) 85% of its ordinary income for the calendar year, 2) 95% of its capital gain net income for the calendar year, and 3) any undistributed shortfall from its prior calendar year (the “Required Distribution”) to its stockholders during any calendar year (including any distributions declared by the last day of the calendar year but paid in the subsequent year), then it is required to pay a non-deductible excise tax equal to 4% of any shortfall between the Required Distribution and the amount that was actually distributed. The 90% distribution requirement does not require the distribution of net capital gains. However, if the Company elects to retain any of its net capital gain for any tax year, it must notify its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and receive an income tax credit for such amount. Furthermore, such retained capital gain may be subject to the nondeductible 4% excise tax. If it is determined that the Company’s estimated current year taxable income will be in excess of estimated dividend distributions (including capital gain dividend) for the current year from such income, the Company accrues excise tax on estimated excess taxable income as such taxable income is earned. The annual expense is calculated in accordance with applicable tax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well documented and supported as of December 31, 2022 and 2021. Based on the Company’s evaluation, there is no reserve for any uncertain income tax positions. Accrued interest and penalties, if any, are included within other liabilities in the balance sheets.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current period presentation. Interest expense was previously presented as an operating expense and has been reclassified as a reduction to net interest income on the consolidated statements of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reclassifications do not result in any changes to previously reported total assets, stockholder’s equity, and net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2022, the Financial Accounting Standards Board (“FASB”) issued Accounting Standards Update (“ASU”) 2022-02, Financial Instruments – Credit Losses (Topic 326): Troubled Debt Restructurings and Vintage Disclosures. The amendments in this ASU eliminate the accounting guidance for TDRs by creditors in Subtopic 310-40, Receivables—Troubled Debt Restructurings by Creditors, while enhancing disclosure requirements for certain loan refinancings and restructurings by creditors when a borrower is experiencing financial difficulty. Additionally, for public business entities, the amendments in this ASU require that an entity disclose current-period gross write-offs by year of origination for financing receivables and net investments in leases within the scope of Subtopic 326-20, Financial Instruments—Credit Losses—Measured at Amortized Cost. The ASU’s amendments are effective for fiscal years beginning after December 15, 2022, and interim periods within those fiscal years and early adoption is permitted. The Company’s adoption of ASU 2022-02 on January 1, 2023 did not have a material impact on the Company’s consolidated financial statements.</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LOANS HELD FOR INVESTMENT,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December 31, 2022, the Company’s portfolio was comprised of loans to 24 and 22 portfolio companies, respectively, that the Company has the ability and intent to hold until maturity. The portfolio loans are held on the consolidated balance sheets at amortized cost. The Company’s aggregate loan commitments and outstanding principal were approximately $328.0 million and $320.2 million, respectively, as of March 31, 2023, and $351.4 million and $343.0 million as of December 31, 2022. During the three months ended March 31, 2023, the Company funded approximately $34.1 million in new loan principal.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December 31, 2022, approximately 88.0% and 83.1%, respectively, of the Company’s portfolio was comprised of floating rate loans that pay interest at the Prime Rate plus an applicable margin, and were subject to Prime Rate ceilings and floors as discussed in the tables below. The carrying value of these loans was approximately $278.1 million and $281.6 million as of March 31, 2023 and December 31, 2022,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12.0% and 16.9% of the portfolio as of March 31, 2023 and December 31, 2022, respectively, was comprised of fixed rate loans that had a carrying value of approximately $38.1 million and $57.7 million.</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Company’s loans held for investment as of March 31, 2023 and December 31, 2022:</w:t>
      </w:r>
    </w:p>
    <w:p>
      <w:pPr>
        <w:pStyle w:val="TextBody"/>
        <w:spacing w:before="0" w:after="0"/>
        <w:ind w:left="0" w:right="0" w:hanging="0"/>
        <w:rPr>
          <w:caps w:val="false"/>
          <w:smallCaps w:val="false"/>
        </w:rPr>
      </w:pPr>
      <w:r>
        <w:rPr>
          <w:caps w:val="false"/>
          <w:smallCaps w:val="false"/>
        </w:rPr>
        <w:t> </w:t>
      </w:r>
    </w:p>
    <w:tbl>
      <w:tblPr>
        <w:tblW w:w="9202" w:type="dxa"/>
        <w:jc w:val="left"/>
        <w:tblInd w:w="0" w:type="dxa"/>
        <w:tblCellMar>
          <w:top w:w="0" w:type="dxa"/>
          <w:left w:w="0" w:type="dxa"/>
          <w:bottom w:w="0" w:type="dxa"/>
          <w:right w:w="0" w:type="dxa"/>
        </w:tblCellMar>
      </w:tblPr>
      <w:tblGrid>
        <w:gridCol w:w="3260"/>
        <w:gridCol w:w="60"/>
        <w:gridCol w:w="125"/>
        <w:gridCol w:w="1055"/>
        <w:gridCol w:w="60"/>
        <w:gridCol w:w="60"/>
        <w:gridCol w:w="148"/>
        <w:gridCol w:w="1071"/>
        <w:gridCol w:w="80"/>
        <w:gridCol w:w="60"/>
        <w:gridCol w:w="172"/>
        <w:gridCol w:w="1452"/>
        <w:gridCol w:w="80"/>
        <w:gridCol w:w="60"/>
        <w:gridCol w:w="247"/>
        <w:gridCol w:w="1137"/>
        <w:gridCol w:w="75"/>
      </w:tblGrid>
      <w:tr>
        <w:trPr/>
        <w:tc>
          <w:tcPr>
            <w:tcW w:w="32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807" w:type="dxa"/>
            <w:gridSpan w:val="14"/>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As of March 31, 2023</w:t>
            </w:r>
          </w:p>
        </w:tc>
        <w:tc>
          <w:tcPr>
            <w:tcW w:w="75" w:type="dxa"/>
            <w:tcBorders/>
            <w:shd w:fill="auto" w:val="clear"/>
            <w:vAlign w:val="center"/>
          </w:tcPr>
          <w:p>
            <w:pPr>
              <w:pStyle w:val="TableContents"/>
              <w:spacing w:before="0" w:after="283"/>
              <w:rPr/>
            </w:pPr>
            <w:r>
              <w:rPr/>
              <w:t> </w:t>
            </w:r>
          </w:p>
        </w:tc>
      </w:tr>
      <w:tr>
        <w:trPr/>
        <w:tc>
          <w:tcPr>
            <w:tcW w:w="32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br/>
              <w:t>Principal (1)</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21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Issue</w:t>
              <w:br/>
              <w:t>Discount</w:t>
            </w:r>
          </w:p>
        </w:tc>
        <w:tc>
          <w:tcPr>
            <w:tcW w:w="8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62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 (1)</w:t>
            </w:r>
          </w:p>
        </w:tc>
        <w:tc>
          <w:tcPr>
            <w:tcW w:w="8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38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 xml:space="preserve">Remaining Life </w:t>
              <w:br/>
              <w:t>(Years) (2)</w:t>
            </w:r>
          </w:p>
        </w:tc>
        <w:tc>
          <w:tcPr>
            <w:tcW w:w="7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3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Term Loans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320,191,407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(3,965,263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5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316,226,144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4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2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expected credit loss reserve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8"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71"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2"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52"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(4,051,934</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jc w:val="left"/>
              <w:rPr/>
            </w:pPr>
            <w:r>
              <w:rPr/>
              <w:t> </w:t>
            </w:r>
          </w:p>
        </w:tc>
        <w:tc>
          <w:tcPr>
            <w:tcW w:w="1137"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326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loans held at carrying value,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320,191,407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8"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1"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(3,965,263</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2"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52"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312,174,210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jc w:val="left"/>
              <w:rPr/>
            </w:pPr>
            <w:r>
              <w:rPr/>
              <w:t> </w:t>
            </w:r>
          </w:p>
        </w:tc>
        <w:tc>
          <w:tcPr>
            <w:tcW w:w="1137"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183" w:type="dxa"/>
        <w:jc w:val="left"/>
        <w:tblInd w:w="0" w:type="dxa"/>
        <w:tblCellMar>
          <w:top w:w="0" w:type="dxa"/>
          <w:left w:w="0" w:type="dxa"/>
          <w:bottom w:w="0" w:type="dxa"/>
          <w:right w:w="0" w:type="dxa"/>
        </w:tblCellMar>
      </w:tblPr>
      <w:tblGrid>
        <w:gridCol w:w="3875"/>
        <w:gridCol w:w="60"/>
        <w:gridCol w:w="140"/>
        <w:gridCol w:w="1220"/>
        <w:gridCol w:w="60"/>
        <w:gridCol w:w="60"/>
        <w:gridCol w:w="167"/>
        <w:gridCol w:w="1262"/>
        <w:gridCol w:w="95"/>
        <w:gridCol w:w="60"/>
        <w:gridCol w:w="140"/>
        <w:gridCol w:w="1220"/>
        <w:gridCol w:w="95"/>
        <w:gridCol w:w="60"/>
        <w:gridCol w:w="251"/>
        <w:gridCol w:w="1343"/>
        <w:gridCol w:w="75"/>
      </w:tblGrid>
      <w:tr>
        <w:trPr/>
        <w:tc>
          <w:tcPr>
            <w:tcW w:w="38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173"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As of December 31, 2022</w:t>
            </w:r>
          </w:p>
        </w:tc>
        <w:tc>
          <w:tcPr>
            <w:tcW w:w="75"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Outstanding</w:t>
              <w:br/>
              <w:t>Principal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Original Issue</w:t>
              <w:br/>
              <w:t>Discount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Carrying</w:t>
              <w:br/>
              <w:t>Value (1)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9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Weighted</w:t>
              <w:br/>
              <w:t>Average</w:t>
              <w:br/>
              <w:t>Remaining Life</w:t>
              <w:br/>
              <w:t>(Years) (2)</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283"/>
              <w:jc w:val="left"/>
              <w:rPr/>
            </w:pPr>
            <w:r>
              <w:rPr/>
              <w:t>Senior Term Loans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343,029,334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w:t>
            </w:r>
          </w:p>
        </w:tc>
        <w:tc>
          <w:tcPr>
            <w:tcW w:w="1262" w:type="dxa"/>
            <w:tcBorders/>
            <w:shd w:fill="CCEEFF" w:val="clear"/>
            <w:vAlign w:val="center"/>
          </w:tcPr>
          <w:p>
            <w:pPr>
              <w:pStyle w:val="TableContents"/>
              <w:spacing w:before="0" w:after="283"/>
              <w:jc w:val="right"/>
              <w:rPr/>
            </w:pPr>
            <w:r>
              <w:rPr/>
              <w:t>(3,755,796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339,273,538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jc w:val="left"/>
              <w:rPr/>
            </w:pPr>
            <w:r>
              <w:rPr/>
              <w:t> </w:t>
            </w:r>
          </w:p>
        </w:tc>
        <w:tc>
          <w:tcPr>
            <w:tcW w:w="1343" w:type="dxa"/>
            <w:tcBorders/>
            <w:shd w:fill="CCEEFF" w:val="clear"/>
            <w:vAlign w:val="center"/>
          </w:tcPr>
          <w:p>
            <w:pPr>
              <w:pStyle w:val="TableContents"/>
              <w:spacing w:before="0" w:after="283"/>
              <w:jc w:val="right"/>
              <w:rPr/>
            </w:pPr>
            <w:r>
              <w:rPr/>
              <w:t>2.2</w:t>
            </w:r>
          </w:p>
        </w:tc>
        <w:tc>
          <w:tcPr>
            <w:tcW w:w="75" w:type="dxa"/>
            <w:tcBorders/>
            <w:shd w:fill="CCEEFF" w:val="clear"/>
            <w:vAlign w:val="center"/>
          </w:tcPr>
          <w:p>
            <w:pPr>
              <w:pStyle w:val="TableContents"/>
              <w:spacing w:before="0" w:after="283"/>
              <w:jc w:val="left"/>
              <w:rPr/>
            </w:pPr>
            <w:r>
              <w:rPr/>
              <w:t> </w:t>
            </w:r>
          </w:p>
        </w:tc>
      </w:tr>
      <w:tr>
        <w:trPr/>
        <w:tc>
          <w:tcPr>
            <w:tcW w:w="3875" w:type="dxa"/>
            <w:tcBorders/>
            <w:shd w:fill="auto" w:val="clear"/>
            <w:vAlign w:val="center"/>
          </w:tcPr>
          <w:p>
            <w:pPr>
              <w:pStyle w:val="TableContents"/>
              <w:spacing w:before="0" w:after="283"/>
              <w:jc w:val="left"/>
              <w:rPr/>
            </w:pPr>
            <w:r>
              <w:rPr/>
              <w:t>Current expected credit loss reserve</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7"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62"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(3,940,939</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jc w:val="left"/>
              <w:rPr/>
            </w:pPr>
            <w:r>
              <w:rPr/>
              <w:t> </w:t>
            </w:r>
          </w:p>
        </w:tc>
        <w:tc>
          <w:tcPr>
            <w:tcW w:w="1343"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3875" w:type="dxa"/>
            <w:tcBorders/>
            <w:shd w:fill="CCEEFF" w:val="clear"/>
            <w:vAlign w:val="center"/>
          </w:tcPr>
          <w:p>
            <w:pPr>
              <w:pStyle w:val="TableContents"/>
              <w:spacing w:before="0" w:after="283"/>
              <w:jc w:val="left"/>
              <w:rPr>
                <w:b/>
              </w:rPr>
            </w:pPr>
            <w:r>
              <w:rPr>
                <w:b/>
              </w:rPr>
              <w:t>Total loans held at carrying value, net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b/>
              </w:rPr>
            </w:pPr>
            <w:r>
              <w:rPr>
                <w:b/>
              </w:rPr>
              <w:t>343,029,334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7"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62" w:type="dxa"/>
            <w:tcBorders>
              <w:bottom w:val="double" w:sz="10" w:space="0" w:color="000000"/>
            </w:tcBorders>
            <w:shd w:fill="CCEEFF" w:val="clear"/>
            <w:tcMar>
              <w:bottom w:w="28" w:type="dxa"/>
            </w:tcMar>
            <w:vAlign w:val="center"/>
          </w:tcPr>
          <w:p>
            <w:pPr>
              <w:pStyle w:val="TableContents"/>
              <w:spacing w:before="0" w:after="283"/>
              <w:jc w:val="right"/>
              <w:rPr>
                <w:b/>
              </w:rPr>
            </w:pPr>
            <w:r>
              <w:rPr>
                <w:b/>
              </w:rPr>
              <w:t>(3,755,796</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b/>
              </w:rPr>
            </w:pPr>
            <w:r>
              <w:rPr>
                <w:b/>
              </w:rPr>
              <w:t>335,332,599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jc w:val="left"/>
              <w:rPr/>
            </w:pPr>
            <w:r>
              <w:rPr/>
              <w:t> </w:t>
            </w:r>
          </w:p>
        </w:tc>
        <w:tc>
          <w:tcPr>
            <w:tcW w:w="1343"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979"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difference between the Carrying Value and the Outstanding Principal amount of the loans consists of unaccreted original issue discount, deferred loan fees and other upfront fees. Outstanding principal balance includes capitalized PIK interest, if applicable.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995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Weighted average remaining life is calculated based on the carrying value of the loans as of March 31, 2023 and December 31, 2022, respectively.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changes in loans held at carrying value as of and for the three months ended March 31, 2023 and 2022.</w:t>
      </w:r>
    </w:p>
    <w:p>
      <w:pPr>
        <w:pStyle w:val="TextBody"/>
        <w:spacing w:before="0" w:after="0"/>
        <w:ind w:left="0" w:right="0" w:hanging="0"/>
        <w:rPr>
          <w:caps w:val="false"/>
          <w:smallCaps w:val="false"/>
        </w:rPr>
      </w:pPr>
      <w:r>
        <w:rPr>
          <w:caps w:val="false"/>
          <w:smallCaps w:val="false"/>
        </w:rPr>
        <w:t> </w:t>
      </w:r>
    </w:p>
    <w:tbl>
      <w:tblPr>
        <w:tblW w:w="7925" w:type="dxa"/>
        <w:jc w:val="left"/>
        <w:tblInd w:w="0" w:type="dxa"/>
        <w:tblCellMar>
          <w:top w:w="0" w:type="dxa"/>
          <w:left w:w="0" w:type="dxa"/>
          <w:bottom w:w="0" w:type="dxa"/>
          <w:right w:w="0" w:type="dxa"/>
        </w:tblCellMar>
      </w:tblPr>
      <w:tblGrid>
        <w:gridCol w:w="2930"/>
        <w:gridCol w:w="60"/>
        <w:gridCol w:w="125"/>
        <w:gridCol w:w="1055"/>
        <w:gridCol w:w="80"/>
        <w:gridCol w:w="60"/>
        <w:gridCol w:w="125"/>
        <w:gridCol w:w="905"/>
        <w:gridCol w:w="80"/>
        <w:gridCol w:w="60"/>
        <w:gridCol w:w="125"/>
        <w:gridCol w:w="905"/>
        <w:gridCol w:w="80"/>
        <w:gridCol w:w="60"/>
        <w:gridCol w:w="125"/>
        <w:gridCol w:w="1055"/>
        <w:gridCol w:w="95"/>
      </w:tblGrid>
      <w:tr>
        <w:trPr/>
        <w:tc>
          <w:tcPr>
            <w:tcW w:w="293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w:t>
              <w:br/>
              <w:t>Issue</w:t>
              <w:br/>
              <w:t>Discount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br/>
              <w:t>Expected</w:t>
              <w:br/>
              <w:t>Credit Loss</w:t>
              <w:br/>
              <w:t>Reserve</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br/>
              <w:t>Value (1)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93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December 31, 2022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343,029,334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(3,755,796</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(3,940,939</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335,332,599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9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fundings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34,060,000</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(1,118,340</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32,941,660</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repayment of loans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(45,754,443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(45,754,443</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original issue discount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908,873</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908,873</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loans (2)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(13,399,712</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(13,399,712</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PIK Interest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2,256,228</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2,256,228</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expected credit loss reserve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(110,995</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(110,995</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March 31, 2023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320,191,407</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(3,965,263</w:t>
            </w:r>
          </w:p>
        </w:tc>
        <w:tc>
          <w:tcPr>
            <w:tcW w:w="80"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(4,051,934</w:t>
            </w:r>
          </w:p>
        </w:tc>
        <w:tc>
          <w:tcPr>
            <w:tcW w:w="80"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312,174,210</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979"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difference between the Carrying Value and the Outstanding Principal amount of the loans consists of unaccreted original issue discount, deferred loan fees and other upfront fees. Outstanding principal balance includes capitalized PIK interest, if applicable.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0"/>
        <w:gridCol w:w="9957"/>
      </w:tblGrid>
      <w:tr>
        <w:trPr/>
        <w:tc>
          <w:tcPr>
            <w:tcW w:w="3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995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One loan was reclassified as Held for sale from Loans held for investment as the decision was made to sell the loan during the three months ended March 31, 2023 to a syndicate of co-lenders which includes a third party and two affiliates under common control with our Manager.</w:t>
            </w:r>
          </w:p>
        </w:tc>
      </w:tr>
    </w:tbl>
    <w:p>
      <w:pPr>
        <w:pStyle w:val="TextBody"/>
        <w:spacing w:before="0" w:after="0"/>
        <w:ind w:left="0" w:right="0" w:hanging="0"/>
        <w:rPr>
          <w:caps w:val="false"/>
          <w:smallCaps w:val="false"/>
        </w:rPr>
      </w:pPr>
      <w:r>
        <w:rPr>
          <w:caps w:val="false"/>
          <w:smallCaps w:val="false"/>
        </w:rPr>
        <w:t> </w:t>
      </w:r>
    </w:p>
    <w:tbl>
      <w:tblPr>
        <w:tblW w:w="8089" w:type="dxa"/>
        <w:jc w:val="left"/>
        <w:tblInd w:w="0" w:type="dxa"/>
        <w:tblCellMar>
          <w:top w:w="0" w:type="dxa"/>
          <w:left w:w="0" w:type="dxa"/>
          <w:bottom w:w="0" w:type="dxa"/>
          <w:right w:w="0" w:type="dxa"/>
        </w:tblCellMar>
      </w:tblPr>
      <w:tblGrid>
        <w:gridCol w:w="2930"/>
        <w:gridCol w:w="60"/>
        <w:gridCol w:w="125"/>
        <w:gridCol w:w="1055"/>
        <w:gridCol w:w="80"/>
        <w:gridCol w:w="60"/>
        <w:gridCol w:w="125"/>
        <w:gridCol w:w="905"/>
        <w:gridCol w:w="80"/>
        <w:gridCol w:w="60"/>
        <w:gridCol w:w="141"/>
        <w:gridCol w:w="853"/>
        <w:gridCol w:w="80"/>
        <w:gridCol w:w="60"/>
        <w:gridCol w:w="125"/>
        <w:gridCol w:w="1055"/>
        <w:gridCol w:w="295"/>
      </w:tblGrid>
      <w:tr>
        <w:trPr/>
        <w:tc>
          <w:tcPr>
            <w:tcW w:w="29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w:t>
              <w:br/>
              <w:t>Issue</w:t>
              <w:br/>
              <w:t>Discount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9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br/>
              <w:t>Expected</w:t>
              <w:br/>
              <w:t>Credit Loss</w:t>
              <w:br/>
              <w:t>Reserve</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w:t>
              <w:br/>
              <w:t>Value (1)</w:t>
            </w:r>
          </w:p>
        </w:tc>
        <w:tc>
          <w:tcPr>
            <w:tcW w:w="2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93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December 31, 2021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200,632,056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(3,647,490</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1"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3"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(134,542</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196,850,024</w:t>
            </w:r>
          </w:p>
        </w:tc>
        <w:tc>
          <w:tcPr>
            <w:tcW w:w="295" w:type="dxa"/>
            <w:tcBorders/>
            <w:shd w:fill="CCEEFF" w:val="clear"/>
            <w:vAlign w:val="center"/>
          </w:tcPr>
          <w:p>
            <w:pPr>
              <w:pStyle w:val="TableContents"/>
              <w:spacing w:before="0" w:after="283"/>
              <w:ind w:left="0" w:right="0" w:firstLine="200"/>
              <w:jc w:val="left"/>
              <w:rPr>
                <w:caps w:val="false"/>
                <w:smallCaps w:val="false"/>
              </w:rPr>
            </w:pPr>
            <w:r>
              <w:rPr>
                <w:caps w:val="false"/>
                <w:smallCaps w:val="false"/>
              </w:rPr>
              <w:t> </w:t>
            </w:r>
          </w:p>
        </w:tc>
      </w:tr>
      <w:tr>
        <w:trPr/>
        <w:tc>
          <w:tcPr>
            <w:tcW w:w="29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fundings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86,725,308</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(1,128,415</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1"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53"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85,596,893</w:t>
            </w:r>
          </w:p>
        </w:tc>
        <w:tc>
          <w:tcPr>
            <w:tcW w:w="295" w:type="dxa"/>
            <w:tcBorders/>
            <w:shd w:fill="auto" w:val="clear"/>
            <w:vAlign w:val="center"/>
          </w:tcPr>
          <w:p>
            <w:pPr>
              <w:pStyle w:val="TableContents"/>
              <w:spacing w:before="0" w:after="283"/>
              <w:ind w:left="0" w:right="0" w:firstLine="200"/>
              <w:jc w:val="left"/>
              <w:rPr>
                <w:caps w:val="false"/>
                <w:smallCaps w:val="false"/>
              </w:rPr>
            </w:pPr>
            <w:r>
              <w:rPr>
                <w:caps w:val="false"/>
                <w:smallCaps w:val="false"/>
              </w:rPr>
              <w:t> </w:t>
            </w:r>
          </w:p>
        </w:tc>
      </w:tr>
      <w:tr>
        <w:trPr/>
        <w:tc>
          <w:tcPr>
            <w:tcW w:w="29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repayment of loans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(5,619,201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(5,619,201</w:t>
            </w:r>
          </w:p>
        </w:tc>
        <w:tc>
          <w:tcPr>
            <w:tcW w:w="295" w:type="dxa"/>
            <w:tcBorders/>
            <w:shd w:fill="CCEEFF" w:val="clear"/>
            <w:vAlign w:val="center"/>
          </w:tcPr>
          <w:p>
            <w:pPr>
              <w:pStyle w:val="TableContents"/>
              <w:spacing w:before="0" w:after="283"/>
              <w:ind w:left="0" w:right="0" w:firstLine="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original issue discount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894,087</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1"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53"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894,087</w:t>
            </w:r>
          </w:p>
        </w:tc>
        <w:tc>
          <w:tcPr>
            <w:tcW w:w="295" w:type="dxa"/>
            <w:tcBorders/>
            <w:shd w:fill="auto" w:val="clear"/>
            <w:vAlign w:val="center"/>
          </w:tcPr>
          <w:p>
            <w:pPr>
              <w:pStyle w:val="TableContents"/>
              <w:spacing w:before="0" w:after="283"/>
              <w:ind w:left="0" w:right="0" w:firstLine="200"/>
              <w:jc w:val="left"/>
              <w:rPr>
                <w:caps w:val="false"/>
                <w:smallCaps w:val="false"/>
              </w:rPr>
            </w:pPr>
            <w:r>
              <w:rPr>
                <w:caps w:val="false"/>
                <w:smallCaps w:val="false"/>
              </w:rPr>
              <w:t> </w:t>
            </w:r>
          </w:p>
        </w:tc>
      </w:tr>
      <w:tr>
        <w:trPr/>
        <w:tc>
          <w:tcPr>
            <w:tcW w:w="29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PIK Interest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970,569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3"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970,569</w:t>
            </w:r>
          </w:p>
        </w:tc>
        <w:tc>
          <w:tcPr>
            <w:tcW w:w="295" w:type="dxa"/>
            <w:tcBorders/>
            <w:shd w:fill="CCEEFF" w:val="clear"/>
            <w:vAlign w:val="center"/>
          </w:tcPr>
          <w:p>
            <w:pPr>
              <w:pStyle w:val="TableContents"/>
              <w:spacing w:before="0" w:after="283"/>
              <w:ind w:left="0" w:right="0" w:firstLine="200"/>
              <w:jc w:val="left"/>
              <w:rPr>
                <w:caps w:val="false"/>
                <w:smallCaps w:val="false"/>
              </w:rPr>
            </w:pPr>
            <w:r>
              <w:rPr>
                <w:caps w:val="false"/>
                <w:smallCaps w:val="false"/>
              </w:rPr>
              <w:t> </w:t>
            </w:r>
          </w:p>
        </w:tc>
      </w:tr>
      <w:tr>
        <w:trPr/>
        <w:tc>
          <w:tcPr>
            <w:tcW w:w="29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53"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(48,296</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(48,296</w:t>
            </w:r>
          </w:p>
        </w:tc>
        <w:tc>
          <w:tcPr>
            <w:tcW w:w="2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March 31, 2022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282,708,732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(3,881,818</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1"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53"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(182,838</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278,644,076</w:t>
            </w:r>
          </w:p>
        </w:tc>
        <w:tc>
          <w:tcPr>
            <w:tcW w:w="2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79"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difference between the Carrying Value and the Outstanding Principal amount of the loans consists of unaccreted original issue discount, deferred loan fees and other upfront fees. Outstanding principal balance includes capitalized PIK interest, if applicable.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detailed listing of the Company’s loans held at carrying value based on information available as of March 31, 2023, is as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536"/>
        <w:gridCol w:w="66"/>
        <w:gridCol w:w="1316"/>
        <w:gridCol w:w="60"/>
        <w:gridCol w:w="138"/>
        <w:gridCol w:w="1171"/>
        <w:gridCol w:w="60"/>
        <w:gridCol w:w="60"/>
        <w:gridCol w:w="157"/>
        <w:gridCol w:w="1141"/>
        <w:gridCol w:w="80"/>
        <w:gridCol w:w="60"/>
        <w:gridCol w:w="130"/>
        <w:gridCol w:w="1104"/>
        <w:gridCol w:w="80"/>
        <w:gridCol w:w="60"/>
        <w:gridCol w:w="1266"/>
        <w:gridCol w:w="60"/>
        <w:gridCol w:w="876"/>
        <w:gridCol w:w="60"/>
        <w:gridCol w:w="884"/>
        <w:gridCol w:w="60"/>
        <w:gridCol w:w="780"/>
      </w:tblGrid>
      <w:tr>
        <w:trPr/>
        <w:tc>
          <w:tcPr>
            <w:tcW w:w="536"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9"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Principal(1)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98"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Issue Premium/(Discount)</w:t>
            </w:r>
          </w:p>
        </w:tc>
        <w:tc>
          <w:tcPr>
            <w:tcW w:w="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34"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Value(1)</w:t>
            </w:r>
          </w:p>
        </w:tc>
        <w:tc>
          <w:tcPr>
            <w:tcW w:w="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Interest Rate(4)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Date(2)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Terms(3)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Initial </w:t>
              <w:br/>
              <w:t xml:space="preserve">Funding </w:t>
              <w:br/>
              <w:t>Date(1)</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(804,164</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29,195,836</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+ 6.50%</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10/30/2026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10/27/2022</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37,596,132</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(141,850</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37,454,282</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+ 6.65%</w:t>
            </w:r>
            <w:r>
              <w:rPr>
                <w:rFonts w:ascii="Times New Roman;Times;Serif" w:hAnsi="Times New Roman;Times;Serif"/>
                <w:b w:val="false"/>
                <w:i w:val="false"/>
                <w:caps w:val="false"/>
                <w:smallCaps w:val="false"/>
                <w:position w:val="7"/>
                <w:sz w:val="16"/>
                <w:sz w:val="20"/>
              </w:rPr>
              <w:t xml:space="preserve">(5)(6) </w:t>
            </w:r>
            <w:r>
              <w:rPr>
                <w:rFonts w:ascii="Times New Roman;Times;Serif" w:hAnsi="Times New Roman;Times;Serif"/>
                <w:b w:val="false"/>
                <w:i w:val="false"/>
                <w:caps w:val="false"/>
                <w:smallCaps w:val="false"/>
                <w:sz w:val="20"/>
              </w:rPr>
              <w:t>Cash, 4.25%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12/31/2024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3/5/2021</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20,942,803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(543,917</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20,398,886</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 Cash</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2.59% PIK</w:t>
            </w:r>
            <w:r>
              <w:rPr>
                <w:rFonts w:ascii="Times New Roman;Times;Serif" w:hAnsi="Times New Roman;Times;Serif"/>
                <w:b w:val="false"/>
                <w:i w:val="false"/>
                <w:caps w:val="false"/>
                <w:smallCaps w:val="false"/>
                <w:position w:val="7"/>
                <w:sz w:val="16"/>
                <w:sz w:val="20"/>
              </w:rPr>
              <w:t>(9)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11/29/2024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3/25/2021</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Arizona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12,075,490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12,075,490</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18.72%</w:t>
            </w:r>
            <w:r>
              <w:rPr>
                <w:rFonts w:ascii="Times New Roman;Times;Serif" w:hAnsi="Times New Roman;Times;Serif"/>
                <w:b w:val="false"/>
                <w:i w:val="false"/>
                <w:caps w:val="false"/>
                <w:smallCaps w:val="false"/>
                <w:position w:val="7"/>
                <w:sz w:val="16"/>
                <w:sz w:val="20"/>
              </w:rPr>
              <w:t>(5)(8)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12/31/2023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4/19/2021</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Massachusetts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2,666,000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2,666,000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+ 12.25%</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4/30/2025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4/19/2021</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4,275,000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(3,567</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4,271,433</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+ 9.00%</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Cash, 12%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2/20/2024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8/20/2021</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25,623,762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(220,990</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25,402,772</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+ 6.00%</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2.5%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6/30/2025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8/24/2021</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Virginia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10,535,399</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(90,064</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10,445,335</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19.25%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9/1/2024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9/1/2021</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Pennsylvania</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16,013,359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16,013,359</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+ 10.75%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6.0%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6/30/2024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9/3/2021</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235,205</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235,205</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9/30/2024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9/20/2021</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Maryland</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32,809,285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(536,959</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32,272,326</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+ 8.75%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2%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9/30/2024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9/30/2021</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r>
              <w:rPr>
                <w:rFonts w:ascii="Times New Roman;Times;Serif" w:hAnsi="Times New Roman;Times;Serif"/>
                <w:b w:val="false"/>
                <w:i w:val="false"/>
                <w:caps w:val="false"/>
                <w:smallCaps w:val="false"/>
                <w:position w:val="7"/>
                <w:sz w:val="16"/>
                <w:sz w:val="20"/>
              </w:rPr>
              <w:t>(7)</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13,038,000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(107,499</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12,930,501</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+ 9.25%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10/31/2024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11/8/2021</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13,166,720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(108,112</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13,058,608</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+ 6.00%</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1.5%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11/1/2024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11/22/2021</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r>
              <w:rPr>
                <w:rFonts w:ascii="Times New Roman;Times;Serif" w:hAnsi="Times New Roman;Times;Serif"/>
                <w:b w:val="false"/>
                <w:i w:val="false"/>
                <w:caps w:val="false"/>
                <w:smallCaps w:val="false"/>
                <w:position w:val="7"/>
                <w:sz w:val="16"/>
                <w:sz w:val="20"/>
              </w:rPr>
              <w:t>(7)</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5,194,514</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5,194,514</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+ 12.25%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2.5%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12/27/2026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12/27/2021</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3,835,398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(33,658</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3,801,740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+ 7.50%</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5%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12/29/2023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12/29/2021</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r>
              <w:rPr>
                <w:rFonts w:ascii="Times New Roman;Times;Serif" w:hAnsi="Times New Roman;Times;Serif"/>
                <w:b w:val="false"/>
                <w:i w:val="false"/>
                <w:caps w:val="false"/>
                <w:smallCaps w:val="false"/>
                <w:position w:val="7"/>
                <w:sz w:val="16"/>
                <w:sz w:val="20"/>
              </w:rPr>
              <w:t>(7)</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7,050,000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(43,824</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7,006,176</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+ 9.25%</w:t>
            </w:r>
            <w:r>
              <w:rPr>
                <w:rFonts w:ascii="Times New Roman;Times;Serif" w:hAnsi="Times New Roman;Times;Serif"/>
                <w:b w:val="false"/>
                <w:i w:val="false"/>
                <w:caps w:val="false"/>
                <w:smallCaps w:val="false"/>
                <w:position w:val="7"/>
                <w:sz w:val="16"/>
                <w:sz w:val="20"/>
              </w:rPr>
              <w:t xml:space="preserve">(5)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12/31/2024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12/30/2021</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Florida</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(231,336</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14,768,664</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+ 4.75%</w:t>
            </w:r>
            <w:r>
              <w:rPr>
                <w:rFonts w:ascii="Times New Roman;Times;Serif" w:hAnsi="Times New Roman;Times;Serif"/>
                <w:b w:val="false"/>
                <w:i w:val="false"/>
                <w:caps w:val="false"/>
                <w:smallCaps w:val="false"/>
                <w:position w:val="7"/>
                <w:sz w:val="16"/>
                <w:sz w:val="20"/>
              </w:rPr>
              <w:t xml:space="preserve">(5)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1/31/2025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1/18/2022</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Ohio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12,677,075</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(151,869</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12,525,206</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+ 6.00%</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5%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2/28/2025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2/3/2022</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Florida</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20,637,961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(70,061</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20,567,900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 Cash, 3%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8/29/2025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3/11/2022</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Missouri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17,425,500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(120,385</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17,305,115</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 Cash, 2%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5/30/2025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5/9/2022</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Illinois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5,114,907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(73,499</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5,041,408</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+ 8.50%</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3%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6/30/2026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7/1/2022</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Maryland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11,278,897</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(633,736</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10,645,161</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+ 5.75%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1.4%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1/24/2026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1/24/2023</w:t>
            </w:r>
          </w:p>
        </w:tc>
      </w:tr>
      <w:tr>
        <w:trPr/>
        <w:tc>
          <w:tcPr>
            <w:tcW w:w="536"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66"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Arizona</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(49,773</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1,950,227</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+ 7.50%</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3/27/2023</w:t>
            </w:r>
          </w:p>
        </w:tc>
      </w:tr>
      <w:tr>
        <w:trPr/>
        <w:tc>
          <w:tcPr>
            <w:tcW w:w="536"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66"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16"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Oregon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7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41"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0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6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+ 10.50%</w:t>
            </w:r>
            <w:r>
              <w:rPr>
                <w:rFonts w:ascii="Times New Roman;Times;Serif" w:hAnsi="Times New Roman;Times;Serif"/>
                <w:b w:val="false"/>
                <w:i w:val="false"/>
                <w:caps w:val="false"/>
                <w:smallCaps w:val="false"/>
                <w:position w:val="7"/>
                <w:sz w:val="16"/>
                <w:sz w:val="20"/>
              </w:rPr>
              <w:t>(5)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6"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9/27/2026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8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8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3/31/2023</w:t>
            </w:r>
          </w:p>
        </w:tc>
      </w:tr>
      <w:tr>
        <w:trPr/>
        <w:tc>
          <w:tcPr>
            <w:tcW w:w="536" w:type="dxa"/>
            <w:tcBorders/>
            <w:shd w:fill="CCEEFF" w:val="clear"/>
            <w:tcMar>
              <w:bottom w:w="0" w:type="dxa"/>
            </w:tcMar>
            <w:vAlign w:val="center"/>
          </w:tcPr>
          <w:p>
            <w:pPr>
              <w:pStyle w:val="TableContents"/>
              <w:spacing w:before="0" w:after="283"/>
              <w:jc w:val="left"/>
              <w:rPr/>
            </w:pPr>
            <w:r>
              <w:rPr/>
              <w:t> </w:t>
            </w:r>
          </w:p>
        </w:tc>
        <w:tc>
          <w:tcPr>
            <w:tcW w:w="66" w:type="dxa"/>
            <w:tcBorders/>
            <w:shd w:fill="CCEEFF" w:val="clear"/>
            <w:tcMar>
              <w:bottom w:w="0" w:type="dxa"/>
            </w:tcMar>
            <w:vAlign w:val="center"/>
          </w:tcPr>
          <w:p>
            <w:pPr>
              <w:pStyle w:val="TableContents"/>
              <w:spacing w:before="0" w:after="283"/>
              <w:rPr/>
            </w:pPr>
            <w:r>
              <w:rPr/>
              <w:t> </w:t>
            </w:r>
          </w:p>
        </w:tc>
        <w:tc>
          <w:tcPr>
            <w:tcW w:w="1316"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8" w:type="dxa"/>
            <w:tcBorders>
              <w:bottom w:val="single" w:sz="12" w:space="0" w:color="000000"/>
            </w:tcBorders>
            <w:shd w:fill="CCEEFF" w:val="clear"/>
            <w:vAlign w:val="center"/>
          </w:tcPr>
          <w:p>
            <w:pPr>
              <w:pStyle w:val="TableContents"/>
              <w:spacing w:before="0" w:after="283"/>
              <w:jc w:val="left"/>
              <w:rPr/>
            </w:pPr>
            <w:r>
              <w:rPr/>
              <w:t> </w:t>
            </w:r>
          </w:p>
        </w:tc>
        <w:tc>
          <w:tcPr>
            <w:tcW w:w="1171" w:type="dxa"/>
            <w:tcBorders>
              <w:bottom w:val="single" w:sz="12" w:space="0" w:color="000000"/>
            </w:tcBorders>
            <w:shd w:fill="CCEEFF" w:val="clear"/>
            <w:vAlign w:val="center"/>
          </w:tcPr>
          <w:p>
            <w:pPr>
              <w:pStyle w:val="TableContents"/>
              <w:spacing w:before="0" w:after="283"/>
              <w:jc w:val="right"/>
              <w:rPr/>
            </w:pPr>
            <w:r>
              <w:rPr/>
              <w:t> </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57" w:type="dxa"/>
            <w:tcBorders>
              <w:bottom w:val="single" w:sz="12" w:space="0" w:color="000000"/>
            </w:tcBorders>
            <w:shd w:fill="CCEEFF" w:val="clear"/>
            <w:vAlign w:val="center"/>
          </w:tcPr>
          <w:p>
            <w:pPr>
              <w:pStyle w:val="TableContents"/>
              <w:spacing w:before="0" w:after="283"/>
              <w:jc w:val="left"/>
              <w:rPr/>
            </w:pPr>
            <w:r>
              <w:rPr/>
              <w:t> </w:t>
            </w:r>
          </w:p>
        </w:tc>
        <w:tc>
          <w:tcPr>
            <w:tcW w:w="1141" w:type="dxa"/>
            <w:tcBorders>
              <w:bottom w:val="single" w:sz="12" w:space="0" w:color="000000"/>
            </w:tcBorders>
            <w:shd w:fill="CCEEFF" w:val="clear"/>
            <w:vAlign w:val="center"/>
          </w:tcPr>
          <w:p>
            <w:pPr>
              <w:pStyle w:val="TableContents"/>
              <w:spacing w:before="0" w:after="283"/>
              <w:jc w:val="right"/>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30" w:type="dxa"/>
            <w:tcBorders>
              <w:bottom w:val="single" w:sz="12" w:space="0" w:color="000000"/>
            </w:tcBorders>
            <w:shd w:fill="CCEEFF" w:val="clear"/>
            <w:vAlign w:val="center"/>
          </w:tcPr>
          <w:p>
            <w:pPr>
              <w:pStyle w:val="TableContents"/>
              <w:spacing w:before="0" w:after="283"/>
              <w:jc w:val="left"/>
              <w:rPr/>
            </w:pPr>
            <w:r>
              <w:rPr/>
              <w:t> </w:t>
            </w:r>
          </w:p>
        </w:tc>
        <w:tc>
          <w:tcPr>
            <w:tcW w:w="1104" w:type="dxa"/>
            <w:tcBorders>
              <w:bottom w:val="single" w:sz="12" w:space="0" w:color="000000"/>
            </w:tcBorders>
            <w:shd w:fill="CCEEFF" w:val="clear"/>
            <w:vAlign w:val="center"/>
          </w:tcPr>
          <w:p>
            <w:pPr>
              <w:pStyle w:val="TableContents"/>
              <w:spacing w:before="0" w:after="283"/>
              <w:jc w:val="right"/>
              <w:rPr/>
            </w:pPr>
            <w:r>
              <w:rPr/>
              <w:t> </w:t>
            </w:r>
          </w:p>
        </w:tc>
        <w:tc>
          <w:tcPr>
            <w:tcW w:w="8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266"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876"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884"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780" w:type="dxa"/>
            <w:tcBorders/>
            <w:shd w:fill="CCEEFF" w:val="clear"/>
            <w:tcMar>
              <w:bottom w:w="0" w:type="dxa"/>
            </w:tcMar>
            <w:vAlign w:val="center"/>
          </w:tcPr>
          <w:p>
            <w:pPr>
              <w:pStyle w:val="TableContents"/>
              <w:spacing w:before="0" w:after="283"/>
              <w:ind w:left="0" w:right="0" w:hanging="180"/>
              <w:jc w:val="center"/>
              <w:rPr/>
            </w:pPr>
            <w:r>
              <w:rPr/>
              <w:t> </w:t>
            </w:r>
          </w:p>
        </w:tc>
      </w:tr>
      <w:tr>
        <w:trPr/>
        <w:tc>
          <w:tcPr>
            <w:tcW w:w="1918" w:type="dxa"/>
            <w:gridSpan w:val="3"/>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expected credit loss reserve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1171"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1141"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1104"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(4,051,934</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1266"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876"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884"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780" w:type="dxa"/>
            <w:tcBorders/>
            <w:shd w:fill="auto" w:val="clear"/>
            <w:tcMar>
              <w:bottom w:w="0" w:type="dxa"/>
            </w:tcMar>
            <w:vAlign w:val="center"/>
          </w:tcPr>
          <w:p>
            <w:pPr>
              <w:pStyle w:val="TableContents"/>
              <w:spacing w:before="0" w:after="283"/>
              <w:ind w:left="0" w:right="0" w:hanging="180"/>
              <w:jc w:val="center"/>
              <w:rPr/>
            </w:pPr>
            <w:r>
              <w:rPr/>
              <w:t> </w:t>
            </w:r>
          </w:p>
        </w:tc>
      </w:tr>
      <w:tr>
        <w:trPr/>
        <w:tc>
          <w:tcPr>
            <w:tcW w:w="1918" w:type="dxa"/>
            <w:gridSpan w:val="3"/>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loans held at carrying value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8" w:type="dxa"/>
            <w:tcBorders>
              <w:bottom w:val="double" w:sz="10" w:space="0" w:color="000000"/>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71"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320,191,407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7" w:type="dxa"/>
            <w:tcBorders>
              <w:bottom w:val="double" w:sz="10" w:space="0" w:color="000000"/>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41"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(3,965,263</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 w:type="dxa"/>
            <w:tcBorders>
              <w:bottom w:val="double" w:sz="10" w:space="0" w:color="000000"/>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4"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312,174,210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pPr>
            <w:r>
              <w:rPr/>
              <w:t> </w:t>
            </w:r>
          </w:p>
        </w:tc>
        <w:tc>
          <w:tcPr>
            <w:tcW w:w="1266"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876"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884" w:type="dxa"/>
            <w:tcBorders/>
            <w:shd w:fill="CCEEFF" w:val="clear"/>
            <w:tcMar>
              <w:bottom w:w="0" w:type="dxa"/>
            </w:tcMar>
            <w:vAlign w:val="center"/>
          </w:tcPr>
          <w:p>
            <w:pPr>
              <w:pStyle w:val="TableContents"/>
              <w:spacing w:before="0" w:after="283"/>
              <w:jc w:val="center"/>
              <w:rPr/>
            </w:pPr>
            <w:r>
              <w:rPr/>
              <w:t> </w:t>
            </w:r>
          </w:p>
        </w:tc>
        <w:tc>
          <w:tcPr>
            <w:tcW w:w="60" w:type="dxa"/>
            <w:tcBorders/>
            <w:shd w:fill="CCEEFF" w:val="clear"/>
            <w:tcMar>
              <w:bottom w:w="0" w:type="dxa"/>
            </w:tcMar>
            <w:vAlign w:val="center"/>
          </w:tcPr>
          <w:p>
            <w:pPr>
              <w:pStyle w:val="TableContents"/>
              <w:spacing w:before="0" w:after="283"/>
              <w:rPr/>
            </w:pPr>
            <w:r>
              <w:rPr/>
              <w:t> </w:t>
            </w:r>
          </w:p>
        </w:tc>
        <w:tc>
          <w:tcPr>
            <w:tcW w:w="780" w:type="dxa"/>
            <w:tcBorders/>
            <w:shd w:fill="CCEEFF" w:val="clear"/>
            <w:tcMar>
              <w:bottom w:w="0" w:type="dxa"/>
            </w:tcM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9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difference between the Carrying Value and the Outstanding Principal amount of the loans consists of unaccreted original issue discounts, deferred loan fees and other upfront fees. Outstanding principal balance includes capitalized PIK interest, if applicable.</w:t>
            </w:r>
          </w:p>
        </w:tc>
      </w:tr>
      <w:tr>
        <w:trPr/>
        <w:tc>
          <w:tcPr>
            <w:tcW w:w="214"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999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Certain loans are subject to contractual extension options and may be subject to performance based on other conditions as stipulated in the loan agreement. Actual maturities may differ from contractual maturities stated herein as certain borrowers may have the right to prepay with or without a contractual prepayment penalty. The Company may also extend contractual maturities and amend other terms of the loans in connection with loan modifications.</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7"/>
        <w:gridCol w:w="9988"/>
      </w:tblGrid>
      <w:tr>
        <w:trPr/>
        <w:tc>
          <w:tcPr>
            <w:tcW w:w="21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998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P&amp;I = principal and interest. I/O = interest only. P&amp;I loans may include interest only periods for a portion of the loan term.</w:t>
            </w:r>
          </w:p>
        </w:tc>
      </w:tr>
      <w:tr>
        <w:trPr/>
        <w:tc>
          <w:tcPr>
            <w:tcW w:w="21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(4)</w:t>
            </w:r>
          </w:p>
        </w:tc>
        <w:tc>
          <w:tcPr>
            <w:tcW w:w="998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P = Prime Rate and depicts floating rate loans that pay interest at the Prime Rate plus a specific percentage; “PIK” = paid-in-kind interest; subtotal represents weighted average interest rate.</w:t>
            </w:r>
          </w:p>
        </w:tc>
      </w:tr>
      <w:tr>
        <w:trPr/>
        <w:tc>
          <w:tcPr>
            <w:tcW w:w="21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(5)</w:t>
            </w:r>
          </w:p>
        </w:tc>
        <w:tc>
          <w:tcPr>
            <w:tcW w:w="998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This Loan is subject to Prime Rate floor.</w:t>
            </w:r>
          </w:p>
        </w:tc>
      </w:tr>
      <w:tr>
        <w:trPr/>
        <w:tc>
          <w:tcPr>
            <w:tcW w:w="21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(6)</w:t>
            </w:r>
          </w:p>
        </w:tc>
        <w:tc>
          <w:tcPr>
            <w:tcW w:w="9988" w:type="dxa"/>
            <w:tcBorders/>
            <w:shd w:fill="auto" w:val="clear"/>
            <w:vAlign w:val="center"/>
          </w:tcPr>
          <w:p>
            <w:pPr>
              <w:pStyle w:val="TableContents"/>
              <w:spacing w:before="0" w:after="283"/>
              <w:jc w:val="left"/>
              <w:rPr/>
            </w:pPr>
            <w:r>
              <w:rPr/>
              <w:t>This Loan is subject to an interest rate cap</w:t>
            </w:r>
          </w:p>
        </w:tc>
      </w:tr>
      <w:tr>
        <w:trPr/>
        <w:tc>
          <w:tcPr>
            <w:tcW w:w="21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(7)</w:t>
            </w:r>
          </w:p>
        </w:tc>
        <w:tc>
          <w:tcPr>
            <w:tcW w:w="998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Loans with material collateral in multiple jurisdictions, namely multi-state operators, are disclosed as “various.”</w:t>
            </w:r>
          </w:p>
        </w:tc>
      </w:tr>
      <w:tr>
        <w:trPr/>
        <w:tc>
          <w:tcPr>
            <w:tcW w:w="21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(8)</w:t>
            </w:r>
          </w:p>
        </w:tc>
        <w:tc>
          <w:tcPr>
            <w:tcW w:w="9988" w:type="dxa"/>
            <w:tcBorders/>
            <w:shd w:fill="auto" w:val="clear"/>
            <w:vAlign w:val="center"/>
          </w:tcPr>
          <w:p>
            <w:pPr>
              <w:pStyle w:val="TableContents"/>
              <w:spacing w:before="0" w:after="283"/>
              <w:jc w:val="left"/>
              <w:rPr/>
            </w:pPr>
            <w:r>
              <w:rPr/>
              <w:t>The aggregate loan commitment to Loan #4 includes a $10.9 million initial advance, which has a base interest rate of 15.00%, and a second advance of $2.0 million, which has an interest rate of 39%. The statistics presented reflect the weighted average of the terms under both advances for the total aggregate loan commitment.</w:t>
            </w:r>
          </w:p>
        </w:tc>
      </w:tr>
      <w:tr>
        <w:trPr/>
        <w:tc>
          <w:tcPr>
            <w:tcW w:w="21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(9)</w:t>
            </w:r>
          </w:p>
        </w:tc>
        <w:tc>
          <w:tcPr>
            <w:tcW w:w="9988"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aggregate loan commitment to Loan #3 includes a $15.9 million initial advance, which has a base interest rate of 13.625%, 2.75% PIK and a second advance of $4.2 million, which has an interest rate of 15.00%, 2.00% PIK. The statistics presented reflect the weighted average of the terms under both advances for the total aggregate loan commitment.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no loans have been placed on non-accrual status. Our loans are generally held for investment and are substantially secured by real estate, equipment, licenses and other assets of the borrowers to the extent permitted by the applicable laws and the regulations governing such borrowers. The aggregate fair value of the Company’s loan portfolio was $307,260,513 and $329,237,824, with gross unrecognized holding losses of $8,965,632 and $10,035,714 as of March 31, 2023 and December 31, 2022,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 As of March 31, 2023, the Company calculated the estimated fair value of the loans held for investment using unobservable inputs such as discount rates ranging from 11.36% to 24.79% with a weighted average discount rate of 17.53%.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significant unobservable inputs the Company used to value the loans categorized within Level 3 as of March 31, 2023. The tables are not intended to be all-inclusive, but instead capture the significant unobservable inputs relevant to the Company’s determination of fair values.</w:t>
      </w:r>
    </w:p>
    <w:p>
      <w:pPr>
        <w:pStyle w:val="TextBody"/>
        <w:spacing w:before="0" w:after="0"/>
        <w:ind w:left="0" w:right="0" w:hanging="0"/>
        <w:rPr>
          <w:caps w:val="false"/>
          <w:smallCaps w:val="false"/>
        </w:rPr>
      </w:pPr>
      <w:r>
        <w:rPr>
          <w:caps w:val="false"/>
          <w:smallCaps w:val="false"/>
        </w:rPr>
        <w:t> </w:t>
      </w:r>
    </w:p>
    <w:tbl>
      <w:tblPr>
        <w:tblW w:w="8860" w:type="dxa"/>
        <w:jc w:val="left"/>
        <w:tblInd w:w="0" w:type="dxa"/>
        <w:tblCellMar>
          <w:top w:w="0" w:type="dxa"/>
          <w:left w:w="0" w:type="dxa"/>
          <w:bottom w:w="0" w:type="dxa"/>
          <w:right w:w="0" w:type="dxa"/>
        </w:tblCellMar>
      </w:tblPr>
      <w:tblGrid>
        <w:gridCol w:w="1850"/>
        <w:gridCol w:w="60"/>
        <w:gridCol w:w="140"/>
        <w:gridCol w:w="1220"/>
        <w:gridCol w:w="60"/>
        <w:gridCol w:w="60"/>
        <w:gridCol w:w="1355"/>
        <w:gridCol w:w="60"/>
        <w:gridCol w:w="1220"/>
        <w:gridCol w:w="60"/>
        <w:gridCol w:w="1430"/>
        <w:gridCol w:w="60"/>
        <w:gridCol w:w="60"/>
        <w:gridCol w:w="96"/>
        <w:gridCol w:w="899"/>
        <w:gridCol w:w="230"/>
      </w:tblGrid>
      <w:tr>
        <w:trPr/>
        <w:tc>
          <w:tcPr>
            <w:tcW w:w="18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720" w:type="dxa"/>
            <w:gridSpan w:val="13"/>
            <w:tcBorders>
              <w:bottom w:val="single" w:sz="12" w:space="0" w:color="000000"/>
            </w:tcBorders>
            <w:shd w:fill="auto" w:val="clear"/>
            <w:tcMar>
              <w:bottom w:w="28" w:type="dxa"/>
            </w:tcMar>
            <w:vAlign w:val="center"/>
          </w:tcPr>
          <w:p>
            <w:pPr>
              <w:pStyle w:val="TableContents"/>
              <w:spacing w:before="0" w:after="283"/>
              <w:jc w:val="center"/>
              <w:rPr>
                <w:b/>
              </w:rPr>
            </w:pPr>
            <w:r>
              <w:rPr>
                <w:b/>
              </w:rPr>
              <w:t>As of March 31, 2023</w:t>
            </w:r>
          </w:p>
        </w:tc>
        <w:tc>
          <w:tcPr>
            <w:tcW w:w="230" w:type="dxa"/>
            <w:tcBorders/>
            <w:shd w:fill="auto" w:val="clear"/>
            <w:vAlign w:val="center"/>
          </w:tcPr>
          <w:p>
            <w:pPr>
              <w:pStyle w:val="TableContents"/>
              <w:spacing w:before="0" w:after="283"/>
              <w:rPr/>
            </w:pPr>
            <w:r>
              <w:rPr/>
              <w:t> </w:t>
            </w:r>
          </w:p>
        </w:tc>
      </w:tr>
      <w:tr>
        <w:trPr/>
        <w:tc>
          <w:tcPr>
            <w:tcW w:w="18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5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3825" w:type="dxa"/>
            <w:gridSpan w:val="7"/>
            <w:tcBorders>
              <w:bottom w:val="single" w:sz="12" w:space="0" w:color="000000"/>
            </w:tcBorders>
            <w:shd w:fill="auto" w:val="clear"/>
            <w:tcMar>
              <w:bottom w:w="28" w:type="dxa"/>
            </w:tcMar>
            <w:vAlign w:val="center"/>
          </w:tcPr>
          <w:p>
            <w:pPr>
              <w:pStyle w:val="TableContents"/>
              <w:spacing w:before="0" w:after="283"/>
              <w:jc w:val="center"/>
              <w:rPr>
                <w:b/>
              </w:rPr>
            </w:pPr>
            <w:r>
              <w:rPr>
                <w:b/>
              </w:rPr>
              <w:t>Unobservable Input</w:t>
            </w:r>
          </w:p>
        </w:tc>
        <w:tc>
          <w:tcPr>
            <w:tcW w:w="230" w:type="dxa"/>
            <w:tcBorders/>
            <w:shd w:fill="auto" w:val="clear"/>
            <w:vAlign w:val="center"/>
          </w:tcPr>
          <w:p>
            <w:pPr>
              <w:pStyle w:val="TableContents"/>
              <w:spacing w:before="0" w:after="283"/>
              <w:jc w:val="center"/>
              <w:rPr/>
            </w:pPr>
            <w:r>
              <w:rPr/>
              <w:t> </w:t>
            </w:r>
          </w:p>
        </w:tc>
      </w:tr>
      <w:tr>
        <w:trPr/>
        <w:tc>
          <w:tcPr>
            <w:tcW w:w="18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Fair</w:t>
              <w:br/>
              <w:t>Value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55" w:type="dxa"/>
            <w:tcBorders>
              <w:bottom w:val="single" w:sz="12" w:space="0" w:color="000000"/>
            </w:tcBorders>
            <w:shd w:fill="auto" w:val="clear"/>
            <w:tcMar>
              <w:bottom w:w="28" w:type="dxa"/>
            </w:tcMar>
            <w:vAlign w:val="center"/>
          </w:tcPr>
          <w:p>
            <w:pPr>
              <w:pStyle w:val="TableContents"/>
              <w:spacing w:before="0" w:after="283"/>
              <w:jc w:val="center"/>
              <w:rPr>
                <w:b/>
              </w:rPr>
            </w:pPr>
            <w:r>
              <w:rPr>
                <w:b/>
              </w:rPr>
              <w:t>Primary</w:t>
              <w:br/>
              <w:t>Valuation</w:t>
              <w:br/>
              <w:t>Techniques</w:t>
            </w:r>
          </w:p>
        </w:tc>
        <w:tc>
          <w:tcPr>
            <w:tcW w:w="60" w:type="dxa"/>
            <w:tcBorders/>
            <w:shd w:fill="auto" w:val="clear"/>
            <w:vAlign w:val="center"/>
          </w:tcPr>
          <w:p>
            <w:pPr>
              <w:pStyle w:val="TableContents"/>
              <w:spacing w:before="0" w:after="283"/>
              <w:jc w:val="center"/>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center"/>
              <w:rPr>
                <w:b/>
              </w:rPr>
            </w:pPr>
            <w:r>
              <w:rPr>
                <w:b/>
              </w:rPr>
              <w:t>Input</w:t>
            </w:r>
          </w:p>
        </w:tc>
        <w:tc>
          <w:tcPr>
            <w:tcW w:w="60" w:type="dxa"/>
            <w:tcBorders/>
            <w:shd w:fill="auto" w:val="clear"/>
            <w:vAlign w:val="center"/>
          </w:tcPr>
          <w:p>
            <w:pPr>
              <w:pStyle w:val="TableContents"/>
              <w:spacing w:before="0" w:after="283"/>
              <w:jc w:val="center"/>
              <w:rPr/>
            </w:pPr>
            <w:r>
              <w:rPr/>
              <w:t> </w:t>
            </w:r>
          </w:p>
        </w:tc>
        <w:tc>
          <w:tcPr>
            <w:tcW w:w="1430" w:type="dxa"/>
            <w:tcBorders>
              <w:bottom w:val="single" w:sz="12" w:space="0" w:color="000000"/>
            </w:tcBorders>
            <w:shd w:fill="auto" w:val="clear"/>
            <w:tcMar>
              <w:bottom w:w="28" w:type="dxa"/>
            </w:tcMar>
            <w:vAlign w:val="center"/>
          </w:tcPr>
          <w:p>
            <w:pPr>
              <w:pStyle w:val="TableContents"/>
              <w:spacing w:before="0" w:after="283"/>
              <w:jc w:val="center"/>
              <w:rPr>
                <w:b/>
              </w:rPr>
            </w:pPr>
            <w:r>
              <w:rPr>
                <w:b/>
              </w:rPr>
              <w:t>Estimated</w:t>
              <w:br/>
              <w:t>Range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Weighted</w:t>
              <w:br/>
              <w:t>Average</w:t>
            </w:r>
          </w:p>
        </w:tc>
        <w:tc>
          <w:tcPr>
            <w:tcW w:w="230" w:type="dxa"/>
            <w:tcBorders/>
            <w:shd w:fill="auto" w:val="clear"/>
            <w:vAlign w:val="center"/>
          </w:tcPr>
          <w:p>
            <w:pPr>
              <w:pStyle w:val="TableContents"/>
              <w:spacing w:before="0" w:after="283"/>
              <w:jc w:val="center"/>
              <w:rPr/>
            </w:pPr>
            <w:r>
              <w:rPr/>
              <w:t> </w:t>
            </w:r>
          </w:p>
        </w:tc>
      </w:tr>
      <w:tr>
        <w:trPr/>
        <w:tc>
          <w:tcPr>
            <w:tcW w:w="1850" w:type="dxa"/>
            <w:tcBorders/>
            <w:shd w:fill="CCEEFF" w:val="clear"/>
            <w:vAlign w:val="center"/>
          </w:tcPr>
          <w:p>
            <w:pPr>
              <w:pStyle w:val="TableContents"/>
              <w:spacing w:before="0" w:after="283"/>
              <w:jc w:val="left"/>
              <w:rPr/>
            </w:pPr>
            <w:r>
              <w:rPr/>
              <w:t>Senior term loans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307,260,513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355" w:type="dxa"/>
            <w:tcBorders/>
            <w:shd w:fill="CCEEFF" w:val="clear"/>
            <w:vAlign w:val="center"/>
          </w:tcPr>
          <w:p>
            <w:pPr>
              <w:pStyle w:val="TableContents"/>
              <w:spacing w:before="0" w:after="283"/>
              <w:jc w:val="center"/>
              <w:rPr/>
            </w:pPr>
            <w:r>
              <w:rPr/>
              <w:t>Yield analysis</w:t>
            </w:r>
          </w:p>
        </w:tc>
        <w:tc>
          <w:tcPr>
            <w:tcW w:w="60" w:type="dxa"/>
            <w:tcBorders/>
            <w:shd w:fill="CCEEFF" w:val="clear"/>
            <w:vAlign w:val="center"/>
          </w:tcPr>
          <w:p>
            <w:pPr>
              <w:pStyle w:val="TableContents"/>
              <w:spacing w:before="0" w:after="283"/>
              <w:rPr/>
            </w:pPr>
            <w:r>
              <w:rPr/>
              <w:t> </w:t>
            </w:r>
          </w:p>
        </w:tc>
        <w:tc>
          <w:tcPr>
            <w:tcW w:w="1220" w:type="dxa"/>
            <w:tcBorders/>
            <w:shd w:fill="CCEEFF" w:val="clear"/>
            <w:vAlign w:val="center"/>
          </w:tcPr>
          <w:p>
            <w:pPr>
              <w:pStyle w:val="TableContents"/>
              <w:spacing w:before="0" w:after="283"/>
              <w:jc w:val="center"/>
              <w:rPr/>
            </w:pPr>
            <w:r>
              <w:rPr/>
              <w:t>Market yield</w:t>
            </w:r>
          </w:p>
        </w:tc>
        <w:tc>
          <w:tcPr>
            <w:tcW w:w="60" w:type="dxa"/>
            <w:tcBorders/>
            <w:shd w:fill="CCEEFF" w:val="clear"/>
            <w:vAlign w:val="center"/>
          </w:tcPr>
          <w:p>
            <w:pPr>
              <w:pStyle w:val="TableContents"/>
              <w:spacing w:before="0" w:after="283"/>
              <w:rPr/>
            </w:pPr>
            <w:r>
              <w:rPr/>
              <w:t> </w:t>
            </w:r>
          </w:p>
        </w:tc>
        <w:tc>
          <w:tcPr>
            <w:tcW w:w="143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11.36% - 24.79%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jc w:val="left"/>
              <w:rPr/>
            </w:pPr>
            <w:r>
              <w:rPr/>
              <w:t> </w:t>
            </w:r>
          </w:p>
        </w:tc>
        <w:tc>
          <w:tcPr>
            <w:tcW w:w="899" w:type="dxa"/>
            <w:tcBorders/>
            <w:shd w:fill="CCEEFF" w:val="clear"/>
            <w:vAlign w:val="center"/>
          </w:tcPr>
          <w:p>
            <w:pPr>
              <w:pStyle w:val="TableContents"/>
              <w:spacing w:before="0" w:after="283"/>
              <w:jc w:val="right"/>
              <w:rPr/>
            </w:pPr>
            <w:r>
              <w:rPr/>
              <w:t>17.53</w:t>
            </w:r>
          </w:p>
        </w:tc>
        <w:tc>
          <w:tcPr>
            <w:tcW w:w="230" w:type="dxa"/>
            <w:tcBorders/>
            <w:shd w:fill="CCEEFF" w:val="clear"/>
            <w:vAlign w:val="center"/>
          </w:tcPr>
          <w:p>
            <w:pPr>
              <w:pStyle w:val="TableContents"/>
              <w:spacing w:before="0" w:after="283"/>
              <w:jc w:val="left"/>
              <w:rPr/>
            </w:pPr>
            <w:r>
              <w:rPr/>
              <w:t>%</w:t>
            </w:r>
          </w:p>
        </w:tc>
      </w:tr>
      <w:tr>
        <w:trPr/>
        <w:tc>
          <w:tcPr>
            <w:tcW w:w="1850" w:type="dxa"/>
            <w:tcBorders/>
            <w:shd w:fill="auto" w:val="clear"/>
            <w:vAlign w:val="center"/>
          </w:tcPr>
          <w:p>
            <w:pPr>
              <w:pStyle w:val="TableContents"/>
              <w:spacing w:before="0" w:after="283"/>
              <w:jc w:val="left"/>
              <w:rPr>
                <w:b/>
              </w:rPr>
            </w:pPr>
            <w:r>
              <w:rPr>
                <w:b/>
              </w:rPr>
              <w:t>Total Investments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b/>
              </w:rPr>
            </w:pPr>
            <w:r>
              <w:rPr>
                <w:b/>
              </w:rPr>
              <w:t>307,260,513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3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jc w:val="left"/>
              <w:rPr/>
            </w:pPr>
            <w:r>
              <w:rPr/>
              <w:t> </w:t>
            </w:r>
          </w:p>
        </w:tc>
        <w:tc>
          <w:tcPr>
            <w:tcW w:w="899" w:type="dxa"/>
            <w:tcBorders/>
            <w:shd w:fill="auto" w:val="cle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Quality Indicators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05"/>
        <w:gridCol w:w="60"/>
        <w:gridCol w:w="9540"/>
      </w:tblGrid>
      <w:tr>
        <w:trPr/>
        <w:tc>
          <w:tcPr>
            <w:tcW w:w="605"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Rating</w:t>
            </w:r>
          </w:p>
        </w:tc>
        <w:tc>
          <w:tcPr>
            <w:tcW w:w="60" w:type="dxa"/>
            <w:tcBorders/>
            <w:shd w:fill="auto" w:val="clear"/>
            <w:tcMar>
              <w:bottom w:w="0" w:type="dxa"/>
            </w:tcMar>
            <w:vAlign w:val="center"/>
          </w:tcPr>
          <w:p>
            <w:pPr>
              <w:pStyle w:val="TableContents"/>
              <w:spacing w:before="0" w:after="283"/>
              <w:rPr/>
            </w:pPr>
            <w:r>
              <w:rPr/>
              <w:t> </w:t>
            </w:r>
          </w:p>
        </w:tc>
        <w:tc>
          <w:tcPr>
            <w:tcW w:w="954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Definition</w:t>
            </w:r>
          </w:p>
        </w:tc>
      </w:tr>
      <w:tr>
        <w:trPr/>
        <w:tc>
          <w:tcPr>
            <w:tcW w:w="605" w:type="dxa"/>
            <w:tcBorders/>
            <w:shd w:fill="CCEEFF"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spacing w:before="0" w:after="283"/>
              <w:rPr/>
            </w:pPr>
            <w:r>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Very low risk</w:t>
            </w:r>
          </w:p>
        </w:tc>
      </w:tr>
      <w:tr>
        <w:trPr/>
        <w:tc>
          <w:tcPr>
            <w:tcW w:w="605" w:type="dxa"/>
            <w:tcBorders/>
            <w:shd w:fill="auto"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auto" w:val="clear"/>
            <w:tcMar>
              <w:bottom w:w="0" w:type="dxa"/>
            </w:tcMar>
            <w:vAlign w:val="center"/>
          </w:tcPr>
          <w:p>
            <w:pPr>
              <w:pStyle w:val="TableContents"/>
              <w:spacing w:before="0" w:after="283"/>
              <w:rPr/>
            </w:pPr>
            <w:r>
              <w:rPr/>
              <w:t> </w:t>
            </w:r>
          </w:p>
        </w:tc>
        <w:tc>
          <w:tcPr>
            <w:tcW w:w="954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Low risk</w:t>
            </w:r>
          </w:p>
        </w:tc>
      </w:tr>
      <w:tr>
        <w:trPr/>
        <w:tc>
          <w:tcPr>
            <w:tcW w:w="605" w:type="dxa"/>
            <w:tcBorders/>
            <w:shd w:fill="CCEEFF"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spacing w:before="0" w:after="283"/>
              <w:rPr/>
            </w:pPr>
            <w:r>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Moderate/average risk</w:t>
            </w:r>
          </w:p>
        </w:tc>
      </w:tr>
      <w:tr>
        <w:trPr/>
        <w:tc>
          <w:tcPr>
            <w:tcW w:w="605" w:type="dxa"/>
            <w:tcBorders/>
            <w:shd w:fill="auto"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shd w:fill="auto" w:val="clear"/>
            <w:tcMar>
              <w:bottom w:w="0" w:type="dxa"/>
            </w:tcMar>
            <w:vAlign w:val="center"/>
          </w:tcPr>
          <w:p>
            <w:pPr>
              <w:pStyle w:val="TableContents"/>
              <w:spacing w:before="0" w:after="283"/>
              <w:rPr/>
            </w:pPr>
            <w:r>
              <w:rPr/>
              <w:t> </w:t>
            </w:r>
          </w:p>
        </w:tc>
        <w:tc>
          <w:tcPr>
            <w:tcW w:w="954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High risk/potential for loss: a loan that has a risk of realizing a principal loss</w:t>
            </w:r>
          </w:p>
        </w:tc>
      </w:tr>
      <w:tr>
        <w:trPr/>
        <w:tc>
          <w:tcPr>
            <w:tcW w:w="605" w:type="dxa"/>
            <w:tcBorders/>
            <w:shd w:fill="CCEEFF"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spacing w:before="0" w:after="283"/>
              <w:rPr/>
            </w:pPr>
            <w:r>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Impaired/loss likely: a loan that has a high risk of realizing principal loss, has incurred principal loss or an impairment has been recorded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ratings are primarily based on historical data and current conditions specific to each portfolio company, as well as consideration of future economic conditions and each borrower’s estimated ability to meet debt service requirements. The declines in risk ratings shown in the following table from December 31, 2022 to March 31, 2023 considered borrower specific credit history and performance and reflect a quarterly re-evaluation of overall current macroeconomic conditions affecting the Company’s borrowers. As interest rates have increased due to rising rates from the Federal Reserve Board, it has impacted borrowers’ ability to service their debt obligations on a global scale. This decline in risk ratings had an effect on the level of the current expected credit loss reserve, though the loans continued to perform as expected. For approximately 80% of the portfolio, the fair value of the underlying real estate collateral exceeded the amounts outstanding under the loans as of March 31, 2023. The remaining approximately 20% of the portfolio, while not fully collateralized by real estate, was secured by other forms of collateral including equipment, receivables, licenses and/or other assets of the borrowers to the extent permitted by applicable laws and regulations governing such borrowers.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December 31, 2022, the carrying value, excluding the current expected credit loss reserve (the “CECL Reserve”), of the Company’s loans within each risk rating category by year of origination is as follows:</w:t>
      </w:r>
    </w:p>
    <w:p>
      <w:pPr>
        <w:pStyle w:val="TextBody"/>
        <w:spacing w:before="0" w:after="0"/>
        <w:ind w:left="0" w:right="0" w:hanging="0"/>
        <w:rPr>
          <w:caps w:val="false"/>
          <w:smallCaps w:val="false"/>
        </w:rPr>
      </w:pPr>
      <w:r>
        <w:rPr>
          <w:caps w:val="false"/>
          <w:smallCaps w:val="false"/>
        </w:rPr>
        <w:t> </w:t>
      </w:r>
    </w:p>
    <w:tbl>
      <w:tblPr>
        <w:tblW w:w="12730" w:type="dxa"/>
        <w:jc w:val="left"/>
        <w:tblInd w:w="0" w:type="dxa"/>
        <w:tblCellMar>
          <w:top w:w="0" w:type="dxa"/>
          <w:left w:w="0" w:type="dxa"/>
          <w:bottom w:w="0" w:type="dxa"/>
          <w:right w:w="0" w:type="dxa"/>
        </w:tblCellMar>
      </w:tblPr>
      <w:tblGrid>
        <w:gridCol w:w="965"/>
        <w:gridCol w:w="60"/>
        <w:gridCol w:w="110"/>
        <w:gridCol w:w="830"/>
        <w:gridCol w:w="60"/>
        <w:gridCol w:w="60"/>
        <w:gridCol w:w="110"/>
        <w:gridCol w:w="920"/>
        <w:gridCol w:w="60"/>
        <w:gridCol w:w="60"/>
        <w:gridCol w:w="110"/>
        <w:gridCol w:w="920"/>
        <w:gridCol w:w="60"/>
        <w:gridCol w:w="60"/>
        <w:gridCol w:w="110"/>
        <w:gridCol w:w="680"/>
        <w:gridCol w:w="60"/>
        <w:gridCol w:w="60"/>
        <w:gridCol w:w="110"/>
        <w:gridCol w:w="680"/>
        <w:gridCol w:w="60"/>
        <w:gridCol w:w="60"/>
        <w:gridCol w:w="110"/>
        <w:gridCol w:w="920"/>
        <w:gridCol w:w="60"/>
        <w:gridCol w:w="60"/>
        <w:gridCol w:w="110"/>
        <w:gridCol w:w="920"/>
        <w:gridCol w:w="60"/>
        <w:gridCol w:w="60"/>
        <w:gridCol w:w="110"/>
        <w:gridCol w:w="920"/>
        <w:gridCol w:w="60"/>
        <w:gridCol w:w="60"/>
        <w:gridCol w:w="110"/>
        <w:gridCol w:w="830"/>
        <w:gridCol w:w="60"/>
        <w:gridCol w:w="60"/>
        <w:gridCol w:w="110"/>
        <w:gridCol w:w="680"/>
        <w:gridCol w:w="60"/>
        <w:gridCol w:w="60"/>
        <w:gridCol w:w="110"/>
        <w:gridCol w:w="920"/>
        <w:gridCol w:w="75"/>
      </w:tblGrid>
      <w:tr>
        <w:trPr/>
        <w:tc>
          <w:tcPr>
            <w:tcW w:w="96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210" w:type="dxa"/>
            <w:gridSpan w:val="2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As of March 31, 2023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300" w:type="dxa"/>
            <w:gridSpan w:val="18"/>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As of December 31, 2022</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965" w:type="dxa"/>
            <w:tcBorders>
              <w:bottom w:val="single" w:sz="12"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Risk Rating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9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9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2020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9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9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235,205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235,205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274,406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0" w:type="dxa"/>
            <w:tcBorders/>
            <w:shd w:fill="CCEE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274,406</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9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13,595,388</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124,333,205</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71,790,767</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209,719,360</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94,467,449</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88,444,868</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29,140,546</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212,052,863</w:t>
            </w:r>
          </w:p>
        </w:tc>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9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12,525,206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65,657,524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78,182,730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30,415,113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83,131,444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113,546,557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9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28,088,849</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28,088,849</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13,399,712</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8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13,399,712</w:t>
            </w:r>
          </w:p>
        </w:tc>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9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8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2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9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Total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3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13,595,388</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136,858,411</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165,772,345</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0" w:type="dxa"/>
            <w:tcBorders>
              <w:bottom w:val="double" w:sz="10" w:space="0" w:color="000000"/>
            </w:tcBorders>
            <w:shd w:fill="auto"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0" w:type="dxa"/>
            <w:tcBorders>
              <w:bottom w:val="double" w:sz="10" w:space="0" w:color="000000"/>
            </w:tcBorders>
            <w:shd w:fill="auto"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316,226,144</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124,882,562</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185,250,430</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83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29,140,546</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80" w:type="dxa"/>
            <w:tcBorders>
              <w:bottom w:val="double" w:sz="10" w:space="0" w:color="000000"/>
            </w:tcBorders>
            <w:shd w:fill="auto"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2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339,273,538</w:t>
            </w:r>
          </w:p>
        </w:tc>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9685" w:type="dxa"/>
        <w:jc w:val="left"/>
        <w:tblInd w:w="0" w:type="dxa"/>
        <w:tblCellMar>
          <w:top w:w="0" w:type="dxa"/>
          <w:left w:w="0" w:type="dxa"/>
          <w:bottom w:w="0" w:type="dxa"/>
          <w:right w:w="0" w:type="dxa"/>
        </w:tblCellMar>
      </w:tblPr>
      <w:tblGrid>
        <w:gridCol w:w="260"/>
        <w:gridCol w:w="9425"/>
      </w:tblGrid>
      <w:tr>
        <w:trPr/>
        <w:tc>
          <w:tcPr>
            <w:tcW w:w="26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4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Amounts are presented by loan origination year with subsequent advances shown in the original year of origination.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collateral coverage is also a significant credit quality indicator, and real estate collateral coverage, excluding the CECL Reserve, was as follows as of March 31, 2023 and December 31, 2022:</w:t>
      </w:r>
    </w:p>
    <w:p>
      <w:pPr>
        <w:pStyle w:val="TextBody"/>
        <w:spacing w:before="0" w:after="0"/>
        <w:ind w:left="0" w:right="0" w:hanging="0"/>
        <w:rPr>
          <w:caps w:val="false"/>
          <w:smallCaps w:val="false"/>
        </w:rPr>
      </w:pPr>
      <w:r>
        <w:rPr>
          <w:caps w:val="false"/>
          <w:smallCaps w:val="false"/>
        </w:rPr>
        <w:t> </w:t>
      </w:r>
    </w:p>
    <w:tbl>
      <w:tblPr>
        <w:tblW w:w="10945" w:type="dxa"/>
        <w:jc w:val="left"/>
        <w:tblInd w:w="0" w:type="dxa"/>
        <w:tblCellMar>
          <w:top w:w="0" w:type="dxa"/>
          <w:left w:w="0" w:type="dxa"/>
          <w:bottom w:w="28" w:type="dxa"/>
          <w:right w:w="0" w:type="dxa"/>
        </w:tblCellMar>
      </w:tblPr>
      <w:tblGrid>
        <w:gridCol w:w="1235"/>
        <w:gridCol w:w="60"/>
        <w:gridCol w:w="140"/>
        <w:gridCol w:w="1100"/>
        <w:gridCol w:w="60"/>
        <w:gridCol w:w="60"/>
        <w:gridCol w:w="140"/>
        <w:gridCol w:w="1100"/>
        <w:gridCol w:w="60"/>
        <w:gridCol w:w="60"/>
        <w:gridCol w:w="140"/>
        <w:gridCol w:w="1100"/>
        <w:gridCol w:w="60"/>
        <w:gridCol w:w="60"/>
        <w:gridCol w:w="146"/>
        <w:gridCol w:w="1149"/>
        <w:gridCol w:w="60"/>
        <w:gridCol w:w="60"/>
        <w:gridCol w:w="140"/>
        <w:gridCol w:w="1100"/>
        <w:gridCol w:w="60"/>
        <w:gridCol w:w="60"/>
        <w:gridCol w:w="140"/>
        <w:gridCol w:w="1100"/>
        <w:gridCol w:w="60"/>
        <w:gridCol w:w="60"/>
        <w:gridCol w:w="140"/>
        <w:gridCol w:w="1220"/>
        <w:gridCol w:w="75"/>
      </w:tblGrid>
      <w:tr>
        <w:trPr/>
        <w:tc>
          <w:tcPr>
            <w:tcW w:w="10945" w:type="dxa"/>
            <w:gridSpan w:val="29"/>
            <w:tcBorders>
              <w:bottom w:val="single" w:sz="12" w:space="0" w:color="000000"/>
            </w:tcBorders>
            <w:shd w:fill="auto" w:val="clear"/>
            <w:vAlign w:val="center"/>
          </w:tcPr>
          <w:p>
            <w:pPr>
              <w:pStyle w:val="TableContents"/>
              <w:spacing w:before="0" w:after="283"/>
              <w:jc w:val="center"/>
              <w:rPr>
                <w:b/>
              </w:rPr>
            </w:pPr>
            <w:r>
              <w:rPr>
                <w:b/>
              </w:rPr>
              <w:t>As of March 31, 2023 Real Estate Collateral Coverage (1)</w:t>
            </w:r>
          </w:p>
        </w:tc>
      </w:tr>
      <w:tr>
        <w:trPr/>
        <w:tc>
          <w:tcPr>
            <w:tcW w:w="12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&lt; 1.0x</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1.0x - 1.25x</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1.25x - 1.5x</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95" w:type="dxa"/>
            <w:gridSpan w:val="2"/>
            <w:tcBorders>
              <w:bottom w:val="single" w:sz="12" w:space="0" w:color="000000"/>
            </w:tcBorders>
            <w:shd w:fill="auto" w:val="clear"/>
            <w:vAlign w:val="center"/>
          </w:tcPr>
          <w:p>
            <w:pPr>
              <w:pStyle w:val="TableContents"/>
              <w:spacing w:before="0" w:after="283"/>
              <w:jc w:val="center"/>
              <w:rPr>
                <w:b/>
              </w:rPr>
            </w:pPr>
            <w:r>
              <w:rPr>
                <w:b/>
              </w:rPr>
              <w:t>1.50x - 1.75x</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1.75x - 2.0x</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&gt; 2.0x</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360" w:type="dxa"/>
            <w:gridSpan w:val="2"/>
            <w:tcBorders>
              <w:bottom w:val="single" w:sz="12" w:space="0" w:color="000000"/>
            </w:tcBorders>
            <w:shd w:fill="auto" w:val="clear"/>
            <w:vAlign w:val="center"/>
          </w:tcPr>
          <w:p>
            <w:pPr>
              <w:pStyle w:val="TableContents"/>
              <w:spacing w:before="0" w:after="283"/>
              <w:jc w:val="center"/>
              <w:rPr>
                <w:b/>
              </w:rPr>
            </w:pPr>
            <w:r>
              <w:rPr>
                <w:b/>
              </w:rPr>
              <w:t>Total</w:t>
            </w:r>
          </w:p>
        </w:tc>
        <w:tc>
          <w:tcPr>
            <w:tcW w:w="75" w:type="dxa"/>
            <w:tcBorders/>
            <w:shd w:fill="auto" w:val="clear"/>
            <w:tcMar>
              <w:bottom w:w="0" w:type="dxa"/>
            </w:tcMar>
            <w:vAlign w:val="center"/>
          </w:tcPr>
          <w:p>
            <w:pPr>
              <w:pStyle w:val="TableContents"/>
              <w:spacing w:before="0" w:after="283"/>
              <w:rPr/>
            </w:pPr>
            <w:r>
              <w:rPr/>
              <w:t> </w:t>
            </w:r>
          </w:p>
        </w:tc>
      </w:tr>
      <w:tr>
        <w:trPr/>
        <w:tc>
          <w:tcPr>
            <w:tcW w:w="1235" w:type="dxa"/>
            <w:tcBorders/>
            <w:shd w:fill="CCEEFF" w:val="clear"/>
            <w:tcMar>
              <w:bottom w:w="0" w:type="dxa"/>
            </w:tcMar>
            <w:vAlign w:val="center"/>
          </w:tcPr>
          <w:p>
            <w:pPr>
              <w:pStyle w:val="TableContents"/>
              <w:spacing w:before="0" w:after="283"/>
              <w:rPr/>
            </w:pPr>
            <w:r>
              <w:rPr/>
              <w:t>Fixed-rate</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0"/>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0"/>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20,567,900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6" w:type="dxa"/>
            <w:tcBorders/>
            <w:shd w:fill="CCEEFF" w:val="clear"/>
            <w:tcMar>
              <w:bottom w:w="0" w:type="dxa"/>
            </w:tcMar>
            <w:vAlign w:val="center"/>
          </w:tcPr>
          <w:p>
            <w:pPr>
              <w:pStyle w:val="TableContents"/>
              <w:spacing w:before="0" w:after="283"/>
              <w:jc w:val="left"/>
              <w:rPr/>
            </w:pPr>
            <w:r>
              <w:rPr/>
              <w:t>$</w:t>
            </w:r>
          </w:p>
        </w:tc>
        <w:tc>
          <w:tcPr>
            <w:tcW w:w="1149" w:type="dxa"/>
            <w:tcBorders/>
            <w:shd w:fill="CCEEFF" w:val="clear"/>
            <w:tcMar>
              <w:bottom w:w="0" w:type="dxa"/>
            </w:tcMar>
            <w:vAlign w:val="center"/>
          </w:tcPr>
          <w:p>
            <w:pPr>
              <w:pStyle w:val="TableContents"/>
              <w:spacing w:before="0" w:after="283"/>
              <w:jc w:val="right"/>
              <w:rPr/>
            </w:pPr>
            <w:r>
              <w:rPr/>
              <w:t>17,305,115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0"/>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235,205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b/>
              </w:rPr>
            </w:pPr>
            <w:r>
              <w:rPr>
                <w:b/>
              </w:rPr>
              <w:t>$</w:t>
            </w:r>
          </w:p>
        </w:tc>
        <w:tc>
          <w:tcPr>
            <w:tcW w:w="1220" w:type="dxa"/>
            <w:tcBorders/>
            <w:shd w:fill="CCEEFF" w:val="clear"/>
            <w:tcMar>
              <w:bottom w:w="0" w:type="dxa"/>
            </w:tcMar>
            <w:vAlign w:val="center"/>
          </w:tcPr>
          <w:p>
            <w:pPr>
              <w:pStyle w:val="TableContents"/>
              <w:spacing w:before="0" w:after="283"/>
              <w:jc w:val="right"/>
              <w:rPr>
                <w:b/>
              </w:rPr>
            </w:pPr>
            <w:r>
              <w:rPr>
                <w:b/>
              </w:rPr>
              <w:t>38,108,220</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235" w:type="dxa"/>
            <w:tcBorders/>
            <w:shd w:fill="auto" w:val="clear"/>
            <w:tcMar>
              <w:bottom w:w="0" w:type="dxa"/>
            </w:tcMar>
            <w:vAlign w:val="center"/>
          </w:tcPr>
          <w:p>
            <w:pPr>
              <w:pStyle w:val="TableContents"/>
              <w:spacing w:before="0" w:after="283"/>
              <w:rPr/>
            </w:pPr>
            <w:r>
              <w:rPr/>
              <w:t>Floating-rate</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100" w:type="dxa"/>
            <w:tcBorders>
              <w:bottom w:val="single" w:sz="12" w:space="0" w:color="000000"/>
            </w:tcBorders>
            <w:shd w:fill="auto" w:val="clear"/>
            <w:vAlign w:val="center"/>
          </w:tcPr>
          <w:p>
            <w:pPr>
              <w:pStyle w:val="TableContents"/>
              <w:spacing w:before="0" w:after="283"/>
              <w:jc w:val="right"/>
              <w:rPr/>
            </w:pPr>
            <w:r>
              <w:rPr/>
              <w:t>66,411,639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100" w:type="dxa"/>
            <w:tcBorders>
              <w:bottom w:val="single" w:sz="12" w:space="0" w:color="000000"/>
            </w:tcBorders>
            <w:shd w:fill="auto" w:val="clear"/>
            <w:vAlign w:val="center"/>
          </w:tcPr>
          <w:p>
            <w:pPr>
              <w:pStyle w:val="TableContents"/>
              <w:spacing w:before="0" w:after="283"/>
              <w:jc w:val="right"/>
              <w:rPr/>
            </w:pPr>
            <w:r>
              <w:rPr/>
              <w:t>48,285,685</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100" w:type="dxa"/>
            <w:tcBorders>
              <w:bottom w:val="single" w:sz="12" w:space="0" w:color="000000"/>
            </w:tcBorders>
            <w:shd w:fill="auto" w:val="clear"/>
            <w:vAlign w:val="center"/>
          </w:tcPr>
          <w:p>
            <w:pPr>
              <w:pStyle w:val="TableContents"/>
              <w:spacing w:before="0" w:after="283"/>
              <w:jc w:val="right"/>
              <w:rPr/>
            </w:pPr>
            <w:r>
              <w:rPr/>
              <w:t>23,375,836</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6" w:type="dxa"/>
            <w:tcBorders>
              <w:bottom w:val="single" w:sz="12" w:space="0" w:color="000000"/>
            </w:tcBorders>
            <w:shd w:fill="auto" w:val="clear"/>
            <w:vAlign w:val="center"/>
          </w:tcPr>
          <w:p>
            <w:pPr>
              <w:pStyle w:val="TableContents"/>
              <w:spacing w:before="0" w:after="283"/>
              <w:jc w:val="left"/>
              <w:rPr/>
            </w:pPr>
            <w:r>
              <w:rPr/>
              <w:t> </w:t>
            </w:r>
          </w:p>
        </w:tc>
        <w:tc>
          <w:tcPr>
            <w:tcW w:w="1149" w:type="dxa"/>
            <w:tcBorders>
              <w:bottom w:val="single" w:sz="12" w:space="0" w:color="000000"/>
            </w:tcBorders>
            <w:shd w:fill="auto" w:val="clear"/>
            <w:vAlign w:val="center"/>
          </w:tcPr>
          <w:p>
            <w:pPr>
              <w:pStyle w:val="TableContents"/>
              <w:spacing w:before="0" w:after="283"/>
              <w:jc w:val="right"/>
              <w:rPr/>
            </w:pPr>
            <w:r>
              <w:rPr/>
              <w:t>37,454,282</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100" w:type="dxa"/>
            <w:tcBorders>
              <w:bottom w:val="single" w:sz="12" w:space="0" w:color="000000"/>
            </w:tcBorders>
            <w:shd w:fill="auto" w:val="clear"/>
            <w:vAlign w:val="center"/>
          </w:tcPr>
          <w:p>
            <w:pPr>
              <w:pStyle w:val="TableContents"/>
              <w:spacing w:before="0" w:after="283"/>
              <w:jc w:val="right"/>
              <w:rPr/>
            </w:pPr>
            <w:r>
              <w:rPr/>
              <w:t>12,075,490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100" w:type="dxa"/>
            <w:tcBorders>
              <w:bottom w:val="single" w:sz="12" w:space="0" w:color="000000"/>
            </w:tcBorders>
            <w:shd w:fill="auto" w:val="clear"/>
            <w:vAlign w:val="center"/>
          </w:tcPr>
          <w:p>
            <w:pPr>
              <w:pStyle w:val="TableContents"/>
              <w:spacing w:before="0" w:after="283"/>
              <w:jc w:val="right"/>
              <w:rPr/>
            </w:pPr>
            <w:r>
              <w:rPr/>
              <w:t>90,514,992</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220" w:type="dxa"/>
            <w:tcBorders>
              <w:bottom w:val="single" w:sz="12" w:space="0" w:color="000000"/>
            </w:tcBorders>
            <w:shd w:fill="auto" w:val="clear"/>
            <w:vAlign w:val="center"/>
          </w:tcPr>
          <w:p>
            <w:pPr>
              <w:pStyle w:val="TableContents"/>
              <w:spacing w:before="0" w:after="283"/>
              <w:jc w:val="right"/>
              <w:rPr>
                <w:b/>
              </w:rPr>
            </w:pPr>
            <w:r>
              <w:rPr>
                <w:b/>
              </w:rPr>
              <w:t>278,117,924</w:t>
            </w:r>
          </w:p>
        </w:tc>
        <w:tc>
          <w:tcPr>
            <w:tcW w:w="75" w:type="dxa"/>
            <w:tcBorders/>
            <w:shd w:fill="auto" w:val="clear"/>
            <w:tcMar>
              <w:bottom w:w="0" w:type="dxa"/>
            </w:tcMar>
            <w:vAlign w:val="center"/>
          </w:tcPr>
          <w:p>
            <w:pPr>
              <w:pStyle w:val="TableContents"/>
              <w:spacing w:before="0" w:after="283"/>
              <w:jc w:val="left"/>
              <w:rPr/>
            </w:pPr>
            <w:r>
              <w:rPr/>
              <w:t> </w:t>
            </w:r>
          </w:p>
        </w:tc>
      </w:tr>
      <w:tr>
        <w:trPr/>
        <w:tc>
          <w:tcPr>
            <w:tcW w:w="123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100" w:type="dxa"/>
            <w:tcBorders>
              <w:bottom w:val="double" w:sz="10" w:space="0" w:color="000000"/>
            </w:tcBorders>
            <w:shd w:fill="CCEEFF" w:val="clear"/>
            <w:vAlign w:val="center"/>
          </w:tcPr>
          <w:p>
            <w:pPr>
              <w:pStyle w:val="TableContents"/>
              <w:spacing w:before="0" w:after="283"/>
              <w:jc w:val="right"/>
              <w:rPr/>
            </w:pPr>
            <w:r>
              <w:rPr/>
              <w:t>66,411,639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100" w:type="dxa"/>
            <w:tcBorders>
              <w:bottom w:val="double" w:sz="10" w:space="0" w:color="000000"/>
            </w:tcBorders>
            <w:shd w:fill="CCEEFF" w:val="clear"/>
            <w:vAlign w:val="center"/>
          </w:tcPr>
          <w:p>
            <w:pPr>
              <w:pStyle w:val="TableContents"/>
              <w:spacing w:before="0" w:after="283"/>
              <w:jc w:val="right"/>
              <w:rPr/>
            </w:pPr>
            <w:r>
              <w:rPr/>
              <w:t>48,285,685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100" w:type="dxa"/>
            <w:tcBorders>
              <w:bottom w:val="double" w:sz="10" w:space="0" w:color="000000"/>
            </w:tcBorders>
            <w:shd w:fill="CCEEFF" w:val="clear"/>
            <w:vAlign w:val="center"/>
          </w:tcPr>
          <w:p>
            <w:pPr>
              <w:pStyle w:val="TableContents"/>
              <w:spacing w:before="0" w:after="283"/>
              <w:jc w:val="right"/>
              <w:rPr/>
            </w:pPr>
            <w:r>
              <w:rPr/>
              <w:t>43,943,736</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6" w:type="dxa"/>
            <w:tcBorders>
              <w:bottom w:val="double" w:sz="10" w:space="0" w:color="000000"/>
            </w:tcBorders>
            <w:shd w:fill="CCEEFF" w:val="clear"/>
            <w:vAlign w:val="center"/>
          </w:tcPr>
          <w:p>
            <w:pPr>
              <w:pStyle w:val="TableContents"/>
              <w:spacing w:before="0" w:after="283"/>
              <w:jc w:val="left"/>
              <w:rPr/>
            </w:pPr>
            <w:r>
              <w:rPr/>
              <w:t>$</w:t>
            </w:r>
          </w:p>
        </w:tc>
        <w:tc>
          <w:tcPr>
            <w:tcW w:w="1149" w:type="dxa"/>
            <w:tcBorders>
              <w:bottom w:val="double" w:sz="10" w:space="0" w:color="000000"/>
            </w:tcBorders>
            <w:shd w:fill="CCEEFF" w:val="clear"/>
            <w:vAlign w:val="center"/>
          </w:tcPr>
          <w:p>
            <w:pPr>
              <w:pStyle w:val="TableContents"/>
              <w:spacing w:before="0" w:after="283"/>
              <w:jc w:val="right"/>
              <w:rPr/>
            </w:pPr>
            <w:r>
              <w:rPr/>
              <w:t>54,759,397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100" w:type="dxa"/>
            <w:tcBorders>
              <w:bottom w:val="double" w:sz="10" w:space="0" w:color="000000"/>
            </w:tcBorders>
            <w:shd w:fill="CCEEFF" w:val="clear"/>
            <w:vAlign w:val="center"/>
          </w:tcPr>
          <w:p>
            <w:pPr>
              <w:pStyle w:val="TableContents"/>
              <w:spacing w:before="0" w:after="283"/>
              <w:jc w:val="right"/>
              <w:rPr/>
            </w:pPr>
            <w:r>
              <w:rPr/>
              <w:t>12,075,490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100" w:type="dxa"/>
            <w:tcBorders>
              <w:bottom w:val="double" w:sz="10" w:space="0" w:color="000000"/>
            </w:tcBorders>
            <w:shd w:fill="CCEEFF" w:val="clear"/>
            <w:vAlign w:val="center"/>
          </w:tcPr>
          <w:p>
            <w:pPr>
              <w:pStyle w:val="TableContents"/>
              <w:spacing w:before="0" w:after="283"/>
              <w:jc w:val="right"/>
              <w:rPr/>
            </w:pPr>
            <w:r>
              <w:rPr/>
              <w:t>90,750,197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b/>
              </w:rPr>
            </w:pPr>
            <w:r>
              <w:rPr>
                <w:b/>
              </w:rPr>
              <w:t>$</w:t>
            </w:r>
          </w:p>
        </w:tc>
        <w:tc>
          <w:tcPr>
            <w:tcW w:w="1220" w:type="dxa"/>
            <w:tcBorders>
              <w:bottom w:val="double" w:sz="10" w:space="0" w:color="000000"/>
            </w:tcBorders>
            <w:shd w:fill="CCEEFF" w:val="clear"/>
            <w:vAlign w:val="center"/>
          </w:tcPr>
          <w:p>
            <w:pPr>
              <w:pStyle w:val="TableContents"/>
              <w:spacing w:before="0" w:after="283"/>
              <w:jc w:val="right"/>
              <w:rPr>
                <w:b/>
              </w:rPr>
            </w:pPr>
            <w:r>
              <w:rPr>
                <w:b/>
              </w:rPr>
              <w:t>316,226,144</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1010" w:type="dxa"/>
        <w:jc w:val="left"/>
        <w:tblInd w:w="0" w:type="dxa"/>
        <w:tblCellMar>
          <w:top w:w="0" w:type="dxa"/>
          <w:left w:w="0" w:type="dxa"/>
          <w:bottom w:w="28" w:type="dxa"/>
          <w:right w:w="0" w:type="dxa"/>
        </w:tblCellMar>
      </w:tblPr>
      <w:tblGrid>
        <w:gridCol w:w="1235"/>
        <w:gridCol w:w="60"/>
        <w:gridCol w:w="140"/>
        <w:gridCol w:w="1100"/>
        <w:gridCol w:w="60"/>
        <w:gridCol w:w="60"/>
        <w:gridCol w:w="140"/>
        <w:gridCol w:w="1100"/>
        <w:gridCol w:w="60"/>
        <w:gridCol w:w="60"/>
        <w:gridCol w:w="140"/>
        <w:gridCol w:w="1100"/>
        <w:gridCol w:w="60"/>
        <w:gridCol w:w="60"/>
        <w:gridCol w:w="140"/>
        <w:gridCol w:w="1100"/>
        <w:gridCol w:w="60"/>
        <w:gridCol w:w="60"/>
        <w:gridCol w:w="140"/>
        <w:gridCol w:w="1100"/>
        <w:gridCol w:w="60"/>
        <w:gridCol w:w="60"/>
        <w:gridCol w:w="140"/>
        <w:gridCol w:w="1220"/>
        <w:gridCol w:w="60"/>
        <w:gridCol w:w="60"/>
        <w:gridCol w:w="140"/>
        <w:gridCol w:w="1220"/>
        <w:gridCol w:w="75"/>
      </w:tblGrid>
      <w:tr>
        <w:trPr/>
        <w:tc>
          <w:tcPr>
            <w:tcW w:w="11010" w:type="dxa"/>
            <w:gridSpan w:val="29"/>
            <w:tcBorders>
              <w:bottom w:val="single" w:sz="12" w:space="0" w:color="000000"/>
            </w:tcBorders>
            <w:shd w:fill="auto" w:val="clear"/>
            <w:vAlign w:val="center"/>
          </w:tcPr>
          <w:p>
            <w:pPr>
              <w:pStyle w:val="TableContents"/>
              <w:spacing w:before="0" w:after="283"/>
              <w:jc w:val="center"/>
              <w:rPr>
                <w:b/>
              </w:rPr>
            </w:pPr>
            <w:r>
              <w:rPr>
                <w:b/>
              </w:rPr>
              <w:t>As of December 31, 2022 Real Estate Collateral Coverage(1)</w:t>
            </w:r>
          </w:p>
        </w:tc>
      </w:tr>
      <w:tr>
        <w:trPr/>
        <w:tc>
          <w:tcPr>
            <w:tcW w:w="1235"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&lt; 1.0x</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1.0x - 1.25x</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1.25x - 1.5x</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1.50x - 1.75x</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240" w:type="dxa"/>
            <w:gridSpan w:val="2"/>
            <w:tcBorders>
              <w:bottom w:val="single" w:sz="12" w:space="0" w:color="000000"/>
            </w:tcBorders>
            <w:shd w:fill="auto" w:val="clear"/>
            <w:vAlign w:val="center"/>
          </w:tcPr>
          <w:p>
            <w:pPr>
              <w:pStyle w:val="TableContents"/>
              <w:spacing w:before="0" w:after="283"/>
              <w:jc w:val="center"/>
              <w:rPr>
                <w:b/>
              </w:rPr>
            </w:pPr>
            <w:r>
              <w:rPr>
                <w:b/>
              </w:rPr>
              <w:t>1.75x - 2.0x</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360" w:type="dxa"/>
            <w:gridSpan w:val="2"/>
            <w:tcBorders>
              <w:bottom w:val="single" w:sz="12" w:space="0" w:color="000000"/>
            </w:tcBorders>
            <w:shd w:fill="auto" w:val="clear"/>
            <w:vAlign w:val="center"/>
          </w:tcPr>
          <w:p>
            <w:pPr>
              <w:pStyle w:val="TableContents"/>
              <w:spacing w:before="0" w:after="283"/>
              <w:jc w:val="center"/>
              <w:rPr>
                <w:b/>
              </w:rPr>
            </w:pPr>
            <w:r>
              <w:rPr>
                <w:b/>
              </w:rPr>
              <w:t>&gt; 2.0x</w:t>
            </w:r>
          </w:p>
        </w:tc>
        <w:tc>
          <w:tcPr>
            <w:tcW w:w="6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1360" w:type="dxa"/>
            <w:gridSpan w:val="2"/>
            <w:tcBorders>
              <w:bottom w:val="single" w:sz="12" w:space="0" w:color="000000"/>
            </w:tcBorders>
            <w:shd w:fill="auto" w:val="clear"/>
            <w:vAlign w:val="center"/>
          </w:tcPr>
          <w:p>
            <w:pPr>
              <w:pStyle w:val="TableContents"/>
              <w:spacing w:before="0" w:after="283"/>
              <w:jc w:val="center"/>
              <w:rPr>
                <w:b/>
              </w:rPr>
            </w:pPr>
            <w:r>
              <w:rPr>
                <w:b/>
              </w:rPr>
              <w:t>Total</w:t>
            </w:r>
          </w:p>
        </w:tc>
        <w:tc>
          <w:tcPr>
            <w:tcW w:w="75" w:type="dxa"/>
            <w:tcBorders/>
            <w:shd w:fill="auto" w:val="clear"/>
            <w:tcMar>
              <w:bottom w:w="0" w:type="dxa"/>
            </w:tcMar>
            <w:vAlign w:val="center"/>
          </w:tcPr>
          <w:p>
            <w:pPr>
              <w:pStyle w:val="TableContents"/>
              <w:spacing w:before="0" w:after="283"/>
              <w:jc w:val="center"/>
              <w:rPr/>
            </w:pPr>
            <w:r>
              <w:rPr/>
              <w:t> </w:t>
            </w:r>
          </w:p>
        </w:tc>
      </w:tr>
      <w:tr>
        <w:trPr/>
        <w:tc>
          <w:tcPr>
            <w:tcW w:w="1235" w:type="dxa"/>
            <w:tcBorders/>
            <w:shd w:fill="CCEEFF" w:val="clear"/>
            <w:tcMar>
              <w:bottom w:w="0" w:type="dxa"/>
            </w:tcMar>
            <w:vAlign w:val="center"/>
          </w:tcPr>
          <w:p>
            <w:pPr>
              <w:pStyle w:val="TableContents"/>
              <w:spacing w:before="0" w:after="283"/>
              <w:rPr/>
            </w:pPr>
            <w:r>
              <w:rPr/>
              <w:t>Fixed-rate</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0"/>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0"/>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20,406,737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283"/>
              <w:jc w:val="right"/>
              <w:rPr/>
            </w:pPr>
            <w:r>
              <w:rPr/>
              <w:t>17,203,138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100" w:type="dxa"/>
            <w:tcBorders/>
            <w:shd w:fill="CCEEFF" w:val="clear"/>
            <w:tcMar>
              <w:bottom w:w="0" w:type="dxa"/>
            </w:tcMar>
            <w:vAlign w:val="center"/>
          </w:tcPr>
          <w:p>
            <w:pPr>
              <w:pStyle w:val="TableContents"/>
              <w:spacing w:before="0" w:after="0"/>
              <w:jc w:val="right"/>
              <w:rPr/>
            </w:pPr>
            <w:r>
              <w:rPr/>
              <w:t>-</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pPr>
            <w:r>
              <w:rPr/>
              <w:t>$</w:t>
            </w:r>
          </w:p>
        </w:tc>
        <w:tc>
          <w:tcPr>
            <w:tcW w:w="1220" w:type="dxa"/>
            <w:tcBorders/>
            <w:shd w:fill="CCEEFF" w:val="clear"/>
            <w:tcMar>
              <w:bottom w:w="0" w:type="dxa"/>
            </w:tcMar>
            <w:vAlign w:val="center"/>
          </w:tcPr>
          <w:p>
            <w:pPr>
              <w:pStyle w:val="TableContents"/>
              <w:spacing w:before="0" w:after="283"/>
              <w:jc w:val="right"/>
              <w:rPr/>
            </w:pPr>
            <w:r>
              <w:rPr/>
              <w:t>20,089,663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shd w:fill="CCEEFF" w:val="clear"/>
            <w:tcMar>
              <w:bottom w:w="0" w:type="dxa"/>
            </w:tcMar>
            <w:vAlign w:val="center"/>
          </w:tcPr>
          <w:p>
            <w:pPr>
              <w:pStyle w:val="TableContents"/>
              <w:spacing w:before="0" w:after="283"/>
              <w:jc w:val="left"/>
              <w:rPr>
                <w:b/>
              </w:rPr>
            </w:pPr>
            <w:r>
              <w:rPr>
                <w:b/>
              </w:rPr>
              <w:t>$</w:t>
            </w:r>
          </w:p>
        </w:tc>
        <w:tc>
          <w:tcPr>
            <w:tcW w:w="1220" w:type="dxa"/>
            <w:tcBorders/>
            <w:shd w:fill="CCEEFF" w:val="clear"/>
            <w:tcMar>
              <w:bottom w:w="0" w:type="dxa"/>
            </w:tcMar>
            <w:vAlign w:val="center"/>
          </w:tcPr>
          <w:p>
            <w:pPr>
              <w:pStyle w:val="TableContents"/>
              <w:spacing w:before="0" w:after="283"/>
              <w:jc w:val="right"/>
              <w:rPr>
                <w:b/>
              </w:rPr>
            </w:pPr>
            <w:r>
              <w:rPr>
                <w:b/>
              </w:rPr>
              <w:t>57,699,538</w:t>
            </w:r>
          </w:p>
        </w:tc>
        <w:tc>
          <w:tcPr>
            <w:tcW w:w="75" w:type="dxa"/>
            <w:tcBorders/>
            <w:shd w:fill="CCEEFF" w:val="clear"/>
            <w:tcMar>
              <w:bottom w:w="0" w:type="dxa"/>
            </w:tcMar>
            <w:vAlign w:val="center"/>
          </w:tcPr>
          <w:p>
            <w:pPr>
              <w:pStyle w:val="TableContents"/>
              <w:spacing w:before="0" w:after="283"/>
              <w:jc w:val="left"/>
              <w:rPr/>
            </w:pPr>
            <w:r>
              <w:rPr/>
              <w:t> </w:t>
            </w:r>
          </w:p>
        </w:tc>
      </w:tr>
      <w:tr>
        <w:trPr/>
        <w:tc>
          <w:tcPr>
            <w:tcW w:w="1235" w:type="dxa"/>
            <w:tcBorders/>
            <w:shd w:fill="auto" w:val="clear"/>
            <w:tcMar>
              <w:bottom w:w="0" w:type="dxa"/>
            </w:tcMar>
            <w:vAlign w:val="center"/>
          </w:tcPr>
          <w:p>
            <w:pPr>
              <w:pStyle w:val="TableContents"/>
              <w:spacing w:before="0" w:after="283"/>
              <w:rPr/>
            </w:pPr>
            <w:r>
              <w:rPr/>
              <w:t>Floating-rate</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100" w:type="dxa"/>
            <w:tcBorders>
              <w:bottom w:val="single" w:sz="12" w:space="0" w:color="000000"/>
            </w:tcBorders>
            <w:shd w:fill="auto" w:val="clear"/>
            <w:vAlign w:val="center"/>
          </w:tcPr>
          <w:p>
            <w:pPr>
              <w:pStyle w:val="TableContents"/>
              <w:spacing w:before="0" w:after="283"/>
              <w:jc w:val="right"/>
              <w:rPr/>
            </w:pPr>
            <w:r>
              <w:rPr/>
              <w:t>63,963,105</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100" w:type="dxa"/>
            <w:tcBorders>
              <w:bottom w:val="single" w:sz="12" w:space="0" w:color="000000"/>
            </w:tcBorders>
            <w:shd w:fill="auto" w:val="clear"/>
            <w:vAlign w:val="center"/>
          </w:tcPr>
          <w:p>
            <w:pPr>
              <w:pStyle w:val="TableContents"/>
              <w:spacing w:before="0" w:after="283"/>
              <w:jc w:val="right"/>
              <w:rPr/>
            </w:pPr>
            <w:r>
              <w:rPr/>
              <w:t>78,211,454</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100" w:type="dxa"/>
            <w:tcBorders>
              <w:bottom w:val="single" w:sz="12" w:space="0" w:color="000000"/>
            </w:tcBorders>
            <w:shd w:fill="auto" w:val="clear"/>
            <w:vAlign w:val="center"/>
          </w:tcPr>
          <w:p>
            <w:pPr>
              <w:pStyle w:val="TableContents"/>
              <w:spacing w:before="0" w:after="283"/>
              <w:jc w:val="right"/>
              <w:rPr/>
            </w:pPr>
            <w:r>
              <w:rPr/>
              <w:t>13,399,712</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100" w:type="dxa"/>
            <w:tcBorders>
              <w:bottom w:val="single" w:sz="12" w:space="0" w:color="000000"/>
            </w:tcBorders>
            <w:shd w:fill="auto" w:val="clear"/>
            <w:vAlign w:val="center"/>
          </w:tcPr>
          <w:p>
            <w:pPr>
              <w:pStyle w:val="TableContents"/>
              <w:spacing w:before="0" w:after="283"/>
              <w:jc w:val="right"/>
              <w:rPr/>
            </w:pPr>
            <w:r>
              <w:rPr/>
              <w:t>9,980,730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100" w:type="dxa"/>
            <w:tcBorders>
              <w:bottom w:val="single" w:sz="12" w:space="0" w:color="000000"/>
            </w:tcBorders>
            <w:shd w:fill="auto" w:val="clear"/>
            <w:vAlign w:val="center"/>
          </w:tcPr>
          <w:p>
            <w:pPr>
              <w:pStyle w:val="TableContents"/>
              <w:spacing w:before="0" w:after="283"/>
              <w:jc w:val="right"/>
              <w:rPr/>
            </w:pPr>
            <w:r>
              <w:rPr/>
              <w:t>12,849,490</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220" w:type="dxa"/>
            <w:tcBorders>
              <w:bottom w:val="single" w:sz="12" w:space="0" w:color="000000"/>
            </w:tcBorders>
            <w:shd w:fill="auto" w:val="clear"/>
            <w:vAlign w:val="center"/>
          </w:tcPr>
          <w:p>
            <w:pPr>
              <w:pStyle w:val="TableContents"/>
              <w:spacing w:before="0" w:after="283"/>
              <w:jc w:val="right"/>
              <w:rPr/>
            </w:pPr>
            <w:r>
              <w:rPr/>
              <w:t>103,169,509</w:t>
            </w:r>
          </w:p>
        </w:tc>
        <w:tc>
          <w:tcPr>
            <w:tcW w:w="60" w:type="dxa"/>
            <w:tcBorders/>
            <w:shd w:fill="auto" w:val="clear"/>
            <w:tcMar>
              <w:bottom w:w="0" w:type="dxa"/>
            </w:tcMar>
            <w:vAlign w:val="center"/>
          </w:tcPr>
          <w:p>
            <w:pPr>
              <w:pStyle w:val="TableContents"/>
              <w:spacing w:before="0" w:after="283"/>
              <w:jc w:val="left"/>
              <w:rPr/>
            </w:pPr>
            <w:r>
              <w:rPr/>
              <w:t> </w:t>
            </w:r>
          </w:p>
        </w:tc>
        <w:tc>
          <w:tcPr>
            <w:tcW w:w="60" w:type="dxa"/>
            <w:tcBorders/>
            <w:shd w:fill="auto" w:val="clear"/>
            <w:tcMar>
              <w:bottom w:w="0" w:type="dxa"/>
            </w:tcMar>
            <w:vAlign w:val="center"/>
          </w:tcPr>
          <w:p>
            <w:pPr>
              <w:pStyle w:val="TableContents"/>
              <w:spacing w:before="0" w:after="283"/>
              <w:rPr/>
            </w:pPr>
            <w:r>
              <w:rPr/>
              <w:t> </w:t>
            </w:r>
          </w:p>
        </w:tc>
        <w:tc>
          <w:tcPr>
            <w:tcW w:w="140" w:type="dxa"/>
            <w:tcBorders>
              <w:bottom w:val="single" w:sz="12" w:space="0" w:color="000000"/>
            </w:tcBorders>
            <w:shd w:fill="auto" w:val="clear"/>
            <w:vAlign w:val="center"/>
          </w:tcPr>
          <w:p>
            <w:pPr>
              <w:pStyle w:val="TableContents"/>
              <w:spacing w:before="0" w:after="283"/>
              <w:jc w:val="left"/>
              <w:rPr/>
            </w:pPr>
            <w:r>
              <w:rPr/>
              <w:t> </w:t>
            </w:r>
          </w:p>
        </w:tc>
        <w:tc>
          <w:tcPr>
            <w:tcW w:w="1220" w:type="dxa"/>
            <w:tcBorders>
              <w:bottom w:val="single" w:sz="12" w:space="0" w:color="000000"/>
            </w:tcBorders>
            <w:shd w:fill="auto" w:val="clear"/>
            <w:vAlign w:val="center"/>
          </w:tcPr>
          <w:p>
            <w:pPr>
              <w:pStyle w:val="TableContents"/>
              <w:spacing w:before="0" w:after="283"/>
              <w:jc w:val="right"/>
              <w:rPr>
                <w:b/>
              </w:rPr>
            </w:pPr>
            <w:r>
              <w:rPr>
                <w:b/>
              </w:rPr>
              <w:t>281,574,000</w:t>
            </w:r>
          </w:p>
        </w:tc>
        <w:tc>
          <w:tcPr>
            <w:tcW w:w="75" w:type="dxa"/>
            <w:tcBorders/>
            <w:shd w:fill="auto" w:val="clear"/>
            <w:tcMar>
              <w:bottom w:w="0" w:type="dxa"/>
            </w:tcMar>
            <w:vAlign w:val="center"/>
          </w:tcPr>
          <w:p>
            <w:pPr>
              <w:pStyle w:val="TableContents"/>
              <w:spacing w:before="0" w:after="283"/>
              <w:jc w:val="left"/>
              <w:rPr/>
            </w:pPr>
            <w:r>
              <w:rPr/>
              <w:t> </w:t>
            </w:r>
          </w:p>
        </w:tc>
      </w:tr>
      <w:tr>
        <w:trPr/>
        <w:tc>
          <w:tcPr>
            <w:tcW w:w="123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100" w:type="dxa"/>
            <w:tcBorders>
              <w:bottom w:val="double" w:sz="10" w:space="0" w:color="000000"/>
            </w:tcBorders>
            <w:shd w:fill="CCEEFF" w:val="clear"/>
            <w:vAlign w:val="center"/>
          </w:tcPr>
          <w:p>
            <w:pPr>
              <w:pStyle w:val="TableContents"/>
              <w:spacing w:before="0" w:after="283"/>
              <w:jc w:val="right"/>
              <w:rPr/>
            </w:pPr>
            <w:r>
              <w:rPr/>
              <w:t>63,963,105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100" w:type="dxa"/>
            <w:tcBorders>
              <w:bottom w:val="double" w:sz="10" w:space="0" w:color="000000"/>
            </w:tcBorders>
            <w:shd w:fill="CCEEFF" w:val="clear"/>
            <w:vAlign w:val="center"/>
          </w:tcPr>
          <w:p>
            <w:pPr>
              <w:pStyle w:val="TableContents"/>
              <w:spacing w:before="0" w:after="283"/>
              <w:jc w:val="right"/>
              <w:rPr/>
            </w:pPr>
            <w:r>
              <w:rPr/>
              <w:t>78,211,454</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100" w:type="dxa"/>
            <w:tcBorders>
              <w:bottom w:val="double" w:sz="10" w:space="0" w:color="000000"/>
            </w:tcBorders>
            <w:shd w:fill="CCEEFF" w:val="clear"/>
            <w:vAlign w:val="center"/>
          </w:tcPr>
          <w:p>
            <w:pPr>
              <w:pStyle w:val="TableContents"/>
              <w:spacing w:before="0" w:after="283"/>
              <w:jc w:val="right"/>
              <w:rPr/>
            </w:pPr>
            <w:r>
              <w:rPr/>
              <w:t>33,806,449</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100" w:type="dxa"/>
            <w:tcBorders>
              <w:bottom w:val="double" w:sz="10" w:space="0" w:color="000000"/>
            </w:tcBorders>
            <w:shd w:fill="CCEEFF" w:val="clear"/>
            <w:vAlign w:val="center"/>
          </w:tcPr>
          <w:p>
            <w:pPr>
              <w:pStyle w:val="TableContents"/>
              <w:spacing w:before="0" w:after="283"/>
              <w:jc w:val="right"/>
              <w:rPr/>
            </w:pPr>
            <w:r>
              <w:rPr/>
              <w:t>27,183,868</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100" w:type="dxa"/>
            <w:tcBorders>
              <w:bottom w:val="double" w:sz="10" w:space="0" w:color="000000"/>
            </w:tcBorders>
            <w:shd w:fill="CCEEFF" w:val="clear"/>
            <w:vAlign w:val="center"/>
          </w:tcPr>
          <w:p>
            <w:pPr>
              <w:pStyle w:val="TableContents"/>
              <w:spacing w:before="0" w:after="283"/>
              <w:jc w:val="right"/>
              <w:rPr/>
            </w:pPr>
            <w:r>
              <w:rPr/>
              <w:t>12,849,490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pPr>
            <w:r>
              <w:rPr/>
              <w:t>$</w:t>
            </w:r>
          </w:p>
        </w:tc>
        <w:tc>
          <w:tcPr>
            <w:tcW w:w="1220" w:type="dxa"/>
            <w:tcBorders>
              <w:bottom w:val="double" w:sz="10" w:space="0" w:color="000000"/>
            </w:tcBorders>
            <w:shd w:fill="CCEEFF" w:val="clear"/>
            <w:vAlign w:val="center"/>
          </w:tcPr>
          <w:p>
            <w:pPr>
              <w:pStyle w:val="TableContents"/>
              <w:spacing w:before="0" w:after="283"/>
              <w:jc w:val="right"/>
              <w:rPr/>
            </w:pPr>
            <w:r>
              <w:rPr/>
              <w:t>123,259,172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40" w:type="dxa"/>
            <w:tcBorders>
              <w:bottom w:val="double" w:sz="10" w:space="0" w:color="000000"/>
            </w:tcBorders>
            <w:shd w:fill="CCEEFF" w:val="clear"/>
            <w:vAlign w:val="center"/>
          </w:tcPr>
          <w:p>
            <w:pPr>
              <w:pStyle w:val="TableContents"/>
              <w:spacing w:before="0" w:after="283"/>
              <w:jc w:val="left"/>
              <w:rPr>
                <w:b/>
              </w:rPr>
            </w:pPr>
            <w:r>
              <w:rPr>
                <w:b/>
              </w:rPr>
              <w:t>$</w:t>
            </w:r>
          </w:p>
        </w:tc>
        <w:tc>
          <w:tcPr>
            <w:tcW w:w="1220" w:type="dxa"/>
            <w:tcBorders>
              <w:bottom w:val="double" w:sz="10" w:space="0" w:color="000000"/>
            </w:tcBorders>
            <w:shd w:fill="CCEEFF" w:val="clear"/>
            <w:vAlign w:val="center"/>
          </w:tcPr>
          <w:p>
            <w:pPr>
              <w:pStyle w:val="TableContents"/>
              <w:spacing w:before="0" w:after="283"/>
              <w:jc w:val="right"/>
              <w:rPr>
                <w:b/>
              </w:rPr>
            </w:pPr>
            <w:r>
              <w:rPr>
                <w:b/>
              </w:rPr>
              <w:t>339,273,538</w:t>
            </w:r>
          </w:p>
        </w:tc>
        <w:tc>
          <w:tcPr>
            <w:tcW w:w="75"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9438" w:type="dxa"/>
        <w:jc w:val="left"/>
        <w:tblInd w:w="0" w:type="dxa"/>
        <w:tblCellMar>
          <w:top w:w="0" w:type="dxa"/>
          <w:left w:w="0" w:type="dxa"/>
          <w:bottom w:w="0" w:type="dxa"/>
          <w:right w:w="0" w:type="dxa"/>
        </w:tblCellMar>
      </w:tblPr>
      <w:tblGrid>
        <w:gridCol w:w="38"/>
        <w:gridCol w:w="290"/>
        <w:gridCol w:w="9110"/>
      </w:tblGrid>
      <w:tr>
        <w:trPr/>
        <w:tc>
          <w:tcPr>
            <w:tcW w:w="3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(1)</w:t>
            </w:r>
          </w:p>
        </w:tc>
        <w:tc>
          <w:tcPr>
            <w:tcW w:w="9110" w:type="dxa"/>
            <w:tcBorders/>
            <w:shd w:fill="auto"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Real estate collateral coverage is calculated based upon most recent third-party appraised values.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CECL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maturities that extend beyond the forecast horizon for which we are able to derive reasonable and supportable forecasts.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and its affiliates have had operations for the past three fiscal years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March 31, 2023, to which the Manager may apply a private company discount based on the Company’s current borrower profile. These estimates may change in future periods based on available future macro-economic data and might result in a material change in the Company’s future estimates of expected credit losses for its loan portfolio.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the Company reverts back to historical loss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related to the CECL Reserve for outstanding balances and unfunded commitments on the Company’s loans held at carrying value and loans receivable at carrying value as of and for the three months ended March 31, 2023 and 2022 is presented in the table below.</w:t>
      </w:r>
    </w:p>
    <w:p>
      <w:pPr>
        <w:pStyle w:val="TextBody"/>
        <w:spacing w:before="0" w:after="0"/>
        <w:ind w:left="0" w:right="0" w:hanging="0"/>
        <w:rPr>
          <w:caps w:val="false"/>
          <w:smallCaps w:val="false"/>
        </w:rPr>
      </w:pPr>
      <w:r>
        <w:rPr>
          <w:caps w:val="false"/>
          <w:smallCaps w:val="false"/>
        </w:rPr>
        <w:t> </w:t>
      </w:r>
    </w:p>
    <w:tbl>
      <w:tblPr>
        <w:tblW w:w="7918" w:type="dxa"/>
        <w:jc w:val="left"/>
        <w:tblInd w:w="0" w:type="dxa"/>
        <w:tblCellMar>
          <w:top w:w="0" w:type="dxa"/>
          <w:left w:w="0" w:type="dxa"/>
          <w:bottom w:w="0" w:type="dxa"/>
          <w:right w:w="0" w:type="dxa"/>
        </w:tblCellMar>
      </w:tblPr>
      <w:tblGrid>
        <w:gridCol w:w="4085"/>
        <w:gridCol w:w="60"/>
        <w:gridCol w:w="158"/>
        <w:gridCol w:w="1106"/>
        <w:gridCol w:w="60"/>
        <w:gridCol w:w="60"/>
        <w:gridCol w:w="162"/>
        <w:gridCol w:w="877"/>
        <w:gridCol w:w="95"/>
        <w:gridCol w:w="60"/>
        <w:gridCol w:w="140"/>
        <w:gridCol w:w="980"/>
        <w:gridCol w:w="75"/>
      </w:tblGrid>
      <w:tr>
        <w:trPr/>
        <w:tc>
          <w:tcPr>
            <w:tcW w:w="40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Outstanding</w:t>
            </w:r>
            <w:r>
              <w:rPr>
                <w:rFonts w:ascii="Times New Roman;Times;Serif" w:hAnsi="Times New Roman;Times;Serif"/>
                <w:b/>
                <w:position w:val="7"/>
                <w:sz w:val="16"/>
                <w:sz w:val="20"/>
              </w:rPr>
              <w:t>(1)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Unfunded</w:t>
            </w:r>
            <w:r>
              <w:rPr>
                <w:rFonts w:ascii="Times New Roman;Times;Serif" w:hAnsi="Times New Roman;Times;Serif"/>
                <w:b/>
                <w:position w:val="7"/>
                <w:sz w:val="16"/>
                <w:sz w:val="20"/>
              </w:rPr>
              <w:t>(2)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4085" w:type="dxa"/>
            <w:tcBorders/>
            <w:shd w:fill="CCEEFF" w:val="clear"/>
            <w:vAlign w:val="center"/>
          </w:tcPr>
          <w:p>
            <w:pPr>
              <w:pStyle w:val="TableContents"/>
              <w:spacing w:before="0" w:after="283"/>
              <w:rPr>
                <w:b/>
              </w:rPr>
            </w:pPr>
            <w:r>
              <w:rPr>
                <w:b/>
              </w:rPr>
              <w:t>Balance at December 31, 2022</w:t>
            </w:r>
          </w:p>
        </w:tc>
        <w:tc>
          <w:tcPr>
            <w:tcW w:w="60" w:type="dxa"/>
            <w:tcBorders/>
            <w:shd w:fill="CCEEFF" w:val="clear"/>
            <w:vAlign w:val="center"/>
          </w:tcPr>
          <w:p>
            <w:pPr>
              <w:pStyle w:val="TableContents"/>
              <w:spacing w:before="0" w:after="283"/>
              <w:rPr/>
            </w:pPr>
            <w:r>
              <w:rPr/>
              <w:t> </w:t>
            </w:r>
          </w:p>
        </w:tc>
        <w:tc>
          <w:tcPr>
            <w:tcW w:w="158" w:type="dxa"/>
            <w:tcBorders/>
            <w:shd w:fill="CCEEFF" w:val="clear"/>
            <w:vAlign w:val="center"/>
          </w:tcPr>
          <w:p>
            <w:pPr>
              <w:pStyle w:val="TableContents"/>
              <w:spacing w:before="0" w:after="283"/>
              <w:jc w:val="left"/>
              <w:rPr>
                <w:b/>
              </w:rPr>
            </w:pPr>
            <w:r>
              <w:rPr>
                <w:b/>
              </w:rPr>
              <w:t>$</w:t>
            </w:r>
          </w:p>
        </w:tc>
        <w:tc>
          <w:tcPr>
            <w:tcW w:w="1106" w:type="dxa"/>
            <w:tcBorders/>
            <w:shd w:fill="CCEEFF" w:val="clear"/>
            <w:vAlign w:val="center"/>
          </w:tcPr>
          <w:p>
            <w:pPr>
              <w:pStyle w:val="TableContents"/>
              <w:spacing w:before="0" w:after="283"/>
              <w:jc w:val="right"/>
              <w:rPr>
                <w:b/>
              </w:rPr>
            </w:pPr>
            <w:r>
              <w:rPr>
                <w:b/>
              </w:rPr>
              <w:t>3,940,939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2" w:type="dxa"/>
            <w:tcBorders/>
            <w:shd w:fill="CCEEFF" w:val="clear"/>
            <w:vAlign w:val="center"/>
          </w:tcPr>
          <w:p>
            <w:pPr>
              <w:pStyle w:val="TableContents"/>
              <w:spacing w:before="0" w:after="283"/>
              <w:jc w:val="left"/>
              <w:rPr>
                <w:b/>
              </w:rPr>
            </w:pPr>
            <w:r>
              <w:rPr>
                <w:b/>
              </w:rPr>
              <w:t>$</w:t>
            </w:r>
          </w:p>
        </w:tc>
        <w:tc>
          <w:tcPr>
            <w:tcW w:w="877" w:type="dxa"/>
            <w:tcBorders/>
            <w:shd w:fill="CCEEFF" w:val="clear"/>
            <w:vAlign w:val="center"/>
          </w:tcPr>
          <w:p>
            <w:pPr>
              <w:pStyle w:val="TableContents"/>
              <w:spacing w:before="0" w:after="283"/>
              <w:jc w:val="right"/>
              <w:rPr>
                <w:b/>
              </w:rPr>
            </w:pPr>
            <w:r>
              <w:rPr>
                <w:b/>
              </w:rPr>
              <w:t>94,415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980" w:type="dxa"/>
            <w:tcBorders/>
            <w:shd w:fill="CCEEFF" w:val="clear"/>
            <w:vAlign w:val="center"/>
          </w:tcPr>
          <w:p>
            <w:pPr>
              <w:pStyle w:val="TableContents"/>
              <w:spacing w:before="0" w:after="283"/>
              <w:jc w:val="right"/>
              <w:rPr>
                <w:b/>
              </w:rPr>
            </w:pPr>
            <w:r>
              <w:rPr>
                <w:b/>
              </w:rPr>
              <w:t>4,035,354</w:t>
            </w:r>
          </w:p>
        </w:tc>
        <w:tc>
          <w:tcPr>
            <w:tcW w:w="75" w:type="dxa"/>
            <w:tcBorders/>
            <w:shd w:fill="CCEEFF" w:val="clear"/>
            <w:vAlign w:val="center"/>
          </w:tcPr>
          <w:p>
            <w:pPr>
              <w:pStyle w:val="TableContents"/>
              <w:spacing w:before="0" w:after="283"/>
              <w:jc w:val="left"/>
              <w:rPr/>
            </w:pPr>
            <w:r>
              <w:rPr/>
              <w:t> </w:t>
            </w:r>
          </w:p>
        </w:tc>
      </w:tr>
      <w:tr>
        <w:trPr/>
        <w:tc>
          <w:tcPr>
            <w:tcW w:w="4085" w:type="dxa"/>
            <w:tcBorders/>
            <w:shd w:fill="auto" w:val="clear"/>
            <w:vAlign w:val="center"/>
          </w:tcPr>
          <w:p>
            <w:pPr>
              <w:pStyle w:val="TableContents"/>
              <w:spacing w:before="0" w:after="283"/>
              <w:jc w:val="left"/>
              <w:rPr/>
            </w:pPr>
            <w:r>
              <w:rPr/>
              <w:t>Provision for current expected credit losses</w:t>
            </w:r>
          </w:p>
        </w:tc>
        <w:tc>
          <w:tcPr>
            <w:tcW w:w="60" w:type="dxa"/>
            <w:tcBorders/>
            <w:shd w:fill="auto" w:val="clear"/>
            <w:vAlign w:val="center"/>
          </w:tcPr>
          <w:p>
            <w:pPr>
              <w:pStyle w:val="TableContents"/>
              <w:spacing w:before="0" w:after="283"/>
              <w:rPr/>
            </w:pPr>
            <w:r>
              <w:rPr/>
              <w:t> </w:t>
            </w:r>
          </w:p>
        </w:tc>
        <w:tc>
          <w:tcPr>
            <w:tcW w:w="158"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6" w:type="dxa"/>
            <w:tcBorders>
              <w:bottom w:val="single" w:sz="12" w:space="0" w:color="000000"/>
            </w:tcBorders>
            <w:shd w:fill="auto" w:val="clear"/>
            <w:tcMar>
              <w:bottom w:w="28" w:type="dxa"/>
            </w:tcMar>
            <w:vAlign w:val="center"/>
          </w:tcPr>
          <w:p>
            <w:pPr>
              <w:pStyle w:val="TableContents"/>
              <w:spacing w:before="0" w:after="283"/>
              <w:jc w:val="right"/>
              <w:rPr/>
            </w:pPr>
            <w:r>
              <w:rPr/>
              <w:t>110,995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77" w:type="dxa"/>
            <w:tcBorders>
              <w:bottom w:val="single" w:sz="12" w:space="0" w:color="000000"/>
            </w:tcBorders>
            <w:shd w:fill="auto" w:val="clear"/>
            <w:tcMar>
              <w:bottom w:w="28" w:type="dxa"/>
            </w:tcMar>
            <w:vAlign w:val="center"/>
          </w:tcPr>
          <w:p>
            <w:pPr>
              <w:pStyle w:val="TableContents"/>
              <w:spacing w:before="0" w:after="283"/>
              <w:jc w:val="right"/>
              <w:rPr/>
            </w:pPr>
            <w:r>
              <w:rPr/>
              <w:t>(14,876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96,119</w:t>
            </w:r>
          </w:p>
        </w:tc>
        <w:tc>
          <w:tcPr>
            <w:tcW w:w="75" w:type="dxa"/>
            <w:tcBorders/>
            <w:shd w:fill="auto" w:val="clear"/>
            <w:vAlign w:val="center"/>
          </w:tcPr>
          <w:p>
            <w:pPr>
              <w:pStyle w:val="TableContents"/>
              <w:spacing w:before="0" w:after="283"/>
              <w:jc w:val="left"/>
              <w:rPr/>
            </w:pPr>
            <w:r>
              <w:rPr/>
              <w:t> </w:t>
            </w:r>
          </w:p>
        </w:tc>
      </w:tr>
      <w:tr>
        <w:trPr/>
        <w:tc>
          <w:tcPr>
            <w:tcW w:w="4085" w:type="dxa"/>
            <w:tcBorders/>
            <w:shd w:fill="CCEEFF" w:val="clear"/>
            <w:vAlign w:val="center"/>
          </w:tcPr>
          <w:p>
            <w:pPr>
              <w:pStyle w:val="TableContents"/>
              <w:spacing w:before="0" w:after="283"/>
              <w:rPr>
                <w:b/>
              </w:rPr>
            </w:pPr>
            <w:r>
              <w:rPr>
                <w:b/>
              </w:rPr>
              <w:t>Balance at March 31, 2023</w:t>
            </w:r>
          </w:p>
        </w:tc>
        <w:tc>
          <w:tcPr>
            <w:tcW w:w="60" w:type="dxa"/>
            <w:tcBorders/>
            <w:shd w:fill="CCEEFF" w:val="clear"/>
            <w:vAlign w:val="center"/>
          </w:tcPr>
          <w:p>
            <w:pPr>
              <w:pStyle w:val="TableContents"/>
              <w:spacing w:before="0" w:after="283"/>
              <w:rPr/>
            </w:pPr>
            <w:r>
              <w:rPr/>
              <w:t> </w:t>
            </w:r>
          </w:p>
        </w:tc>
        <w:tc>
          <w:tcPr>
            <w:tcW w:w="158"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106" w:type="dxa"/>
            <w:tcBorders>
              <w:bottom w:val="double" w:sz="10" w:space="0" w:color="000000"/>
            </w:tcBorders>
            <w:shd w:fill="CCEEFF" w:val="clear"/>
            <w:tcMar>
              <w:bottom w:w="28" w:type="dxa"/>
            </w:tcMar>
            <w:vAlign w:val="center"/>
          </w:tcPr>
          <w:p>
            <w:pPr>
              <w:pStyle w:val="TableContents"/>
              <w:spacing w:before="0" w:after="283"/>
              <w:jc w:val="right"/>
              <w:rPr>
                <w:b/>
              </w:rPr>
            </w:pPr>
            <w:r>
              <w:rPr>
                <w:b/>
              </w:rPr>
              <w:t>4,051,934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2"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877" w:type="dxa"/>
            <w:tcBorders>
              <w:bottom w:val="double" w:sz="10" w:space="0" w:color="000000"/>
            </w:tcBorders>
            <w:shd w:fill="CCEEFF" w:val="clear"/>
            <w:tcMar>
              <w:bottom w:w="28" w:type="dxa"/>
            </w:tcMar>
            <w:vAlign w:val="center"/>
          </w:tcPr>
          <w:p>
            <w:pPr>
              <w:pStyle w:val="TableContents"/>
              <w:spacing w:before="0" w:after="283"/>
              <w:jc w:val="right"/>
              <w:rPr>
                <w:b/>
              </w:rPr>
            </w:pPr>
            <w:r>
              <w:rPr>
                <w:b/>
              </w:rPr>
              <w:t>79,539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b/>
              </w:rPr>
            </w:pPr>
            <w:r>
              <w:rPr>
                <w:b/>
              </w:rPr>
              <w:t>4,131,473</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7703" w:type="dxa"/>
        <w:jc w:val="left"/>
        <w:tblInd w:w="0" w:type="dxa"/>
        <w:tblCellMar>
          <w:top w:w="0" w:type="dxa"/>
          <w:left w:w="0" w:type="dxa"/>
          <w:bottom w:w="0" w:type="dxa"/>
          <w:right w:w="0" w:type="dxa"/>
        </w:tblCellMar>
      </w:tblPr>
      <w:tblGrid>
        <w:gridCol w:w="4085"/>
        <w:gridCol w:w="60"/>
        <w:gridCol w:w="188"/>
        <w:gridCol w:w="1076"/>
        <w:gridCol w:w="60"/>
        <w:gridCol w:w="60"/>
        <w:gridCol w:w="176"/>
        <w:gridCol w:w="863"/>
        <w:gridCol w:w="60"/>
        <w:gridCol w:w="60"/>
        <w:gridCol w:w="140"/>
        <w:gridCol w:w="800"/>
        <w:gridCol w:w="75"/>
      </w:tblGrid>
      <w:tr>
        <w:trPr/>
        <w:tc>
          <w:tcPr>
            <w:tcW w:w="40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Outstanding</w:t>
            </w:r>
            <w:r>
              <w:rPr>
                <w:rFonts w:ascii="Times New Roman;Times;Serif" w:hAnsi="Times New Roman;Times;Serif"/>
                <w:b/>
                <w:position w:val="7"/>
                <w:sz w:val="16"/>
                <w:sz w:val="20"/>
              </w:rPr>
              <w:t>(1)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Unfunded</w:t>
            </w:r>
            <w:r>
              <w:rPr>
                <w:rFonts w:ascii="Times New Roman;Times;Serif" w:hAnsi="Times New Roman;Times;Serif"/>
                <w:b/>
                <w:position w:val="7"/>
                <w:sz w:val="16"/>
                <w:sz w:val="20"/>
              </w:rPr>
              <w:t>(2)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rPr/>
            </w:pPr>
            <w:r>
              <w:rPr/>
              <w:t> </w:t>
            </w:r>
          </w:p>
        </w:tc>
      </w:tr>
      <w:tr>
        <w:trPr/>
        <w:tc>
          <w:tcPr>
            <w:tcW w:w="4085" w:type="dxa"/>
            <w:tcBorders/>
            <w:shd w:fill="CCEEFF" w:val="clear"/>
            <w:vAlign w:val="center"/>
          </w:tcPr>
          <w:p>
            <w:pPr>
              <w:pStyle w:val="TableContents"/>
              <w:spacing w:before="0" w:after="283"/>
              <w:rPr>
                <w:b/>
              </w:rPr>
            </w:pPr>
            <w:r>
              <w:rPr>
                <w:b/>
              </w:rPr>
              <w:t>Balance at December 31, 2021</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b/>
              </w:rPr>
            </w:pPr>
            <w:r>
              <w:rPr>
                <w:b/>
              </w:rPr>
              <w:t>$</w:t>
            </w:r>
          </w:p>
        </w:tc>
        <w:tc>
          <w:tcPr>
            <w:tcW w:w="1076" w:type="dxa"/>
            <w:tcBorders/>
            <w:shd w:fill="CCEEFF" w:val="clear"/>
            <w:vAlign w:val="center"/>
          </w:tcPr>
          <w:p>
            <w:pPr>
              <w:pStyle w:val="TableContents"/>
              <w:spacing w:before="0" w:after="283"/>
              <w:jc w:val="right"/>
              <w:rPr>
                <w:b/>
              </w:rPr>
            </w:pPr>
            <w:r>
              <w:rPr>
                <w:b/>
              </w:rPr>
              <w:t>134,542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jc w:val="left"/>
              <w:rPr>
                <w:b/>
              </w:rPr>
            </w:pPr>
            <w:r>
              <w:rPr>
                <w:b/>
              </w:rPr>
              <w:t>$</w:t>
            </w:r>
          </w:p>
        </w:tc>
        <w:tc>
          <w:tcPr>
            <w:tcW w:w="863" w:type="dxa"/>
            <w:tcBorders/>
            <w:shd w:fill="CCEEFF" w:val="clear"/>
            <w:vAlign w:val="center"/>
          </w:tcPr>
          <w:p>
            <w:pPr>
              <w:pStyle w:val="TableContents"/>
              <w:spacing w:before="0" w:after="283"/>
              <w:jc w:val="right"/>
              <w:rPr>
                <w:b/>
              </w:rPr>
            </w:pPr>
            <w:r>
              <w:rPr>
                <w:b/>
              </w:rPr>
              <w:t>13,407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800" w:type="dxa"/>
            <w:tcBorders/>
            <w:shd w:fill="CCEEFF" w:val="clear"/>
            <w:vAlign w:val="center"/>
          </w:tcPr>
          <w:p>
            <w:pPr>
              <w:pStyle w:val="TableContents"/>
              <w:spacing w:before="0" w:after="283"/>
              <w:jc w:val="right"/>
              <w:rPr>
                <w:b/>
              </w:rPr>
            </w:pPr>
            <w:r>
              <w:rPr>
                <w:b/>
              </w:rPr>
              <w:t>147,949</w:t>
            </w:r>
          </w:p>
        </w:tc>
        <w:tc>
          <w:tcPr>
            <w:tcW w:w="75" w:type="dxa"/>
            <w:tcBorders/>
            <w:shd w:fill="CCEEFF" w:val="clear"/>
            <w:vAlign w:val="center"/>
          </w:tcPr>
          <w:p>
            <w:pPr>
              <w:pStyle w:val="TableContents"/>
              <w:spacing w:before="0" w:after="283"/>
              <w:jc w:val="left"/>
              <w:rPr/>
            </w:pPr>
            <w:r>
              <w:rPr/>
              <w:t> </w:t>
            </w:r>
          </w:p>
        </w:tc>
      </w:tr>
      <w:tr>
        <w:trPr/>
        <w:tc>
          <w:tcPr>
            <w:tcW w:w="4085" w:type="dxa"/>
            <w:tcBorders/>
            <w:shd w:fill="auto" w:val="clear"/>
            <w:vAlign w:val="center"/>
          </w:tcPr>
          <w:p>
            <w:pPr>
              <w:pStyle w:val="TableContents"/>
              <w:spacing w:before="0" w:after="283"/>
              <w:jc w:val="left"/>
              <w:rPr/>
            </w:pPr>
            <w:r>
              <w:rPr/>
              <w:t>Provision for current expected credit losses</w:t>
            </w:r>
          </w:p>
        </w:tc>
        <w:tc>
          <w:tcPr>
            <w:tcW w:w="60" w:type="dxa"/>
            <w:tcBorders/>
            <w:shd w:fill="auto" w:val="clear"/>
            <w:vAlign w:val="center"/>
          </w:tcPr>
          <w:p>
            <w:pPr>
              <w:pStyle w:val="TableContents"/>
              <w:spacing w:before="0" w:after="283"/>
              <w:rPr/>
            </w:pPr>
            <w:r>
              <w:rPr/>
              <w:t> </w:t>
            </w:r>
          </w:p>
        </w:tc>
        <w:tc>
          <w:tcPr>
            <w:tcW w:w="188"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76" w:type="dxa"/>
            <w:tcBorders>
              <w:bottom w:val="single" w:sz="12" w:space="0" w:color="000000"/>
            </w:tcBorders>
            <w:shd w:fill="auto" w:val="clear"/>
            <w:tcMar>
              <w:bottom w:w="28" w:type="dxa"/>
            </w:tcMar>
            <w:vAlign w:val="center"/>
          </w:tcPr>
          <w:p>
            <w:pPr>
              <w:pStyle w:val="TableContents"/>
              <w:spacing w:before="0" w:after="283"/>
              <w:jc w:val="right"/>
              <w:rPr/>
            </w:pPr>
            <w:r>
              <w:rPr/>
              <w:t>48,296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63" w:type="dxa"/>
            <w:tcBorders>
              <w:bottom w:val="single" w:sz="12" w:space="0" w:color="000000"/>
            </w:tcBorders>
            <w:shd w:fill="auto" w:val="clear"/>
            <w:tcMar>
              <w:bottom w:w="28" w:type="dxa"/>
            </w:tcMar>
            <w:vAlign w:val="center"/>
          </w:tcPr>
          <w:p>
            <w:pPr>
              <w:pStyle w:val="TableContents"/>
              <w:spacing w:before="0" w:after="283"/>
              <w:jc w:val="right"/>
              <w:rPr/>
            </w:pPr>
            <w:r>
              <w:rPr/>
              <w:t>3,047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right"/>
              <w:rPr/>
            </w:pPr>
            <w:r>
              <w:rPr/>
              <w:t>51,343</w:t>
            </w:r>
          </w:p>
        </w:tc>
        <w:tc>
          <w:tcPr>
            <w:tcW w:w="75" w:type="dxa"/>
            <w:tcBorders/>
            <w:shd w:fill="auto" w:val="clear"/>
            <w:vAlign w:val="center"/>
          </w:tcPr>
          <w:p>
            <w:pPr>
              <w:pStyle w:val="TableContents"/>
              <w:spacing w:before="0" w:after="283"/>
              <w:jc w:val="left"/>
              <w:rPr/>
            </w:pPr>
            <w:r>
              <w:rPr/>
              <w:t> </w:t>
            </w:r>
          </w:p>
        </w:tc>
      </w:tr>
      <w:tr>
        <w:trPr/>
        <w:tc>
          <w:tcPr>
            <w:tcW w:w="4085" w:type="dxa"/>
            <w:tcBorders/>
            <w:shd w:fill="CCEEFF" w:val="clear"/>
            <w:vAlign w:val="center"/>
          </w:tcPr>
          <w:p>
            <w:pPr>
              <w:pStyle w:val="TableContents"/>
              <w:spacing w:before="0" w:after="283"/>
              <w:rPr>
                <w:b/>
              </w:rPr>
            </w:pPr>
            <w:r>
              <w:rPr>
                <w:b/>
              </w:rPr>
              <w:t>Balance at March 31, 2022</w:t>
            </w:r>
          </w:p>
        </w:tc>
        <w:tc>
          <w:tcPr>
            <w:tcW w:w="60" w:type="dxa"/>
            <w:tcBorders/>
            <w:shd w:fill="CCEEFF" w:val="clear"/>
            <w:vAlign w:val="center"/>
          </w:tcPr>
          <w:p>
            <w:pPr>
              <w:pStyle w:val="TableContents"/>
              <w:spacing w:before="0" w:after="283"/>
              <w:rPr/>
            </w:pPr>
            <w:r>
              <w:rPr/>
              <w:t> </w:t>
            </w:r>
          </w:p>
        </w:tc>
        <w:tc>
          <w:tcPr>
            <w:tcW w:w="188"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076" w:type="dxa"/>
            <w:tcBorders>
              <w:bottom w:val="double" w:sz="10" w:space="0" w:color="000000"/>
            </w:tcBorders>
            <w:shd w:fill="CCEEFF" w:val="clear"/>
            <w:tcMar>
              <w:bottom w:w="28" w:type="dxa"/>
            </w:tcMar>
            <w:vAlign w:val="center"/>
          </w:tcPr>
          <w:p>
            <w:pPr>
              <w:pStyle w:val="TableContents"/>
              <w:spacing w:before="0" w:after="283"/>
              <w:jc w:val="right"/>
              <w:rPr>
                <w:b/>
              </w:rPr>
            </w:pPr>
            <w:r>
              <w:rPr>
                <w:b/>
              </w:rPr>
              <w:t>182,838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6"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863" w:type="dxa"/>
            <w:tcBorders>
              <w:bottom w:val="double" w:sz="10" w:space="0" w:color="000000"/>
            </w:tcBorders>
            <w:shd w:fill="CCEEFF" w:val="clear"/>
            <w:tcMar>
              <w:bottom w:w="28" w:type="dxa"/>
            </w:tcMar>
            <w:vAlign w:val="center"/>
          </w:tcPr>
          <w:p>
            <w:pPr>
              <w:pStyle w:val="TableContents"/>
              <w:spacing w:before="0" w:after="283"/>
              <w:jc w:val="right"/>
              <w:rPr>
                <w:b/>
              </w:rPr>
            </w:pPr>
            <w:r>
              <w:rPr>
                <w:b/>
              </w:rPr>
              <w:t>16,454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spacing w:before="0" w:after="283"/>
              <w:jc w:val="right"/>
              <w:rPr>
                <w:b/>
              </w:rPr>
            </w:pPr>
            <w:r>
              <w:rPr>
                <w:b/>
              </w:rPr>
              <w:t>199,292</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971"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As of March 31, 2023, the CECL Reserve related to outstanding balances on loans at carrying value is recorded within current expected credit loss reserve in the Company’s consolidated balance sheets.</w:t>
            </w:r>
          </w:p>
        </w:tc>
      </w:tr>
    </w:tbl>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2"/>
        <w:gridCol w:w="9973"/>
      </w:tblGrid>
      <w:tr>
        <w:trPr/>
        <w:tc>
          <w:tcPr>
            <w:tcW w:w="232"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As of March 31, 2023, the CECL Reserve related to unfunded commitments on loans at carrying value is recorded within accounts payable and other accrued liabilities in the Company’s consolidated balance sheets.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made an accounting policy election to exclude accrued interest receivable, ($4,159,748 and $1,204,412 as of March 31, 2023 and December 31, 2022, respectively) included in Interest Receivable on its consolidated balance sheet,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INTEREST RECEIVABLE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interest receivable by the Company as of March 31, 2023 and December 31, 2022:</w:t>
      </w:r>
    </w:p>
    <w:p>
      <w:pPr>
        <w:pStyle w:val="TextBody"/>
        <w:spacing w:before="0" w:after="0"/>
        <w:ind w:left="0" w:right="0" w:hanging="0"/>
        <w:rPr>
          <w:caps w:val="false"/>
          <w:smallCaps w:val="false"/>
        </w:rPr>
      </w:pPr>
      <w:r>
        <w:rPr>
          <w:caps w:val="false"/>
          <w:smallCaps w:val="false"/>
        </w:rPr>
        <w:t> </w:t>
      </w:r>
    </w:p>
    <w:tbl>
      <w:tblPr>
        <w:tblW w:w="5255" w:type="dxa"/>
        <w:jc w:val="left"/>
        <w:tblInd w:w="0" w:type="dxa"/>
        <w:tblCellMar>
          <w:top w:w="0" w:type="dxa"/>
          <w:left w:w="0" w:type="dxa"/>
          <w:bottom w:w="0" w:type="dxa"/>
          <w:right w:w="0" w:type="dxa"/>
        </w:tblCellMar>
      </w:tblPr>
      <w:tblGrid>
        <w:gridCol w:w="2465"/>
        <w:gridCol w:w="60"/>
        <w:gridCol w:w="140"/>
        <w:gridCol w:w="980"/>
        <w:gridCol w:w="60"/>
        <w:gridCol w:w="60"/>
        <w:gridCol w:w="176"/>
        <w:gridCol w:w="1239"/>
        <w:gridCol w:w="75"/>
      </w:tblGrid>
      <w:tr>
        <w:trPr/>
        <w:tc>
          <w:tcPr>
            <w:tcW w:w="246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As of</w:t>
              <w:br/>
              <w:t>March 31,</w:t>
              <w:b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As of</w:t>
              <w:br/>
              <w:t>December 31,</w:t>
              <w:br/>
              <w:t>2022</w:t>
            </w:r>
          </w:p>
        </w:tc>
        <w:tc>
          <w:tcPr>
            <w:tcW w:w="75" w:type="dxa"/>
            <w:tcBorders/>
            <w:shd w:fill="auto" w:val="clear"/>
            <w:vAlign w:val="center"/>
          </w:tcPr>
          <w:p>
            <w:pPr>
              <w:pStyle w:val="TableContents"/>
              <w:spacing w:before="0" w:after="283"/>
              <w:rPr/>
            </w:pPr>
            <w:r>
              <w:rPr/>
              <w:t> </w:t>
            </w:r>
          </w:p>
        </w:tc>
      </w:tr>
      <w:tr>
        <w:trPr/>
        <w:tc>
          <w:tcPr>
            <w:tcW w:w="2465" w:type="dxa"/>
            <w:tcBorders/>
            <w:shd w:fill="CCEEFF" w:val="clear"/>
            <w:vAlign w:val="center"/>
          </w:tcPr>
          <w:p>
            <w:pPr>
              <w:pStyle w:val="TableContents"/>
              <w:spacing w:before="0" w:after="283"/>
              <w:jc w:val="left"/>
              <w:rPr/>
            </w:pPr>
            <w:r>
              <w:rPr/>
              <w:t>Interest receivable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4,113,589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jc w:val="left"/>
              <w:rPr/>
            </w:pPr>
            <w:r>
              <w:rPr/>
              <w:t>$</w:t>
            </w:r>
          </w:p>
        </w:tc>
        <w:tc>
          <w:tcPr>
            <w:tcW w:w="1239" w:type="dxa"/>
            <w:tcBorders/>
            <w:shd w:fill="CCEEFF" w:val="clear"/>
            <w:vAlign w:val="center"/>
          </w:tcPr>
          <w:p>
            <w:pPr>
              <w:pStyle w:val="TableContents"/>
              <w:spacing w:before="0" w:after="283"/>
              <w:jc w:val="right"/>
              <w:rPr/>
            </w:pPr>
            <w:r>
              <w:rPr/>
              <w:t>1,203,330</w:t>
            </w:r>
          </w:p>
        </w:tc>
        <w:tc>
          <w:tcPr>
            <w:tcW w:w="75" w:type="dxa"/>
            <w:tcBorders/>
            <w:shd w:fill="CCEEFF" w:val="clear"/>
            <w:vAlign w:val="center"/>
          </w:tcPr>
          <w:p>
            <w:pPr>
              <w:pStyle w:val="TableContents"/>
              <w:spacing w:before="0" w:after="283"/>
              <w:jc w:val="left"/>
              <w:rPr/>
            </w:pPr>
            <w:r>
              <w:rPr/>
              <w:t> </w:t>
            </w:r>
          </w:p>
        </w:tc>
      </w:tr>
      <w:tr>
        <w:trPr/>
        <w:tc>
          <w:tcPr>
            <w:tcW w:w="2465" w:type="dxa"/>
            <w:tcBorders/>
            <w:shd w:fill="auto" w:val="clear"/>
            <w:vAlign w:val="center"/>
          </w:tcPr>
          <w:p>
            <w:pPr>
              <w:pStyle w:val="TableContents"/>
              <w:spacing w:before="0" w:after="283"/>
              <w:jc w:val="left"/>
              <w:rPr/>
            </w:pPr>
            <w:r>
              <w:rPr/>
              <w:t>PIK interest receivable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980" w:type="dxa"/>
            <w:tcBorders/>
            <w:shd w:fill="auto" w:val="clear"/>
            <w:vAlign w:val="center"/>
          </w:tcPr>
          <w:p>
            <w:pPr>
              <w:pStyle w:val="TableContents"/>
              <w:spacing w:before="0" w:after="283"/>
              <w:jc w:val="right"/>
              <w:rPr/>
            </w:pPr>
            <w:r>
              <w:rPr/>
              <w:t>33,548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jc w:val="left"/>
              <w:rPr/>
            </w:pPr>
            <w:r>
              <w:rPr/>
              <w:t> </w:t>
            </w:r>
          </w:p>
        </w:tc>
        <w:tc>
          <w:tcPr>
            <w:tcW w:w="1239" w:type="dxa"/>
            <w:tcBorders/>
            <w:shd w:fill="auto" w:val="clear"/>
            <w:vAlign w:val="center"/>
          </w:tcPr>
          <w:p>
            <w:pPr>
              <w:pStyle w:val="TableContents"/>
              <w:spacing w:before="0" w:after="283"/>
              <w:jc w:val="right"/>
              <w:rPr/>
            </w:pPr>
            <w:r>
              <w:rPr/>
              <w:t>1,082</w:t>
            </w:r>
          </w:p>
        </w:tc>
        <w:tc>
          <w:tcPr>
            <w:tcW w:w="75" w:type="dxa"/>
            <w:tcBorders/>
            <w:shd w:fill="auto" w:val="clear"/>
            <w:vAlign w:val="center"/>
          </w:tcPr>
          <w:p>
            <w:pPr>
              <w:pStyle w:val="TableContents"/>
              <w:spacing w:before="0" w:after="283"/>
              <w:jc w:val="left"/>
              <w:rPr/>
            </w:pPr>
            <w:r>
              <w:rPr/>
              <w:t> </w:t>
            </w:r>
          </w:p>
        </w:tc>
      </w:tr>
      <w:tr>
        <w:trPr/>
        <w:tc>
          <w:tcPr>
            <w:tcW w:w="2465" w:type="dxa"/>
            <w:tcBorders/>
            <w:shd w:fill="CCEEFF" w:val="clear"/>
            <w:vAlign w:val="center"/>
          </w:tcPr>
          <w:p>
            <w:pPr>
              <w:pStyle w:val="TableContents"/>
              <w:spacing w:before="0" w:after="283"/>
              <w:jc w:val="left"/>
              <w:rPr/>
            </w:pPr>
            <w:r>
              <w:rPr/>
              <w:t>Unused fees receivable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12,611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2465" w:type="dxa"/>
            <w:tcBorders/>
            <w:shd w:fill="auto" w:val="clear"/>
            <w:vAlign w:val="center"/>
          </w:tcPr>
          <w:p>
            <w:pPr>
              <w:pStyle w:val="TableContents"/>
              <w:spacing w:before="0" w:after="283"/>
              <w:jc w:val="left"/>
              <w:rPr>
                <w:b/>
              </w:rPr>
            </w:pPr>
            <w:r>
              <w:rPr>
                <w:b/>
              </w:rPr>
              <w:t>Total interest receivable</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980" w:type="dxa"/>
            <w:tcBorders>
              <w:bottom w:val="double" w:sz="10" w:space="0" w:color="000000"/>
            </w:tcBorders>
            <w:shd w:fill="auto" w:val="clear"/>
            <w:tcMar>
              <w:bottom w:w="28" w:type="dxa"/>
            </w:tcMar>
            <w:vAlign w:val="center"/>
          </w:tcPr>
          <w:p>
            <w:pPr>
              <w:pStyle w:val="TableContents"/>
              <w:spacing w:before="0" w:after="283"/>
              <w:jc w:val="right"/>
              <w:rPr>
                <w:b/>
              </w:rPr>
            </w:pPr>
            <w:r>
              <w:rPr>
                <w:b/>
              </w:rPr>
              <w:t>4,159,748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76"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39" w:type="dxa"/>
            <w:tcBorders>
              <w:bottom w:val="double" w:sz="10" w:space="0" w:color="000000"/>
            </w:tcBorders>
            <w:shd w:fill="auto" w:val="clear"/>
            <w:tcMar>
              <w:bottom w:w="28" w:type="dxa"/>
            </w:tcMar>
            <w:vAlign w:val="center"/>
          </w:tcPr>
          <w:p>
            <w:pPr>
              <w:pStyle w:val="TableContents"/>
              <w:spacing w:before="0" w:after="283"/>
              <w:jc w:val="right"/>
              <w:rPr>
                <w:b/>
              </w:rPr>
            </w:pPr>
            <w:r>
              <w:rPr>
                <w:b/>
              </w:rPr>
              <w:t>1,204,412</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aging analyses of past due loans by class as of March 31, 2023 and December 31, 2022, respectively:</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96"/>
        <w:gridCol w:w="60"/>
        <w:gridCol w:w="154"/>
        <w:gridCol w:w="1083"/>
        <w:gridCol w:w="60"/>
        <w:gridCol w:w="60"/>
        <w:gridCol w:w="156"/>
        <w:gridCol w:w="892"/>
        <w:gridCol w:w="60"/>
        <w:gridCol w:w="60"/>
        <w:gridCol w:w="145"/>
        <w:gridCol w:w="1032"/>
        <w:gridCol w:w="60"/>
        <w:gridCol w:w="60"/>
        <w:gridCol w:w="288"/>
        <w:gridCol w:w="817"/>
        <w:gridCol w:w="60"/>
        <w:gridCol w:w="60"/>
        <w:gridCol w:w="209"/>
        <w:gridCol w:w="1131"/>
        <w:gridCol w:w="60"/>
        <w:gridCol w:w="60"/>
        <w:gridCol w:w="145"/>
        <w:gridCol w:w="832"/>
        <w:gridCol w:w="60"/>
        <w:gridCol w:w="60"/>
        <w:gridCol w:w="145"/>
        <w:gridCol w:w="1017"/>
        <w:gridCol w:w="83"/>
      </w:tblGrid>
      <w:tr>
        <w:trPr/>
        <w:tc>
          <w:tcPr>
            <w:tcW w:w="1296" w:type="dxa"/>
            <w:tcBorders/>
            <w:shd w:fill="auto" w:val="clear"/>
            <w:vAlign w:val="center"/>
          </w:tcPr>
          <w:p>
            <w:pPr>
              <w:pStyle w:val="TableContents"/>
              <w:spacing w:before="0" w:after="283"/>
              <w:ind w:left="0" w:right="0" w:hanging="180"/>
              <w:rPr/>
            </w:pPr>
            <w:r>
              <w:rPr/>
              <w:t> </w:t>
            </w:r>
          </w:p>
        </w:tc>
        <w:tc>
          <w:tcPr>
            <w:tcW w:w="60" w:type="dxa"/>
            <w:tcBorders/>
            <w:shd w:fill="auto" w:val="clear"/>
            <w:vAlign w:val="center"/>
          </w:tcPr>
          <w:p>
            <w:pPr>
              <w:pStyle w:val="TableContents"/>
              <w:spacing w:before="0" w:after="283"/>
              <w:rPr/>
            </w:pPr>
            <w:r>
              <w:rPr/>
              <w:t> </w:t>
            </w:r>
          </w:p>
        </w:tc>
        <w:tc>
          <w:tcPr>
            <w:tcW w:w="8766" w:type="dxa"/>
            <w:gridSpan w:val="26"/>
            <w:tcBorders>
              <w:bottom w:val="single" w:sz="12" w:space="0" w:color="000000"/>
            </w:tcBorders>
            <w:shd w:fill="auto" w:val="clear"/>
            <w:tcMar>
              <w:bottom w:w="28" w:type="dxa"/>
            </w:tcMar>
            <w:vAlign w:val="center"/>
          </w:tcPr>
          <w:p>
            <w:pPr>
              <w:pStyle w:val="TableContents"/>
              <w:spacing w:before="0" w:after="283"/>
              <w:jc w:val="center"/>
              <w:rPr>
                <w:b/>
              </w:rPr>
            </w:pPr>
            <w:r>
              <w:rPr>
                <w:b/>
              </w:rPr>
              <w:t>As of March 31, 2023</w:t>
            </w:r>
          </w:p>
        </w:tc>
        <w:tc>
          <w:tcPr>
            <w:tcW w:w="83" w:type="dxa"/>
            <w:tcBorders/>
            <w:shd w:fill="auto" w:val="clear"/>
            <w:vAlign w:val="center"/>
          </w:tcPr>
          <w:p>
            <w:pPr>
              <w:pStyle w:val="TableContents"/>
              <w:spacing w:before="0" w:after="283"/>
              <w:ind w:left="0" w:right="0" w:hanging="180"/>
              <w:rPr/>
            </w:pPr>
            <w:r>
              <w:rPr/>
              <w:t> </w:t>
            </w:r>
          </w:p>
        </w:tc>
      </w:tr>
      <w:tr>
        <w:trPr/>
        <w:tc>
          <w:tcPr>
            <w:tcW w:w="1296"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3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Current Loans</w:t>
            </w:r>
            <w:r>
              <w:rPr>
                <w:rFonts w:ascii="Times New Roman;Times;Serif" w:hAnsi="Times New Roman;Times;Serif"/>
                <w:b/>
                <w:position w:val="7"/>
                <w:sz w:val="16"/>
                <w:sz w:val="20"/>
              </w:rPr>
              <w:t>(1)</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4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31 - 60 Days</w:t>
              <w:br/>
              <w:t>Past Due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7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61 - 90 Days</w:t>
              <w:br/>
              <w:t>Past Due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0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90+ Days</w:t>
              <w:br/>
              <w:t>Past Due</w:t>
              <w:br/>
              <w:t>(and accruing)</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Non-Accrual</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7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 Past</w:t>
              <w:br/>
              <w:t>Due</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62"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 Loans</w:t>
            </w:r>
          </w:p>
        </w:tc>
        <w:tc>
          <w:tcPr>
            <w:tcW w:w="83" w:type="dxa"/>
            <w:tcBorders/>
            <w:shd w:fill="auto" w:val="clear"/>
            <w:vAlign w:val="center"/>
          </w:tcPr>
          <w:p>
            <w:pPr>
              <w:pStyle w:val="TableContents"/>
              <w:spacing w:before="0" w:after="283"/>
              <w:ind w:left="0" w:right="0" w:hanging="180"/>
              <w:jc w:val="center"/>
              <w:rPr/>
            </w:pPr>
            <w:r>
              <w:rPr/>
              <w:t> </w:t>
            </w:r>
          </w:p>
        </w:tc>
      </w:tr>
      <w:tr>
        <w:trPr/>
        <w:tc>
          <w:tcPr>
            <w:tcW w:w="1296" w:type="dxa"/>
            <w:tcBorders/>
            <w:shd w:fill="CCEEFF" w:val="clear"/>
            <w:vAlign w:val="center"/>
          </w:tcPr>
          <w:p>
            <w:pPr>
              <w:pStyle w:val="TableContents"/>
              <w:spacing w:before="0" w:after="283"/>
              <w:jc w:val="left"/>
              <w:rPr/>
            </w:pPr>
            <w:r>
              <w:rPr/>
              <w:t>Interest receivable</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w:t>
            </w:r>
          </w:p>
        </w:tc>
        <w:tc>
          <w:tcPr>
            <w:tcW w:w="1083" w:type="dxa"/>
            <w:tcBorders/>
            <w:shd w:fill="CCEEFF" w:val="clear"/>
            <w:vAlign w:val="center"/>
          </w:tcPr>
          <w:p>
            <w:pPr>
              <w:pStyle w:val="TableContents"/>
              <w:spacing w:before="0" w:after="283"/>
              <w:jc w:val="right"/>
              <w:rPr/>
            </w:pPr>
            <w:r>
              <w:rPr/>
              <w:t>3,754,242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jc w:val="left"/>
              <w:rPr/>
            </w:pPr>
            <w:r>
              <w:rPr/>
              <w:t>$</w:t>
            </w:r>
          </w:p>
        </w:tc>
        <w:tc>
          <w:tcPr>
            <w:tcW w:w="892" w:type="dxa"/>
            <w:tcBorders/>
            <w:shd w:fill="CCEEFF" w:val="clear"/>
            <w:vAlign w:val="center"/>
          </w:tcPr>
          <w:p>
            <w:pPr>
              <w:pStyle w:val="TableContents"/>
              <w:spacing w:before="0" w:after="283"/>
              <w:jc w:val="right"/>
              <w:rPr/>
            </w:pPr>
            <w:r>
              <w:rPr/>
              <w:t>405,506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w:t>
            </w:r>
          </w:p>
        </w:tc>
        <w:tc>
          <w:tcPr>
            <w:tcW w:w="1032" w:type="dxa"/>
            <w:tcBorders/>
            <w:shd w:fill="CCEEFF" w:val="clear"/>
            <w:vAlign w:val="center"/>
          </w:tcPr>
          <w:p>
            <w:pPr>
              <w:pStyle w:val="TableContents"/>
              <w:spacing w:before="0" w:after="0"/>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8" w:type="dxa"/>
            <w:tcBorders/>
            <w:shd w:fill="CCEEFF" w:val="clear"/>
            <w:vAlign w:val="center"/>
          </w:tcPr>
          <w:p>
            <w:pPr>
              <w:pStyle w:val="TableContents"/>
              <w:spacing w:before="0" w:after="283"/>
              <w:jc w:val="left"/>
              <w:rPr/>
            </w:pPr>
            <w:r>
              <w:rPr/>
              <w:t>$</w:t>
            </w:r>
          </w:p>
        </w:tc>
        <w:tc>
          <w:tcPr>
            <w:tcW w:w="817" w:type="dxa"/>
            <w:tcBorders/>
            <w:shd w:fill="CCEEFF" w:val="clear"/>
            <w:vAlign w:val="center"/>
          </w:tcPr>
          <w:p>
            <w:pPr>
              <w:pStyle w:val="TableContents"/>
              <w:spacing w:before="0" w:after="0"/>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shd w:fill="CCEEFF" w:val="clear"/>
            <w:vAlign w:val="center"/>
          </w:tcPr>
          <w:p>
            <w:pPr>
              <w:pStyle w:val="TableContents"/>
              <w:spacing w:before="0" w:after="283"/>
              <w:jc w:val="left"/>
              <w:rPr/>
            </w:pPr>
            <w:r>
              <w:rPr/>
              <w:t>$</w:t>
            </w:r>
          </w:p>
        </w:tc>
        <w:tc>
          <w:tcPr>
            <w:tcW w:w="1131" w:type="dxa"/>
            <w:tcBorders/>
            <w:shd w:fill="CCEEFF" w:val="clear"/>
            <w:vAlign w:val="center"/>
          </w:tcPr>
          <w:p>
            <w:pPr>
              <w:pStyle w:val="TableContents"/>
              <w:spacing w:before="0" w:after="0"/>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w:t>
            </w:r>
          </w:p>
        </w:tc>
        <w:tc>
          <w:tcPr>
            <w:tcW w:w="832" w:type="dxa"/>
            <w:tcBorders/>
            <w:shd w:fill="CCEEFF" w:val="clear"/>
            <w:vAlign w:val="center"/>
          </w:tcPr>
          <w:p>
            <w:pPr>
              <w:pStyle w:val="TableContents"/>
              <w:spacing w:before="0" w:after="283"/>
              <w:jc w:val="right"/>
              <w:rPr/>
            </w:pPr>
            <w:r>
              <w:rPr/>
              <w:t>405,506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jc w:val="left"/>
              <w:rPr/>
            </w:pPr>
            <w:r>
              <w:rPr/>
              <w:t>$</w:t>
            </w:r>
          </w:p>
        </w:tc>
        <w:tc>
          <w:tcPr>
            <w:tcW w:w="1017" w:type="dxa"/>
            <w:tcBorders/>
            <w:shd w:fill="CCEEFF" w:val="clear"/>
            <w:vAlign w:val="center"/>
          </w:tcPr>
          <w:p>
            <w:pPr>
              <w:pStyle w:val="TableContents"/>
              <w:spacing w:before="0" w:after="283"/>
              <w:jc w:val="right"/>
              <w:rPr/>
            </w:pPr>
            <w:r>
              <w:rPr/>
              <w:t>4,159,748</w:t>
            </w:r>
          </w:p>
        </w:tc>
        <w:tc>
          <w:tcPr>
            <w:tcW w:w="83" w:type="dxa"/>
            <w:tcBorders/>
            <w:shd w:fill="CCEEFF" w:val="clear"/>
            <w:vAlign w:val="center"/>
          </w:tcPr>
          <w:p>
            <w:pPr>
              <w:pStyle w:val="TableContents"/>
              <w:spacing w:before="0" w:after="283"/>
              <w:ind w:left="0" w:right="0" w:hanging="180"/>
              <w:jc w:val="left"/>
              <w:rPr/>
            </w:pPr>
            <w:r>
              <w:rPr/>
              <w:t> </w:t>
            </w:r>
          </w:p>
        </w:tc>
      </w:tr>
      <w:tr>
        <w:trPr/>
        <w:tc>
          <w:tcPr>
            <w:tcW w:w="1296" w:type="dxa"/>
            <w:tcBorders/>
            <w:shd w:fill="auto" w:val="clear"/>
            <w:vAlign w:val="center"/>
          </w:tcPr>
          <w:p>
            <w:pPr>
              <w:pStyle w:val="TableContents"/>
              <w:spacing w:before="0" w:after="283"/>
              <w:jc w:val="left"/>
              <w:rPr/>
            </w:pPr>
            <w:r>
              <w:rPr/>
              <w:t>Principal receivable</w:t>
            </w:r>
          </w:p>
        </w:tc>
        <w:tc>
          <w:tcPr>
            <w:tcW w:w="60" w:type="dxa"/>
            <w:tcBorders/>
            <w:shd w:fill="auto" w:val="clear"/>
            <w:vAlign w:val="center"/>
          </w:tcPr>
          <w:p>
            <w:pPr>
              <w:pStyle w:val="TableContents"/>
              <w:spacing w:before="0" w:after="283"/>
              <w:rPr/>
            </w:pPr>
            <w:r>
              <w:rPr/>
              <w:t> </w:t>
            </w:r>
          </w:p>
        </w:tc>
        <w:tc>
          <w:tcPr>
            <w:tcW w:w="154"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083" w:type="dxa"/>
            <w:tcBorders>
              <w:bottom w:val="double" w:sz="10" w:space="0" w:color="000000"/>
            </w:tcBorders>
            <w:shd w:fill="auto" w:val="clear"/>
            <w:tcMar>
              <w:bottom w:w="28" w:type="dxa"/>
            </w:tcMar>
            <w:vAlign w:val="center"/>
          </w:tcPr>
          <w:p>
            <w:pPr>
              <w:pStyle w:val="TableContents"/>
              <w:spacing w:before="0" w:after="283"/>
              <w:jc w:val="right"/>
              <w:rPr/>
            </w:pPr>
            <w:r>
              <w:rPr/>
              <w:t>407,734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6"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892" w:type="dxa"/>
            <w:tcBorders>
              <w:bottom w:val="double" w:sz="10" w:space="0" w:color="000000"/>
            </w:tcBorders>
            <w:shd w:fill="auto" w:val="clear"/>
            <w:tcMar>
              <w:bottom w:w="28" w:type="dxa"/>
            </w:tcMar>
            <w:vAlign w:val="center"/>
          </w:tcPr>
          <w:p>
            <w:pPr>
              <w:pStyle w:val="TableContents"/>
              <w:spacing w:before="0" w:after="283"/>
              <w:jc w:val="right"/>
              <w:rPr/>
            </w:pPr>
            <w:r>
              <w:rPr/>
              <w:t>516,000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032"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88"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817"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09"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31" w:type="dxa"/>
            <w:tcBorders>
              <w:bottom w:val="double" w:sz="10"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832" w:type="dxa"/>
            <w:tcBorders>
              <w:bottom w:val="double" w:sz="10" w:space="0" w:color="000000"/>
            </w:tcBorders>
            <w:shd w:fill="auto" w:val="clear"/>
            <w:tcMar>
              <w:bottom w:w="28" w:type="dxa"/>
            </w:tcMar>
            <w:vAlign w:val="center"/>
          </w:tcPr>
          <w:p>
            <w:pPr>
              <w:pStyle w:val="TableContents"/>
              <w:spacing w:before="0" w:after="283"/>
              <w:jc w:val="right"/>
              <w:rPr/>
            </w:pPr>
            <w:r>
              <w:rPr/>
              <w:t>516,000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5"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017" w:type="dxa"/>
            <w:tcBorders>
              <w:bottom w:val="double" w:sz="10" w:space="0" w:color="000000"/>
            </w:tcBorders>
            <w:shd w:fill="auto" w:val="clear"/>
            <w:tcMar>
              <w:bottom w:w="28" w:type="dxa"/>
            </w:tcMar>
            <w:vAlign w:val="center"/>
          </w:tcPr>
          <w:p>
            <w:pPr>
              <w:pStyle w:val="TableContents"/>
              <w:spacing w:before="0" w:after="283"/>
              <w:jc w:val="right"/>
              <w:rPr/>
            </w:pPr>
            <w:r>
              <w:rPr/>
              <w:t>923,734</w:t>
            </w:r>
          </w:p>
        </w:tc>
        <w:tc>
          <w:tcPr>
            <w:tcW w:w="83" w:type="dxa"/>
            <w:tcBorders/>
            <w:shd w:fill="auto" w:val="clear"/>
            <w:vAlign w:val="center"/>
          </w:tcPr>
          <w:p>
            <w:pPr>
              <w:pStyle w:val="TableContents"/>
              <w:spacing w:before="0" w:after="283"/>
              <w:ind w:left="0" w:right="0" w:hanging="180"/>
              <w:jc w:val="left"/>
              <w:rPr/>
            </w:pPr>
            <w:r>
              <w:rPr/>
              <w:t> </w:t>
            </w:r>
          </w:p>
        </w:tc>
      </w:tr>
      <w:tr>
        <w:trPr/>
        <w:tc>
          <w:tcPr>
            <w:tcW w:w="1296" w:type="dxa"/>
            <w:tcBorders/>
            <w:shd w:fill="CCEEFF" w:val="clear"/>
            <w:vAlign w:val="center"/>
          </w:tcPr>
          <w:p>
            <w:pPr>
              <w:pStyle w:val="TableContents"/>
              <w:spacing w:before="0" w:after="283"/>
              <w:rPr>
                <w:b/>
              </w:rPr>
            </w:pPr>
            <w:r>
              <w:rPr>
                <w:b/>
              </w:rPr>
              <w:t>Total</w:t>
            </w:r>
          </w:p>
        </w:tc>
        <w:tc>
          <w:tcPr>
            <w:tcW w:w="60" w:type="dxa"/>
            <w:tcBorders/>
            <w:shd w:fill="CCEEFF" w:val="clear"/>
            <w:vAlign w:val="center"/>
          </w:tcPr>
          <w:p>
            <w:pPr>
              <w:pStyle w:val="TableContents"/>
              <w:spacing w:before="0" w:after="283"/>
              <w:rPr/>
            </w:pPr>
            <w:r>
              <w:rPr/>
              <w:t> </w:t>
            </w:r>
          </w:p>
        </w:tc>
        <w:tc>
          <w:tcPr>
            <w:tcW w:w="154"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083" w:type="dxa"/>
            <w:tcBorders>
              <w:bottom w:val="double" w:sz="10" w:space="0" w:color="000000"/>
            </w:tcBorders>
            <w:shd w:fill="CCEEFF" w:val="clear"/>
            <w:tcMar>
              <w:bottom w:w="28" w:type="dxa"/>
            </w:tcMar>
            <w:vAlign w:val="center"/>
          </w:tcPr>
          <w:p>
            <w:pPr>
              <w:pStyle w:val="TableContents"/>
              <w:spacing w:before="0" w:after="283"/>
              <w:jc w:val="right"/>
              <w:rPr>
                <w:b/>
              </w:rPr>
            </w:pPr>
            <w:r>
              <w:rPr>
                <w:b/>
              </w:rPr>
              <w:t>4,161,976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6"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892" w:type="dxa"/>
            <w:tcBorders>
              <w:bottom w:val="double" w:sz="10" w:space="0" w:color="000000"/>
            </w:tcBorders>
            <w:shd w:fill="CCEEFF" w:val="clear"/>
            <w:tcMar>
              <w:bottom w:w="28" w:type="dxa"/>
            </w:tcMar>
            <w:vAlign w:val="center"/>
          </w:tcPr>
          <w:p>
            <w:pPr>
              <w:pStyle w:val="TableContents"/>
              <w:spacing w:before="0" w:after="283"/>
              <w:jc w:val="right"/>
              <w:rPr>
                <w:b/>
              </w:rPr>
            </w:pPr>
            <w:r>
              <w:rPr>
                <w:b/>
              </w:rPr>
              <w:t>921,506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032" w:type="dxa"/>
            <w:tcBorders>
              <w:bottom w:val="double" w:sz="10" w:space="0" w:color="000000"/>
            </w:tcBorders>
            <w:shd w:fill="CCEEFF" w:val="clear"/>
            <w:tcMar>
              <w:bottom w:w="28" w:type="dxa"/>
            </w:tcMar>
            <w:vAlign w:val="center"/>
          </w:tcPr>
          <w:p>
            <w:pPr>
              <w:pStyle w:val="TableContents"/>
              <w:spacing w:before="0" w:after="0"/>
              <w:jc w:val="right"/>
              <w:rPr>
                <w:b/>
              </w:rPr>
            </w:pPr>
            <w:r>
              <w:rPr>
                <w:b/>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88"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817" w:type="dxa"/>
            <w:tcBorders>
              <w:bottom w:val="double" w:sz="10" w:space="0" w:color="000000"/>
            </w:tcBorders>
            <w:shd w:fill="CCEEFF" w:val="clear"/>
            <w:tcMar>
              <w:bottom w:w="28" w:type="dxa"/>
            </w:tcMar>
            <w:vAlign w:val="center"/>
          </w:tcPr>
          <w:p>
            <w:pPr>
              <w:pStyle w:val="TableContents"/>
              <w:spacing w:before="0" w:after="0"/>
              <w:jc w:val="right"/>
              <w:rPr>
                <w:b/>
              </w:rPr>
            </w:pPr>
            <w:r>
              <w:rPr>
                <w:b/>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9"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131" w:type="dxa"/>
            <w:tcBorders>
              <w:bottom w:val="double" w:sz="10" w:space="0" w:color="000000"/>
            </w:tcBorders>
            <w:shd w:fill="CCEEFF" w:val="clear"/>
            <w:tcMar>
              <w:bottom w:w="28" w:type="dxa"/>
            </w:tcMar>
            <w:vAlign w:val="center"/>
          </w:tcPr>
          <w:p>
            <w:pPr>
              <w:pStyle w:val="TableContents"/>
              <w:spacing w:before="0" w:after="0"/>
              <w:jc w:val="right"/>
              <w:rPr>
                <w:b/>
              </w:rPr>
            </w:pPr>
            <w:r>
              <w:rPr>
                <w:b/>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832" w:type="dxa"/>
            <w:tcBorders>
              <w:bottom w:val="double" w:sz="10" w:space="0" w:color="000000"/>
            </w:tcBorders>
            <w:shd w:fill="CCEEFF" w:val="clear"/>
            <w:tcMar>
              <w:bottom w:w="28" w:type="dxa"/>
            </w:tcMar>
            <w:vAlign w:val="center"/>
          </w:tcPr>
          <w:p>
            <w:pPr>
              <w:pStyle w:val="TableContents"/>
              <w:spacing w:before="0" w:after="283"/>
              <w:jc w:val="right"/>
              <w:rPr>
                <w:b/>
              </w:rPr>
            </w:pPr>
            <w:r>
              <w:rPr>
                <w:b/>
              </w:rPr>
              <w:t>921,506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5"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017" w:type="dxa"/>
            <w:tcBorders>
              <w:bottom w:val="double" w:sz="10" w:space="0" w:color="000000"/>
            </w:tcBorders>
            <w:shd w:fill="CCEEFF" w:val="clear"/>
            <w:tcMar>
              <w:bottom w:w="28" w:type="dxa"/>
            </w:tcMar>
            <w:vAlign w:val="center"/>
          </w:tcPr>
          <w:p>
            <w:pPr>
              <w:pStyle w:val="TableContents"/>
              <w:spacing w:before="0" w:after="283"/>
              <w:jc w:val="right"/>
              <w:rPr>
                <w:b/>
              </w:rPr>
            </w:pPr>
            <w:r>
              <w:rPr>
                <w:b/>
              </w:rPr>
              <w:t>5,083,482</w:t>
            </w:r>
          </w:p>
        </w:tc>
        <w:tc>
          <w:tcPr>
            <w:tcW w:w="83"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365"/>
        <w:gridCol w:w="60"/>
        <w:gridCol w:w="140"/>
        <w:gridCol w:w="980"/>
        <w:gridCol w:w="60"/>
        <w:gridCol w:w="60"/>
        <w:gridCol w:w="201"/>
        <w:gridCol w:w="807"/>
        <w:gridCol w:w="60"/>
        <w:gridCol w:w="60"/>
        <w:gridCol w:w="160"/>
        <w:gridCol w:w="1006"/>
        <w:gridCol w:w="60"/>
        <w:gridCol w:w="60"/>
        <w:gridCol w:w="157"/>
        <w:gridCol w:w="1189"/>
        <w:gridCol w:w="60"/>
        <w:gridCol w:w="60"/>
        <w:gridCol w:w="156"/>
        <w:gridCol w:w="1184"/>
        <w:gridCol w:w="60"/>
        <w:gridCol w:w="60"/>
        <w:gridCol w:w="163"/>
        <w:gridCol w:w="652"/>
        <w:gridCol w:w="60"/>
        <w:gridCol w:w="60"/>
        <w:gridCol w:w="147"/>
        <w:gridCol w:w="1035"/>
        <w:gridCol w:w="83"/>
      </w:tblGrid>
      <w:tr>
        <w:trPr/>
        <w:tc>
          <w:tcPr>
            <w:tcW w:w="136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8697" w:type="dxa"/>
            <w:gridSpan w:val="26"/>
            <w:tcBorders>
              <w:bottom w:val="single" w:sz="12" w:space="0" w:color="000000"/>
            </w:tcBorders>
            <w:shd w:fill="auto" w:val="clear"/>
            <w:tcMar>
              <w:bottom w:w="28" w:type="dxa"/>
            </w:tcMar>
            <w:vAlign w:val="center"/>
          </w:tcPr>
          <w:p>
            <w:pPr>
              <w:pStyle w:val="TableContents"/>
              <w:spacing w:before="0" w:after="283"/>
              <w:jc w:val="center"/>
              <w:rPr>
                <w:b/>
              </w:rPr>
            </w:pPr>
            <w:r>
              <w:rPr>
                <w:b/>
              </w:rPr>
              <w:t>As of December 31, 2022</w:t>
            </w:r>
          </w:p>
        </w:tc>
        <w:tc>
          <w:tcPr>
            <w:tcW w:w="83" w:type="dxa"/>
            <w:tcBorders/>
            <w:shd w:fill="auto" w:val="clear"/>
            <w:vAlign w:val="center"/>
          </w:tcPr>
          <w:p>
            <w:pPr>
              <w:pStyle w:val="TableContents"/>
              <w:spacing w:before="0" w:after="283"/>
              <w:rPr/>
            </w:pPr>
            <w:r>
              <w:rPr/>
              <w:t> </w:t>
            </w:r>
          </w:p>
        </w:tc>
      </w:tr>
      <w:tr>
        <w:trPr/>
        <w:tc>
          <w:tcPr>
            <w:tcW w:w="136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Current</w:t>
              <w:br/>
              <w:t>Loans</w:t>
            </w:r>
            <w:r>
              <w:rPr>
                <w:b/>
                <w:position w:val="8"/>
                <w:sz w:val="19"/>
              </w:rPr>
              <w:t>(1)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08"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31 - 60 Days </w:t>
              <w:br/>
              <w:t>Past Due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61 - 90 Days </w:t>
              <w:br/>
              <w:t>Past Due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90+ Days</w:t>
              <w:br/>
              <w:t>Past Due</w:t>
              <w:br/>
              <w:t>(and accruing)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Non-Accrual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Total </w:t>
              <w:br/>
              <w:t>Past Due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2"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 Loans</w:t>
            </w:r>
          </w:p>
        </w:tc>
        <w:tc>
          <w:tcPr>
            <w:tcW w:w="83" w:type="dxa"/>
            <w:tcBorders/>
            <w:shd w:fill="auto" w:val="clear"/>
            <w:vAlign w:val="center"/>
          </w:tcPr>
          <w:p>
            <w:pPr>
              <w:pStyle w:val="TableContents"/>
              <w:spacing w:before="0" w:after="283"/>
              <w:rPr/>
            </w:pPr>
            <w:r>
              <w:rPr/>
              <w:t> </w:t>
            </w:r>
          </w:p>
        </w:tc>
      </w:tr>
      <w:tr>
        <w:trPr/>
        <w:tc>
          <w:tcPr>
            <w:tcW w:w="1365" w:type="dxa"/>
            <w:tcBorders/>
            <w:shd w:fill="CCEEFF" w:val="clear"/>
            <w:vAlign w:val="center"/>
          </w:tcPr>
          <w:p>
            <w:pPr>
              <w:pStyle w:val="TableContents"/>
              <w:spacing w:before="0" w:after="283"/>
              <w:jc w:val="left"/>
              <w:rPr/>
            </w:pPr>
            <w:r>
              <w:rPr/>
              <w:t>Interest receivable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single" w:sz="12" w:space="0" w:color="000000"/>
            </w:tcBorders>
            <w:shd w:fill="CCEEFF" w:val="clear"/>
            <w:tcMar>
              <w:bottom w:w="28" w:type="dxa"/>
            </w:tcMar>
            <w:vAlign w:val="center"/>
          </w:tcPr>
          <w:p>
            <w:pPr>
              <w:pStyle w:val="TableContents"/>
              <w:spacing w:before="0" w:after="283"/>
              <w:jc w:val="right"/>
              <w:rPr/>
            </w:pPr>
            <w:r>
              <w:rPr/>
              <w:t>1,203,088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1"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807" w:type="dxa"/>
            <w:tcBorders>
              <w:bottom w:val="single" w:sz="12" w:space="0" w:color="000000"/>
            </w:tcBorders>
            <w:shd w:fill="CCEEFF" w:val="clear"/>
            <w:tcMar>
              <w:bottom w:w="28" w:type="dxa"/>
            </w:tcMar>
            <w:vAlign w:val="center"/>
          </w:tcPr>
          <w:p>
            <w:pPr>
              <w:pStyle w:val="TableContents"/>
              <w:spacing w:before="0" w:after="283"/>
              <w:jc w:val="right"/>
              <w:rPr/>
            </w:pPr>
            <w:r>
              <w:rPr/>
              <w:t>1,324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006" w:type="dxa"/>
            <w:tcBorders>
              <w:bottom w:val="single" w:sz="12" w:space="0" w:color="000000"/>
            </w:tcBorders>
            <w:shd w:fill="CCEEFF" w:val="clear"/>
            <w:tcMar>
              <w:bottom w:w="28" w:type="dxa"/>
            </w:tcMar>
            <w:vAlign w:val="center"/>
          </w:tcPr>
          <w:p>
            <w:pPr>
              <w:pStyle w:val="TableContents"/>
              <w:spacing w:before="0" w:after="0"/>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7"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89" w:type="dxa"/>
            <w:tcBorders>
              <w:bottom w:val="single" w:sz="12" w:space="0" w:color="000000"/>
            </w:tcBorders>
            <w:shd w:fill="CCEEFF" w:val="clear"/>
            <w:tcMar>
              <w:bottom w:w="28" w:type="dxa"/>
            </w:tcMar>
            <w:vAlign w:val="center"/>
          </w:tcPr>
          <w:p>
            <w:pPr>
              <w:pStyle w:val="TableContents"/>
              <w:spacing w:before="0" w:after="0"/>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84" w:type="dxa"/>
            <w:tcBorders>
              <w:bottom w:val="single" w:sz="12" w:space="0" w:color="000000"/>
            </w:tcBorders>
            <w:shd w:fill="CCEEFF" w:val="clear"/>
            <w:tcMar>
              <w:bottom w:w="28" w:type="dxa"/>
            </w:tcMar>
            <w:vAlign w:val="center"/>
          </w:tcPr>
          <w:p>
            <w:pPr>
              <w:pStyle w:val="TableContents"/>
              <w:spacing w:before="0" w:after="0"/>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3"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652" w:type="dxa"/>
            <w:tcBorders>
              <w:bottom w:val="single" w:sz="12" w:space="0" w:color="000000"/>
            </w:tcBorders>
            <w:shd w:fill="CCEEFF" w:val="clear"/>
            <w:tcMar>
              <w:bottom w:w="28" w:type="dxa"/>
            </w:tcMar>
            <w:vAlign w:val="center"/>
          </w:tcPr>
          <w:p>
            <w:pPr>
              <w:pStyle w:val="TableContents"/>
              <w:spacing w:before="0" w:after="283"/>
              <w:jc w:val="right"/>
              <w:rPr/>
            </w:pPr>
            <w:r>
              <w:rPr/>
              <w:t>1,324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7"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035" w:type="dxa"/>
            <w:tcBorders>
              <w:bottom w:val="single" w:sz="12" w:space="0" w:color="000000"/>
            </w:tcBorders>
            <w:shd w:fill="CCEEFF" w:val="clear"/>
            <w:tcMar>
              <w:bottom w:w="28" w:type="dxa"/>
            </w:tcMar>
            <w:vAlign w:val="center"/>
          </w:tcPr>
          <w:p>
            <w:pPr>
              <w:pStyle w:val="TableContents"/>
              <w:spacing w:before="0" w:after="283"/>
              <w:jc w:val="right"/>
              <w:rPr/>
            </w:pPr>
            <w:r>
              <w:rPr/>
              <w:t>1,204,412</w:t>
            </w:r>
          </w:p>
        </w:tc>
        <w:tc>
          <w:tcPr>
            <w:tcW w:w="83" w:type="dxa"/>
            <w:tcBorders/>
            <w:shd w:fill="CCEEFF" w:val="clear"/>
            <w:vAlign w:val="center"/>
          </w:tcPr>
          <w:p>
            <w:pPr>
              <w:pStyle w:val="TableContents"/>
              <w:spacing w:before="0" w:after="283"/>
              <w:jc w:val="left"/>
              <w:rPr/>
            </w:pPr>
            <w:r>
              <w:rPr/>
              <w:t> </w:t>
            </w:r>
          </w:p>
        </w:tc>
      </w:tr>
      <w:tr>
        <w:trPr/>
        <w:tc>
          <w:tcPr>
            <w:tcW w:w="1365" w:type="dxa"/>
            <w:tcBorders/>
            <w:shd w:fill="auto" w:val="clear"/>
            <w:vAlign w:val="center"/>
          </w:tcPr>
          <w:p>
            <w:pPr>
              <w:pStyle w:val="TableContents"/>
              <w:spacing w:before="0" w:after="283"/>
              <w:rPr>
                <w:b/>
              </w:rPr>
            </w:pPr>
            <w:r>
              <w:rPr>
                <w:b/>
              </w:rPr>
              <w:t>Total</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980" w:type="dxa"/>
            <w:tcBorders>
              <w:bottom w:val="double" w:sz="10" w:space="0" w:color="000000"/>
            </w:tcBorders>
            <w:shd w:fill="auto" w:val="clear"/>
            <w:tcMar>
              <w:bottom w:w="28" w:type="dxa"/>
            </w:tcMar>
            <w:vAlign w:val="center"/>
          </w:tcPr>
          <w:p>
            <w:pPr>
              <w:pStyle w:val="TableContents"/>
              <w:spacing w:before="0" w:after="283"/>
              <w:jc w:val="right"/>
              <w:rPr>
                <w:b/>
              </w:rPr>
            </w:pPr>
            <w:r>
              <w:rPr>
                <w:b/>
              </w:rPr>
              <w:t>1,203,088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01"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807" w:type="dxa"/>
            <w:tcBorders>
              <w:bottom w:val="double" w:sz="10" w:space="0" w:color="000000"/>
            </w:tcBorders>
            <w:shd w:fill="auto" w:val="clear"/>
            <w:tcMar>
              <w:bottom w:w="28" w:type="dxa"/>
            </w:tcMar>
            <w:vAlign w:val="center"/>
          </w:tcPr>
          <w:p>
            <w:pPr>
              <w:pStyle w:val="TableContents"/>
              <w:spacing w:before="0" w:after="283"/>
              <w:jc w:val="right"/>
              <w:rPr>
                <w:b/>
              </w:rPr>
            </w:pPr>
            <w:r>
              <w:rPr>
                <w:b/>
              </w:rPr>
              <w:t>1,324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006" w:type="dxa"/>
            <w:tcBorders>
              <w:bottom w:val="double" w:sz="10" w:space="0" w:color="000000"/>
            </w:tcBorders>
            <w:shd w:fill="auto" w:val="clear"/>
            <w:tcMar>
              <w:bottom w:w="28" w:type="dxa"/>
            </w:tcMar>
            <w:vAlign w:val="center"/>
          </w:tcPr>
          <w:p>
            <w:pPr>
              <w:pStyle w:val="TableContents"/>
              <w:spacing w:before="0" w:after="0"/>
              <w:jc w:val="right"/>
              <w:rPr>
                <w:b/>
              </w:rPr>
            </w:pPr>
            <w:r>
              <w:rPr>
                <w:b/>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7"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89" w:type="dxa"/>
            <w:tcBorders>
              <w:bottom w:val="double" w:sz="10" w:space="0" w:color="000000"/>
            </w:tcBorders>
            <w:shd w:fill="auto" w:val="clear"/>
            <w:tcMar>
              <w:bottom w:w="28" w:type="dxa"/>
            </w:tcMar>
            <w:vAlign w:val="center"/>
          </w:tcPr>
          <w:p>
            <w:pPr>
              <w:pStyle w:val="TableContents"/>
              <w:spacing w:before="0" w:after="0"/>
              <w:jc w:val="right"/>
              <w:rPr>
                <w:b/>
              </w:rPr>
            </w:pPr>
            <w:r>
              <w:rPr>
                <w:b/>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6"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84" w:type="dxa"/>
            <w:tcBorders>
              <w:bottom w:val="double" w:sz="10" w:space="0" w:color="000000"/>
            </w:tcBorders>
            <w:shd w:fill="auto" w:val="clear"/>
            <w:tcMar>
              <w:bottom w:w="28" w:type="dxa"/>
            </w:tcMar>
            <w:vAlign w:val="center"/>
          </w:tcPr>
          <w:p>
            <w:pPr>
              <w:pStyle w:val="TableContents"/>
              <w:spacing w:before="0" w:after="0"/>
              <w:jc w:val="right"/>
              <w:rPr>
                <w:b/>
              </w:rPr>
            </w:pPr>
            <w:r>
              <w:rPr>
                <w:b/>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3"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652" w:type="dxa"/>
            <w:tcBorders>
              <w:bottom w:val="double" w:sz="10" w:space="0" w:color="000000"/>
            </w:tcBorders>
            <w:shd w:fill="auto" w:val="clear"/>
            <w:tcMar>
              <w:bottom w:w="28" w:type="dxa"/>
            </w:tcMar>
            <w:vAlign w:val="center"/>
          </w:tcPr>
          <w:p>
            <w:pPr>
              <w:pStyle w:val="TableContents"/>
              <w:spacing w:before="0" w:after="283"/>
              <w:jc w:val="right"/>
              <w:rPr>
                <w:b/>
              </w:rPr>
            </w:pPr>
            <w:r>
              <w:rPr>
                <w:b/>
              </w:rPr>
              <w:t>1,324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7"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035" w:type="dxa"/>
            <w:tcBorders>
              <w:bottom w:val="double" w:sz="10" w:space="0" w:color="000000"/>
            </w:tcBorders>
            <w:shd w:fill="auto" w:val="clear"/>
            <w:tcMar>
              <w:bottom w:w="28" w:type="dxa"/>
            </w:tcMar>
            <w:vAlign w:val="center"/>
          </w:tcPr>
          <w:p>
            <w:pPr>
              <w:pStyle w:val="TableContents"/>
              <w:spacing w:before="0" w:after="283"/>
              <w:jc w:val="right"/>
              <w:rPr>
                <w:b/>
              </w:rPr>
            </w:pPr>
            <w:r>
              <w:rPr>
                <w:b/>
              </w:rPr>
              <w:t>1,204,412</w:t>
            </w:r>
          </w:p>
        </w:tc>
        <w:tc>
          <w:tcPr>
            <w:tcW w:w="83"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5890" w:type="dxa"/>
        <w:jc w:val="left"/>
        <w:tblInd w:w="0" w:type="dxa"/>
        <w:tblCellMar>
          <w:top w:w="0" w:type="dxa"/>
          <w:left w:w="0" w:type="dxa"/>
          <w:bottom w:w="0" w:type="dxa"/>
          <w:right w:w="0" w:type="dxa"/>
        </w:tblCellMar>
      </w:tblPr>
      <w:tblGrid>
        <w:gridCol w:w="305"/>
        <w:gridCol w:w="5585"/>
      </w:tblGrid>
      <w:tr>
        <w:trPr/>
        <w:tc>
          <w:tcPr>
            <w:tcW w:w="305" w:type="dxa"/>
            <w:tcBorders/>
            <w:shd w:fill="auto" w:val="clear"/>
            <w:vAlign w:val="center"/>
          </w:tcPr>
          <w:p>
            <w:pPr>
              <w:pStyle w:val="TableContents"/>
              <w:spacing w:before="0" w:after="283"/>
              <w:jc w:val="left"/>
              <w:rPr/>
            </w:pPr>
            <w:r>
              <w:rPr/>
              <w:t>(1)</w:t>
            </w:r>
          </w:p>
        </w:tc>
        <w:tc>
          <w:tcPr>
            <w:tcW w:w="5585" w:type="dxa"/>
            <w:tcBorders/>
            <w:shd w:fill="auto" w:val="clear"/>
            <w:vAlign w:val="center"/>
          </w:tcPr>
          <w:p>
            <w:pPr>
              <w:pStyle w:val="TableContents"/>
              <w:spacing w:before="0" w:after="283"/>
              <w:jc w:val="left"/>
              <w:rPr/>
            </w:pPr>
            <w:r>
              <w:rPr/>
              <w:t>Loans 1-30 days past due are included in the current loans.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there were four loans with principal or interest greater than 30 days past due.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INTEREST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2023 and December 31, 2022, the Company had one loan and three loans, respectively, that included a prepaid interest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interest reserves as of March 31, 2023 and December 31, 2022, respectively:</w:t>
      </w:r>
    </w:p>
    <w:p>
      <w:pPr>
        <w:pStyle w:val="TextBody"/>
        <w:spacing w:before="0" w:after="0"/>
        <w:ind w:left="0" w:right="0" w:hanging="0"/>
        <w:rPr>
          <w:caps w:val="false"/>
          <w:smallCaps w:val="false"/>
        </w:rPr>
      </w:pPr>
      <w:r>
        <w:rPr>
          <w:caps w:val="false"/>
          <w:smallCaps w:val="false"/>
        </w:rPr>
        <w:t> </w:t>
      </w:r>
    </w:p>
    <w:tbl>
      <w:tblPr>
        <w:tblW w:w="4125" w:type="dxa"/>
        <w:jc w:val="left"/>
        <w:tblInd w:w="0" w:type="dxa"/>
        <w:tblCellMar>
          <w:top w:w="0" w:type="dxa"/>
          <w:left w:w="0" w:type="dxa"/>
          <w:bottom w:w="0" w:type="dxa"/>
          <w:right w:w="0" w:type="dxa"/>
        </w:tblCellMar>
      </w:tblPr>
      <w:tblGrid>
        <w:gridCol w:w="1625"/>
        <w:gridCol w:w="60"/>
        <w:gridCol w:w="125"/>
        <w:gridCol w:w="905"/>
        <w:gridCol w:w="80"/>
        <w:gridCol w:w="60"/>
        <w:gridCol w:w="129"/>
        <w:gridCol w:w="1046"/>
        <w:gridCol w:w="95"/>
      </w:tblGrid>
      <w:tr>
        <w:trPr/>
        <w:tc>
          <w:tcPr>
            <w:tcW w:w="162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March 31,</w:t>
              <w:br/>
              <w:t>2023</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br/>
              <w:t>2022</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6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reserves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1,868,193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6,636,553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6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reserves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46"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9,049,834</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6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Reserves disbursed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0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(1,648,129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9"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46"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(13,818,194</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62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Ending reserve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220,064</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9"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6"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1,868,193</w:t>
            </w:r>
          </w:p>
        </w:tc>
        <w:tc>
          <w:tcPr>
            <w:tcW w:w="95"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DEBT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in connection with the Company’s acquisition of its wholly-owned financing subsidiary, CAL, the Company was assigned a secured revolving credit facility (the “Revolving Loan”). The Revolving Loan had an original aggregate borrowing base of up to $10,000,000 and bore interest, payable in cash in arrears, at a per annum rate equal to the greater of (x) Prime Rate plus 1.00% and (y) 4.75%. The Company incurred debt issuance costs of $100,000 related to the origination of the Revolving Loan, which were capitalized and are subsequently being amortized through maturity. The maturity date of the Revolving Loan was the earlier of (i) February 12, 2023 and (ii) the date on which the Revolving Loan is terminated pursuant to terms in the Revolving Loan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CAL entered into an amended and restated Revolving Loan agreement (the “First Amendment and Restatement”). The First Amendment and Restatement increased the loan commitment from $10,000,000 to $45,000,000 and decreased the interest rate, from the greater of the (1) Prime Rate plus 1.00% and (2) 4.75% to the greater of (1) the Prime Rate plus the applicable margin and (2) 3.25%. The applicable margin is derived from a floating rate grid based upon the ratio of debt to equity of CAL and increases from 0% at a ratio of 0.25 to 1 to 1.25% at a ratio of 1.5 to 1. The First Amendment and Restatement also extended the maturity date from February 12, 2023 to the earlier of (i) December 16, 2023 and (ii) the date on which the Revolving Loan is terminated pursuant to the terms of the Revolving Loan agreement. The Company has the option to extend the initial term for an additional one-year term, provided no events of default exist and the Company provides the required notice of the extension pursuant to the First Amendment and Restatement. The Company incurred debt issuance costs of $859,500 related to the First Amendment and Restatement, which were capitalized and are subsequently being amortized through maturity.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2022, CAL entered into a second amended and restated Revolving Loan agreement (the “Second Amendment and Restatement”). The Second Amendment and Restatement increased the loan commitment from $45,000,000 to $65,000,000. No other material terms of the Revolving Loan were modified as a result of the execution of the Second Amendment and Restatement. The Company incurred debt issuance costs of $177,261 related to the Second Amendment and Restatement, which were capitalized and are subsequently amortized through maturity.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2022, CAL entered into a third amended and restated Revolving Loan agreement (the “Third Amendment and Restatement”). The Third Amendment and Restatement increased the loan commitment from $65,000,000 to $92,500,000. No other material terms of the Revolving Loan were modified as a result of the execution of the Third Amendment and Restatement. The Company incurred debt issuance costs of $323,779 related to the Third Amendment and Restatement, which were capitalized and are subsequently amortized through maturity.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2023, CAL entered into an amendment to the Third Amendment and Restatement (the “Amendment”). The Amendment extended the contractual maturity date of the Revolving Loan until December 16, 2024 and the Company retained its option to extend the initial term for an additional one-year period, provided no events of default exist and the Company provides 365 days’ notice of the extension pursuant to the Amendment. No other material terms of the Revolving Loan were modified as a result of the execution of the Amendment. The Company incurred debt issuance costs of $2,988 related to the Amendment, which were capitalized and are subsequently amortized through maturity. As of March 31, 2023 and December 31, 2022, unamortized debt issuance costs related to the Revolving Loan, including all amendments and amendments and restatements thereto, as applicable, of $641,279 and $805,596, respectively, are recorded in other receivables and assets, net on the consolidated balance sheets.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incurs unused fees at a rate of 0.25% per annum which began on July 1, 2022 pursuant to the Second Amendment and Restatement. Additionally, as of and for the three months ended March 31, 2023, the Company borrowed $37.5 million against the Revolving Loan, incurred an effective interest rate of 7.75% including the unused fee rate of 0.25%, and had $55.0 million available under the Revolving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March 31, 2023, the Company is in compliance with all financial covenants with respect to the Revolving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Revolving Loan, which is classified as Level 2 in the fair value hierarchy, approximates the carrying value as it bears a market rate of interest that is reset frequently.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a summary of interest expense incurred during the three months ended March 31, 2023 and 2022.</w:t>
      </w:r>
    </w:p>
    <w:p>
      <w:pPr>
        <w:pStyle w:val="TextBody"/>
        <w:spacing w:before="0" w:after="0"/>
        <w:ind w:left="0" w:right="0" w:hanging="0"/>
        <w:rPr>
          <w:caps w:val="false"/>
          <w:smallCaps w:val="false"/>
        </w:rPr>
      </w:pPr>
      <w:r>
        <w:rPr>
          <w:caps w:val="false"/>
          <w:smallCaps w:val="false"/>
        </w:rPr>
        <w:t> </w:t>
      </w:r>
    </w:p>
    <w:tbl>
      <w:tblPr>
        <w:tblW w:w="6990" w:type="dxa"/>
        <w:jc w:val="left"/>
        <w:tblInd w:w="0" w:type="dxa"/>
        <w:tblCellMar>
          <w:top w:w="0" w:type="dxa"/>
          <w:left w:w="0" w:type="dxa"/>
          <w:bottom w:w="0" w:type="dxa"/>
          <w:right w:w="0" w:type="dxa"/>
        </w:tblCellMar>
      </w:tblPr>
      <w:tblGrid>
        <w:gridCol w:w="3845"/>
        <w:gridCol w:w="60"/>
        <w:gridCol w:w="180"/>
        <w:gridCol w:w="1265"/>
        <w:gridCol w:w="60"/>
        <w:gridCol w:w="60"/>
        <w:gridCol w:w="246"/>
        <w:gridCol w:w="1199"/>
        <w:gridCol w:w="75"/>
      </w:tblGrid>
      <w:tr>
        <w:trPr/>
        <w:tc>
          <w:tcPr>
            <w:tcW w:w="38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Three months</w:t>
              <w:br/>
              <w:t>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shd w:fill="auto" w:val="clear"/>
            <w:vAlign w:val="center"/>
          </w:tcPr>
          <w:p>
            <w:pPr>
              <w:pStyle w:val="TableContents"/>
              <w:spacing w:before="0" w:after="283"/>
              <w:jc w:val="center"/>
              <w:rPr>
                <w:b/>
              </w:rPr>
            </w:pPr>
            <w:r>
              <w:rPr>
                <w:b/>
              </w:rPr>
              <w:t>Three months</w:t>
              <w:br/>
              <w:t>ended</w:t>
            </w:r>
          </w:p>
        </w:tc>
        <w:tc>
          <w:tcPr>
            <w:tcW w:w="75"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2022</w:t>
            </w:r>
          </w:p>
        </w:tc>
        <w:tc>
          <w:tcPr>
            <w:tcW w:w="75" w:type="dxa"/>
            <w:tcBorders/>
            <w:shd w:fill="auto" w:val="cle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283"/>
              <w:jc w:val="left"/>
              <w:rPr/>
            </w:pPr>
            <w:r>
              <w:rPr/>
              <w:t>Interest expense</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jc w:val="left"/>
              <w:rPr/>
            </w:pPr>
            <w:r>
              <w:rPr/>
              <w:t>$</w:t>
            </w:r>
          </w:p>
        </w:tc>
        <w:tc>
          <w:tcPr>
            <w:tcW w:w="1265" w:type="dxa"/>
            <w:tcBorders/>
            <w:shd w:fill="CCEEFF" w:val="clear"/>
            <w:vAlign w:val="center"/>
          </w:tcPr>
          <w:p>
            <w:pPr>
              <w:pStyle w:val="TableContents"/>
              <w:spacing w:before="0" w:after="283"/>
              <w:jc w:val="right"/>
              <w:rPr/>
            </w:pPr>
            <w:r>
              <w:rPr/>
              <w:t>1,440,992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jc w:val="left"/>
              <w:rPr/>
            </w:pPr>
            <w:r>
              <w:rPr/>
              <w:t>$</w:t>
            </w:r>
          </w:p>
        </w:tc>
        <w:tc>
          <w:tcPr>
            <w:tcW w:w="1199"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3845" w:type="dxa"/>
            <w:tcBorders/>
            <w:shd w:fill="auto" w:val="clear"/>
            <w:vAlign w:val="center"/>
          </w:tcPr>
          <w:p>
            <w:pPr>
              <w:pStyle w:val="TableContents"/>
              <w:spacing w:before="0" w:after="283"/>
              <w:jc w:val="left"/>
              <w:rPr/>
            </w:pPr>
            <w:r>
              <w:rPr/>
              <w:t>Unused fee expense</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jc w:val="left"/>
              <w:rPr/>
            </w:pPr>
            <w:r>
              <w:rPr/>
              <w:t> </w:t>
            </w:r>
          </w:p>
        </w:tc>
        <w:tc>
          <w:tcPr>
            <w:tcW w:w="1265" w:type="dxa"/>
            <w:tcBorders/>
            <w:shd w:fill="auto" w:val="clear"/>
            <w:vAlign w:val="center"/>
          </w:tcPr>
          <w:p>
            <w:pPr>
              <w:pStyle w:val="TableContents"/>
              <w:spacing w:before="0" w:after="283"/>
              <w:jc w:val="right"/>
              <w:rPr/>
            </w:pPr>
            <w:r>
              <w:rPr/>
              <w:t>10,000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jc w:val="left"/>
              <w:rPr/>
            </w:pPr>
            <w:r>
              <w:rPr/>
              <w:t> </w:t>
            </w:r>
          </w:p>
        </w:tc>
        <w:tc>
          <w:tcPr>
            <w:tcW w:w="1199" w:type="dxa"/>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jc w:val="left"/>
              <w:rPr/>
            </w:pPr>
            <w:r>
              <w:rPr/>
              <w:t> </w:t>
            </w:r>
          </w:p>
        </w:tc>
      </w:tr>
      <w:tr>
        <w:trPr/>
        <w:tc>
          <w:tcPr>
            <w:tcW w:w="3845" w:type="dxa"/>
            <w:tcBorders/>
            <w:shd w:fill="CCEEFF" w:val="clear"/>
            <w:vAlign w:val="center"/>
          </w:tcPr>
          <w:p>
            <w:pPr>
              <w:pStyle w:val="TableContents"/>
              <w:spacing w:before="0" w:after="283"/>
              <w:jc w:val="left"/>
              <w:rPr/>
            </w:pPr>
            <w:r>
              <w:rPr/>
              <w:t>Amortization of deferred financing costs</w:t>
            </w:r>
          </w:p>
        </w:tc>
        <w:tc>
          <w:tcPr>
            <w:tcW w:w="60" w:type="dxa"/>
            <w:tcBorders/>
            <w:shd w:fill="CCEEFF" w:val="clear"/>
            <w:vAlign w:val="center"/>
          </w:tcPr>
          <w:p>
            <w:pPr>
              <w:pStyle w:val="TableContents"/>
              <w:spacing w:before="0" w:after="283"/>
              <w:rPr/>
            </w:pPr>
            <w:r>
              <w:rPr/>
              <w:t> </w:t>
            </w:r>
          </w:p>
        </w:tc>
        <w:tc>
          <w:tcPr>
            <w:tcW w:w="18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65" w:type="dxa"/>
            <w:tcBorders>
              <w:bottom w:val="single" w:sz="12" w:space="0" w:color="000000"/>
            </w:tcBorders>
            <w:shd w:fill="CCEEFF" w:val="clear"/>
            <w:tcMar>
              <w:bottom w:w="28" w:type="dxa"/>
            </w:tcMar>
            <w:vAlign w:val="center"/>
          </w:tcPr>
          <w:p>
            <w:pPr>
              <w:pStyle w:val="TableContents"/>
              <w:spacing w:before="0" w:after="283"/>
              <w:jc w:val="right"/>
              <w:rPr/>
            </w:pPr>
            <w:r>
              <w:rPr/>
              <w:t>167,304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4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99" w:type="dxa"/>
            <w:tcBorders>
              <w:bottom w:val="single" w:sz="12" w:space="0" w:color="000000"/>
            </w:tcBorders>
            <w:shd w:fill="CCEEFF" w:val="clear"/>
            <w:tcMar>
              <w:bottom w:w="28" w:type="dxa"/>
            </w:tcMar>
            <w:vAlign w:val="center"/>
          </w:tcPr>
          <w:p>
            <w:pPr>
              <w:pStyle w:val="TableContents"/>
              <w:spacing w:before="0" w:after="283"/>
              <w:jc w:val="right"/>
              <w:rPr/>
            </w:pPr>
            <w:r>
              <w:rPr/>
              <w:t>72,268</w:t>
            </w:r>
          </w:p>
        </w:tc>
        <w:tc>
          <w:tcPr>
            <w:tcW w:w="75" w:type="dxa"/>
            <w:tcBorders/>
            <w:shd w:fill="CCEEFF" w:val="clear"/>
            <w:vAlign w:val="center"/>
          </w:tcPr>
          <w:p>
            <w:pPr>
              <w:pStyle w:val="TableContents"/>
              <w:spacing w:before="0" w:after="283"/>
              <w:jc w:val="left"/>
              <w:rPr/>
            </w:pPr>
            <w:r>
              <w:rPr/>
              <w:t> </w:t>
            </w:r>
          </w:p>
        </w:tc>
      </w:tr>
      <w:tr>
        <w:trPr/>
        <w:tc>
          <w:tcPr>
            <w:tcW w:w="3845" w:type="dxa"/>
            <w:tcBorders/>
            <w:shd w:fill="auto" w:val="clear"/>
            <w:vAlign w:val="center"/>
          </w:tcPr>
          <w:p>
            <w:pPr>
              <w:pStyle w:val="TableContents"/>
              <w:spacing w:before="0" w:after="283"/>
              <w:jc w:val="left"/>
              <w:rPr>
                <w:b/>
              </w:rPr>
            </w:pPr>
            <w:r>
              <w:rPr>
                <w:b/>
              </w:rPr>
              <w:t>Total interest expense</w:t>
            </w:r>
          </w:p>
        </w:tc>
        <w:tc>
          <w:tcPr>
            <w:tcW w:w="60" w:type="dxa"/>
            <w:tcBorders/>
            <w:shd w:fill="auto" w:val="clear"/>
            <w:vAlign w:val="center"/>
          </w:tcPr>
          <w:p>
            <w:pPr>
              <w:pStyle w:val="TableContents"/>
              <w:spacing w:before="0" w:after="283"/>
              <w:rPr/>
            </w:pPr>
            <w:r>
              <w:rPr/>
              <w:t> </w:t>
            </w:r>
          </w:p>
        </w:tc>
        <w:tc>
          <w:tcPr>
            <w:tcW w:w="18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65" w:type="dxa"/>
            <w:tcBorders>
              <w:bottom w:val="double" w:sz="10" w:space="0" w:color="000000"/>
            </w:tcBorders>
            <w:shd w:fill="auto" w:val="clear"/>
            <w:tcMar>
              <w:bottom w:w="28" w:type="dxa"/>
            </w:tcMar>
            <w:vAlign w:val="center"/>
          </w:tcPr>
          <w:p>
            <w:pPr>
              <w:pStyle w:val="TableContents"/>
              <w:spacing w:before="0" w:after="283"/>
              <w:jc w:val="right"/>
              <w:rPr>
                <w:b/>
              </w:rPr>
            </w:pPr>
            <w:r>
              <w:rPr>
                <w:b/>
              </w:rPr>
              <w:t>1,618,296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46"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99" w:type="dxa"/>
            <w:tcBorders>
              <w:bottom w:val="double" w:sz="10" w:space="0" w:color="000000"/>
            </w:tcBorders>
            <w:shd w:fill="auto" w:val="clear"/>
            <w:tcMar>
              <w:bottom w:w="28" w:type="dxa"/>
            </w:tcMar>
            <w:vAlign w:val="center"/>
          </w:tcPr>
          <w:p>
            <w:pPr>
              <w:pStyle w:val="TableContents"/>
              <w:spacing w:before="0" w:after="283"/>
              <w:jc w:val="right"/>
              <w:rPr>
                <w:b/>
              </w:rPr>
            </w:pPr>
            <w:r>
              <w:rPr>
                <w:b/>
              </w:rPr>
              <w:t>72,268</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RELATED PARTY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Management Agreement, the Manager will manage the loans and day-to-day operations of the Company, subject at all times to the further terms and conditions set forth in the Management Agreement and such further limitations or parameters as may be imposed from time to time by the Company’s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months ended March 31, 2023 and 2022, the Base Management Fee payable was reduced by Outside Fees in the amount of $5,000 and $717,750,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three months ended March 31, 2023 and 2022 was $1,111,206 and $382,143,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related party fees and expenses incurred by the Company and amounts payable to the Manager for the three months ended March 31, 2023 and 2022.</w:t>
      </w:r>
    </w:p>
    <w:p>
      <w:pPr>
        <w:pStyle w:val="TextBody"/>
        <w:spacing w:before="0" w:after="0"/>
        <w:ind w:left="720" w:right="0" w:firstLine="1440"/>
        <w:rPr>
          <w:caps w:val="false"/>
          <w:smallCaps w:val="false"/>
        </w:rPr>
      </w:pPr>
      <w:r>
        <w:rPr>
          <w:caps w:val="false"/>
          <w:smallCaps w:val="false"/>
        </w:rPr>
        <w:t> </w:t>
      </w:r>
    </w:p>
    <w:tbl>
      <w:tblPr>
        <w:tblW w:w="8935" w:type="dxa"/>
        <w:jc w:val="left"/>
        <w:tblInd w:w="0" w:type="dxa"/>
        <w:tblCellMar>
          <w:top w:w="0" w:type="dxa"/>
          <w:left w:w="0" w:type="dxa"/>
          <w:bottom w:w="0" w:type="dxa"/>
          <w:right w:w="0" w:type="dxa"/>
        </w:tblCellMar>
      </w:tblPr>
      <w:tblGrid>
        <w:gridCol w:w="5900"/>
        <w:gridCol w:w="60"/>
        <w:gridCol w:w="169"/>
        <w:gridCol w:w="1186"/>
        <w:gridCol w:w="95"/>
        <w:gridCol w:w="60"/>
        <w:gridCol w:w="169"/>
        <w:gridCol w:w="1186"/>
        <w:gridCol w:w="110"/>
      </w:tblGrid>
      <w:tr>
        <w:trPr/>
        <w:tc>
          <w:tcPr>
            <w:tcW w:w="59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 the</w:t>
              <w:br/>
              <w:t>three months</w:t>
              <w:br/>
              <w:t>ended</w:t>
              <w:br/>
              <w:t>March 31,</w:t>
              <w:b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 the</w:t>
              <w:br/>
              <w:t>three months</w:t>
              <w:br/>
              <w:t>ended</w:t>
              <w:br/>
              <w:t>March 31,</w:t>
              <w:br/>
              <w:t>2022</w:t>
            </w:r>
          </w:p>
        </w:tc>
        <w:tc>
          <w:tcPr>
            <w:tcW w:w="110" w:type="dxa"/>
            <w:tcBorders/>
            <w:shd w:fill="auto" w:val="clear"/>
            <w:vAlign w:val="center"/>
          </w:tcPr>
          <w:p>
            <w:pPr>
              <w:pStyle w:val="TableContents"/>
              <w:spacing w:before="0" w:after="283"/>
              <w:rPr/>
            </w:pPr>
            <w:r>
              <w:rPr/>
              <w:t> </w:t>
            </w:r>
          </w:p>
        </w:tc>
      </w:tr>
      <w:tr>
        <w:trPr/>
        <w:tc>
          <w:tcPr>
            <w:tcW w:w="5900" w:type="dxa"/>
            <w:tcBorders/>
            <w:shd w:fill="auto" w:val="clear"/>
            <w:vAlign w:val="center"/>
          </w:tcPr>
          <w:p>
            <w:pPr>
              <w:pStyle w:val="TableContents"/>
              <w:spacing w:before="0" w:after="283"/>
              <w:rPr>
                <w:b/>
              </w:rPr>
            </w:pPr>
            <w:r>
              <w:rPr>
                <w:b/>
              </w:rPr>
              <w:t>Affiliate Payments</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5900" w:type="dxa"/>
            <w:tcBorders/>
            <w:shd w:fill="CCEEFF" w:val="clear"/>
            <w:vAlign w:val="center"/>
          </w:tcPr>
          <w:p>
            <w:pPr>
              <w:pStyle w:val="TableContents"/>
              <w:spacing w:before="0" w:after="283"/>
              <w:jc w:val="left"/>
              <w:rPr/>
            </w:pPr>
            <w:r>
              <w:rPr/>
              <w:t>Management fees earned</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w:t>
            </w:r>
          </w:p>
        </w:tc>
        <w:tc>
          <w:tcPr>
            <w:tcW w:w="1186" w:type="dxa"/>
            <w:tcBorders/>
            <w:shd w:fill="CCEEFF" w:val="clear"/>
            <w:vAlign w:val="center"/>
          </w:tcPr>
          <w:p>
            <w:pPr>
              <w:pStyle w:val="TableContents"/>
              <w:spacing w:before="0" w:after="283"/>
              <w:jc w:val="right"/>
              <w:rPr/>
            </w:pPr>
            <w:r>
              <w:rPr/>
              <w:t>1,031,799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w:t>
            </w:r>
          </w:p>
        </w:tc>
        <w:tc>
          <w:tcPr>
            <w:tcW w:w="1186" w:type="dxa"/>
            <w:tcBorders/>
            <w:shd w:fill="CCEEFF" w:val="clear"/>
            <w:vAlign w:val="center"/>
          </w:tcPr>
          <w:p>
            <w:pPr>
              <w:pStyle w:val="TableContents"/>
              <w:spacing w:before="0" w:after="283"/>
              <w:jc w:val="right"/>
              <w:rPr/>
            </w:pPr>
            <w:r>
              <w:rPr/>
              <w:t>1,007,112</w:t>
            </w:r>
          </w:p>
        </w:tc>
        <w:tc>
          <w:tcPr>
            <w:tcW w:w="110" w:type="dxa"/>
            <w:tcBorders/>
            <w:shd w:fill="CCEEFF" w:val="clear"/>
            <w:vAlign w:val="center"/>
          </w:tcPr>
          <w:p>
            <w:pPr>
              <w:pStyle w:val="TableContents"/>
              <w:spacing w:before="0" w:after="283"/>
              <w:jc w:val="left"/>
              <w:rPr/>
            </w:pPr>
            <w:r>
              <w:rPr/>
              <w:t> </w:t>
            </w:r>
          </w:p>
        </w:tc>
      </w:tr>
      <w:tr>
        <w:trPr/>
        <w:tc>
          <w:tcPr>
            <w:tcW w:w="5900" w:type="dxa"/>
            <w:tcBorders/>
            <w:shd w:fill="auto" w:val="clear"/>
            <w:vAlign w:val="center"/>
          </w:tcPr>
          <w:p>
            <w:pPr>
              <w:pStyle w:val="TableContents"/>
              <w:spacing w:before="0" w:after="283"/>
              <w:jc w:val="left"/>
              <w:rPr/>
            </w:pPr>
            <w:r>
              <w:rPr/>
              <w:t>Less: Outside fees earned</w:t>
            </w:r>
          </w:p>
        </w:tc>
        <w:tc>
          <w:tcPr>
            <w:tcW w:w="60" w:type="dxa"/>
            <w:tcBorders/>
            <w:shd w:fill="auto" w:val="clear"/>
            <w:vAlign w:val="center"/>
          </w:tcPr>
          <w:p>
            <w:pPr>
              <w:pStyle w:val="TableContents"/>
              <w:spacing w:before="0" w:after="283"/>
              <w:rPr/>
            </w:pPr>
            <w:r>
              <w:rPr/>
              <w:t> </w:t>
            </w:r>
          </w:p>
        </w:tc>
        <w:tc>
          <w:tcPr>
            <w:tcW w:w="16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86" w:type="dxa"/>
            <w:tcBorders>
              <w:bottom w:val="single" w:sz="12" w:space="0" w:color="000000"/>
            </w:tcBorders>
            <w:shd w:fill="auto" w:val="clear"/>
            <w:tcMar>
              <w:bottom w:w="28" w:type="dxa"/>
            </w:tcMar>
            <w:vAlign w:val="center"/>
          </w:tcPr>
          <w:p>
            <w:pPr>
              <w:pStyle w:val="TableContents"/>
              <w:spacing w:before="0" w:after="283"/>
              <w:jc w:val="right"/>
              <w:rPr/>
            </w:pPr>
            <w:r>
              <w:rPr/>
              <w:t>(5,000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86" w:type="dxa"/>
            <w:tcBorders>
              <w:bottom w:val="single" w:sz="12" w:space="0" w:color="000000"/>
            </w:tcBorders>
            <w:shd w:fill="auto" w:val="clear"/>
            <w:tcMar>
              <w:bottom w:w="28" w:type="dxa"/>
            </w:tcMar>
            <w:vAlign w:val="center"/>
          </w:tcPr>
          <w:p>
            <w:pPr>
              <w:pStyle w:val="TableContents"/>
              <w:spacing w:before="0" w:after="283"/>
              <w:jc w:val="right"/>
              <w:rPr/>
            </w:pPr>
            <w:r>
              <w:rPr/>
              <w:t>(717,750</w:t>
            </w:r>
          </w:p>
        </w:tc>
        <w:tc>
          <w:tcPr>
            <w:tcW w:w="110" w:type="dxa"/>
            <w:tcBorders/>
            <w:shd w:fill="auto" w:val="clear"/>
            <w:vAlign w:val="center"/>
          </w:tcPr>
          <w:p>
            <w:pPr>
              <w:pStyle w:val="TableContents"/>
              <w:spacing w:before="0" w:after="283"/>
              <w:jc w:val="left"/>
              <w:rPr/>
            </w:pPr>
            <w:r>
              <w:rPr/>
              <w:t>)</w:t>
            </w:r>
          </w:p>
        </w:tc>
      </w:tr>
      <w:tr>
        <w:trPr/>
        <w:tc>
          <w:tcPr>
            <w:tcW w:w="5900" w:type="dxa"/>
            <w:tcBorders/>
            <w:shd w:fill="CCEEFF" w:val="clear"/>
            <w:vAlign w:val="center"/>
          </w:tcPr>
          <w:p>
            <w:pPr>
              <w:pStyle w:val="TableContents"/>
              <w:spacing w:before="0" w:after="283"/>
              <w:jc w:val="left"/>
              <w:rPr/>
            </w:pPr>
            <w:r>
              <w:rPr/>
              <w:t>Base management fee, net</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 </w:t>
            </w:r>
          </w:p>
        </w:tc>
        <w:tc>
          <w:tcPr>
            <w:tcW w:w="1186" w:type="dxa"/>
            <w:tcBorders/>
            <w:shd w:fill="CCEEFF" w:val="clear"/>
            <w:vAlign w:val="center"/>
          </w:tcPr>
          <w:p>
            <w:pPr>
              <w:pStyle w:val="TableContents"/>
              <w:spacing w:before="0" w:after="283"/>
              <w:jc w:val="right"/>
              <w:rPr/>
            </w:pPr>
            <w:r>
              <w:rPr/>
              <w:t>1,026,799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 </w:t>
            </w:r>
          </w:p>
        </w:tc>
        <w:tc>
          <w:tcPr>
            <w:tcW w:w="1186" w:type="dxa"/>
            <w:tcBorders/>
            <w:shd w:fill="CCEEFF" w:val="clear"/>
            <w:vAlign w:val="center"/>
          </w:tcPr>
          <w:p>
            <w:pPr>
              <w:pStyle w:val="TableContents"/>
              <w:spacing w:before="0" w:after="283"/>
              <w:jc w:val="right"/>
              <w:rPr/>
            </w:pPr>
            <w:r>
              <w:rPr/>
              <w:t>289,362</w:t>
            </w:r>
          </w:p>
        </w:tc>
        <w:tc>
          <w:tcPr>
            <w:tcW w:w="110" w:type="dxa"/>
            <w:tcBorders/>
            <w:shd w:fill="CCEEFF" w:val="clear"/>
            <w:vAlign w:val="center"/>
          </w:tcPr>
          <w:p>
            <w:pPr>
              <w:pStyle w:val="TableContents"/>
              <w:spacing w:before="0" w:after="283"/>
              <w:jc w:val="left"/>
              <w:rPr/>
            </w:pPr>
            <w:r>
              <w:rPr/>
              <w:t> </w:t>
            </w:r>
          </w:p>
        </w:tc>
      </w:tr>
      <w:tr>
        <w:trPr/>
        <w:tc>
          <w:tcPr>
            <w:tcW w:w="5900" w:type="dxa"/>
            <w:tcBorders/>
            <w:shd w:fill="auto" w:val="clear"/>
            <w:vAlign w:val="center"/>
          </w:tcPr>
          <w:p>
            <w:pPr>
              <w:pStyle w:val="TableContents"/>
              <w:spacing w:before="0" w:after="283"/>
              <w:jc w:val="left"/>
              <w:rPr/>
            </w:pPr>
            <w:r>
              <w:rPr/>
              <w:t>Incentive fees</w:t>
            </w:r>
          </w:p>
        </w:tc>
        <w:tc>
          <w:tcPr>
            <w:tcW w:w="60" w:type="dxa"/>
            <w:tcBorders/>
            <w:shd w:fill="auto" w:val="clear"/>
            <w:vAlign w:val="center"/>
          </w:tcPr>
          <w:p>
            <w:pPr>
              <w:pStyle w:val="TableContents"/>
              <w:spacing w:before="0" w:after="283"/>
              <w:rPr/>
            </w:pPr>
            <w:r>
              <w:rPr/>
              <w:t> </w:t>
            </w:r>
          </w:p>
        </w:tc>
        <w:tc>
          <w:tcPr>
            <w:tcW w:w="16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86" w:type="dxa"/>
            <w:tcBorders>
              <w:bottom w:val="single" w:sz="12" w:space="0" w:color="000000"/>
            </w:tcBorders>
            <w:shd w:fill="auto" w:val="clear"/>
            <w:tcMar>
              <w:bottom w:w="28" w:type="dxa"/>
            </w:tcMar>
            <w:vAlign w:val="center"/>
          </w:tcPr>
          <w:p>
            <w:pPr>
              <w:pStyle w:val="TableContents"/>
              <w:spacing w:before="0" w:after="283"/>
              <w:jc w:val="right"/>
              <w:rPr/>
            </w:pPr>
            <w:r>
              <w:rPr/>
              <w:t>1,111,206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86" w:type="dxa"/>
            <w:tcBorders>
              <w:bottom w:val="single" w:sz="12" w:space="0" w:color="000000"/>
            </w:tcBorders>
            <w:shd w:fill="auto" w:val="clear"/>
            <w:tcMar>
              <w:bottom w:w="28" w:type="dxa"/>
            </w:tcMar>
            <w:vAlign w:val="center"/>
          </w:tcPr>
          <w:p>
            <w:pPr>
              <w:pStyle w:val="TableContents"/>
              <w:spacing w:before="0" w:after="283"/>
              <w:jc w:val="right"/>
              <w:rPr/>
            </w:pPr>
            <w:r>
              <w:rPr/>
              <w:t>382,143</w:t>
            </w:r>
          </w:p>
        </w:tc>
        <w:tc>
          <w:tcPr>
            <w:tcW w:w="110" w:type="dxa"/>
            <w:tcBorders/>
            <w:shd w:fill="auto" w:val="clear"/>
            <w:vAlign w:val="center"/>
          </w:tcPr>
          <w:p>
            <w:pPr>
              <w:pStyle w:val="TableContents"/>
              <w:spacing w:before="0" w:after="283"/>
              <w:jc w:val="left"/>
              <w:rPr/>
            </w:pPr>
            <w:r>
              <w:rPr/>
              <w:t> </w:t>
            </w:r>
          </w:p>
        </w:tc>
      </w:tr>
      <w:tr>
        <w:trPr/>
        <w:tc>
          <w:tcPr>
            <w:tcW w:w="5900" w:type="dxa"/>
            <w:tcBorders/>
            <w:shd w:fill="CCEEFF" w:val="clear"/>
            <w:vAlign w:val="center"/>
          </w:tcPr>
          <w:p>
            <w:pPr>
              <w:pStyle w:val="TableContents"/>
              <w:spacing w:before="0" w:after="283"/>
              <w:jc w:val="left"/>
              <w:rPr/>
            </w:pPr>
            <w:r>
              <w:rPr/>
              <w:t>Total management and incentive fees earned</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 </w:t>
            </w:r>
          </w:p>
        </w:tc>
        <w:tc>
          <w:tcPr>
            <w:tcW w:w="1186" w:type="dxa"/>
            <w:tcBorders/>
            <w:shd w:fill="CCEEFF" w:val="clear"/>
            <w:vAlign w:val="center"/>
          </w:tcPr>
          <w:p>
            <w:pPr>
              <w:pStyle w:val="TableContents"/>
              <w:spacing w:before="0" w:after="283"/>
              <w:jc w:val="right"/>
              <w:rPr/>
            </w:pPr>
            <w:r>
              <w:rPr/>
              <w:t>2,138,005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 </w:t>
            </w:r>
          </w:p>
        </w:tc>
        <w:tc>
          <w:tcPr>
            <w:tcW w:w="1186" w:type="dxa"/>
            <w:tcBorders/>
            <w:shd w:fill="CCEEFF" w:val="clear"/>
            <w:vAlign w:val="center"/>
          </w:tcPr>
          <w:p>
            <w:pPr>
              <w:pStyle w:val="TableContents"/>
              <w:spacing w:before="0" w:after="283"/>
              <w:jc w:val="right"/>
              <w:rPr/>
            </w:pPr>
            <w:r>
              <w:rPr/>
              <w:t>671,505</w:t>
            </w:r>
          </w:p>
        </w:tc>
        <w:tc>
          <w:tcPr>
            <w:tcW w:w="110" w:type="dxa"/>
            <w:tcBorders/>
            <w:shd w:fill="CCEEFF" w:val="clear"/>
            <w:vAlign w:val="center"/>
          </w:tcPr>
          <w:p>
            <w:pPr>
              <w:pStyle w:val="TableContents"/>
              <w:spacing w:before="0" w:after="283"/>
              <w:jc w:val="left"/>
              <w:rPr/>
            </w:pPr>
            <w:r>
              <w:rPr/>
              <w:t> </w:t>
            </w:r>
          </w:p>
        </w:tc>
      </w:tr>
      <w:tr>
        <w:trPr/>
        <w:tc>
          <w:tcPr>
            <w:tcW w:w="5900" w:type="dxa"/>
            <w:tcBorders/>
            <w:shd w:fill="auto" w:val="clear"/>
            <w:vAlign w:val="center"/>
          </w:tcPr>
          <w:p>
            <w:pPr>
              <w:pStyle w:val="TableContents"/>
              <w:spacing w:before="0" w:after="283"/>
              <w:jc w:val="left"/>
              <w:rPr/>
            </w:pPr>
            <w:r>
              <w:rPr/>
              <w:t>General and administrative expenses reimbursable to Manager</w:t>
            </w:r>
          </w:p>
        </w:tc>
        <w:tc>
          <w:tcPr>
            <w:tcW w:w="60" w:type="dxa"/>
            <w:tcBorders/>
            <w:shd w:fill="auto" w:val="clear"/>
            <w:vAlign w:val="center"/>
          </w:tcPr>
          <w:p>
            <w:pPr>
              <w:pStyle w:val="TableContents"/>
              <w:spacing w:before="0" w:after="283"/>
              <w:rPr/>
            </w:pPr>
            <w:r>
              <w:rPr/>
              <w:t> </w:t>
            </w:r>
          </w:p>
        </w:tc>
        <w:tc>
          <w:tcPr>
            <w:tcW w:w="16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86" w:type="dxa"/>
            <w:tcBorders>
              <w:bottom w:val="single" w:sz="12" w:space="0" w:color="000000"/>
            </w:tcBorders>
            <w:shd w:fill="auto" w:val="clear"/>
            <w:tcMar>
              <w:bottom w:w="28" w:type="dxa"/>
            </w:tcMar>
            <w:vAlign w:val="center"/>
          </w:tcPr>
          <w:p>
            <w:pPr>
              <w:pStyle w:val="TableContents"/>
              <w:spacing w:before="0" w:after="283"/>
              <w:jc w:val="right"/>
              <w:rPr/>
            </w:pPr>
            <w:r>
              <w:rPr/>
              <w:t>1,176,376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86" w:type="dxa"/>
            <w:tcBorders>
              <w:bottom w:val="single" w:sz="12" w:space="0" w:color="000000"/>
            </w:tcBorders>
            <w:shd w:fill="auto" w:val="clear"/>
            <w:tcMar>
              <w:bottom w:w="28" w:type="dxa"/>
            </w:tcMar>
            <w:vAlign w:val="center"/>
          </w:tcPr>
          <w:p>
            <w:pPr>
              <w:pStyle w:val="TableContents"/>
              <w:spacing w:before="0" w:after="283"/>
              <w:jc w:val="right"/>
              <w:rPr/>
            </w:pPr>
            <w:r>
              <w:rPr/>
              <w:t>411,521</w:t>
            </w:r>
          </w:p>
        </w:tc>
        <w:tc>
          <w:tcPr>
            <w:tcW w:w="110" w:type="dxa"/>
            <w:tcBorders/>
            <w:shd w:fill="auto" w:val="clear"/>
            <w:vAlign w:val="center"/>
          </w:tcPr>
          <w:p>
            <w:pPr>
              <w:pStyle w:val="TableContents"/>
              <w:spacing w:before="0" w:after="283"/>
              <w:jc w:val="left"/>
              <w:rPr/>
            </w:pPr>
            <w:r>
              <w:rPr/>
              <w:t> </w:t>
            </w:r>
          </w:p>
        </w:tc>
      </w:tr>
      <w:tr>
        <w:trPr/>
        <w:tc>
          <w:tcPr>
            <w:tcW w:w="5900" w:type="dxa"/>
            <w:tcBorders/>
            <w:shd w:fill="CCEEFF" w:val="clear"/>
            <w:vAlign w:val="center"/>
          </w:tcPr>
          <w:p>
            <w:pPr>
              <w:pStyle w:val="TableContents"/>
              <w:spacing w:before="0" w:after="283"/>
              <w:rPr>
                <w:b/>
              </w:rPr>
            </w:pPr>
            <w:r>
              <w:rPr>
                <w:b/>
              </w:rPr>
              <w:t>Total</w:t>
            </w:r>
          </w:p>
        </w:tc>
        <w:tc>
          <w:tcPr>
            <w:tcW w:w="60" w:type="dxa"/>
            <w:tcBorders/>
            <w:shd w:fill="CCEEFF" w:val="clear"/>
            <w:vAlign w:val="center"/>
          </w:tcPr>
          <w:p>
            <w:pPr>
              <w:pStyle w:val="TableContents"/>
              <w:spacing w:before="0" w:after="283"/>
              <w:rPr/>
            </w:pPr>
            <w:r>
              <w:rPr/>
              <w:t> </w:t>
            </w:r>
          </w:p>
        </w:tc>
        <w:tc>
          <w:tcPr>
            <w:tcW w:w="169"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86" w:type="dxa"/>
            <w:tcBorders>
              <w:bottom w:val="double" w:sz="10" w:space="0" w:color="000000"/>
            </w:tcBorders>
            <w:shd w:fill="CCEEFF" w:val="clear"/>
            <w:tcMar>
              <w:bottom w:w="28" w:type="dxa"/>
            </w:tcMar>
            <w:vAlign w:val="center"/>
          </w:tcPr>
          <w:p>
            <w:pPr>
              <w:pStyle w:val="TableContents"/>
              <w:spacing w:before="0" w:after="283"/>
              <w:jc w:val="right"/>
              <w:rPr/>
            </w:pPr>
            <w:r>
              <w:rPr/>
              <w:t>3,314,381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9"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186" w:type="dxa"/>
            <w:tcBorders>
              <w:bottom w:val="double" w:sz="10" w:space="0" w:color="000000"/>
            </w:tcBorders>
            <w:shd w:fill="CCEEFF" w:val="clear"/>
            <w:tcMar>
              <w:bottom w:w="28" w:type="dxa"/>
            </w:tcMar>
            <w:vAlign w:val="center"/>
          </w:tcPr>
          <w:p>
            <w:pPr>
              <w:pStyle w:val="TableContents"/>
              <w:spacing w:before="0" w:after="283"/>
              <w:jc w:val="right"/>
              <w:rPr/>
            </w:pPr>
            <w:r>
              <w:rPr/>
              <w:t>1,083,026</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720" w:right="0" w:firstLine="144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administrative expenses reimbursable to the Manager are included in the related party payable line item of the consolidated balance sheets as of March 31, 2023 and December 31, 2022. Amounts payable to the Manager as of March 31, 2023 and December 31, 2022 were approximately $3.4 million and $4.7 million, respectively, which included bonuses accrued which are not reimbursed to the Manager until paid.</w:t>
      </w:r>
    </w:p>
    <w:p>
      <w:pPr>
        <w:pStyle w:val="TextBody"/>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Co-Investment in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March 31, 2023 and December 31, 2022, 18 and 15 of the Company’s loans were co-invested by affiliates of the Company,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investments in loans, the Company may receive the option to assign the right (the “Assigned Right”) to acquire warrants and/or equity of the borrower. The Company may sell the Assigned Right, and the sale may be to an affiliate of the Company. The proceeds from the sale of Assigned Rights are accounted for as additional original issue discount and accreted over the life of the related loans. During the three months ended March 31, 2022, the Company neither received nor sold any Assigned Right. </w:t>
      </w:r>
    </w:p>
    <w:p>
      <w:pPr>
        <w:pStyle w:val="TextBody"/>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the Company sold a senior secured loan to a syndicate of co-lenders, including a third party and two affiliates under common control with our Manager. The selling price of approximately $13.7 million was approved by the audit committee of the Board. The fair value approximated the carrying value of the loan plus accrued and unpaid interest through March 31, 2023. In addition, the Company purchased and subsequently sold a senior secured loan from an affiliate under common control with our Manager. The purchase and selling price of approximately $19.0 million was approved by the audit committee of the Board. The fair value approximated the carrying value of the loan plus accrued and unpaid interest through March 30,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COMMITMENTS AND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March 31, 2023 and December 31, 2022, the Company had the following unfunded commitments on existing loans.</w:t>
      </w:r>
    </w:p>
    <w:p>
      <w:pPr>
        <w:pStyle w:val="TextBody"/>
        <w:spacing w:before="0" w:after="0"/>
        <w:ind w:left="0" w:right="0" w:hanging="0"/>
        <w:jc w:val="center"/>
        <w:rPr>
          <w:caps w:val="false"/>
          <w:smallCaps w:val="false"/>
        </w:rPr>
      </w:pPr>
      <w:r>
        <w:rPr>
          <w:caps w:val="false"/>
          <w:smallCaps w:val="false"/>
        </w:rPr>
        <w:t> </w:t>
      </w:r>
    </w:p>
    <w:tbl>
      <w:tblPr>
        <w:tblW w:w="5660" w:type="dxa"/>
        <w:jc w:val="left"/>
        <w:tblInd w:w="0" w:type="dxa"/>
        <w:tblCellMar>
          <w:top w:w="0" w:type="dxa"/>
          <w:left w:w="0" w:type="dxa"/>
          <w:bottom w:w="0" w:type="dxa"/>
          <w:right w:w="0" w:type="dxa"/>
        </w:tblCellMar>
      </w:tblPr>
      <w:tblGrid>
        <w:gridCol w:w="2705"/>
        <w:gridCol w:w="60"/>
        <w:gridCol w:w="125"/>
        <w:gridCol w:w="1115"/>
        <w:gridCol w:w="80"/>
        <w:gridCol w:w="60"/>
        <w:gridCol w:w="125"/>
        <w:gridCol w:w="1115"/>
        <w:gridCol w:w="275"/>
      </w:tblGrid>
      <w:tr>
        <w:trPr/>
        <w:tc>
          <w:tcPr>
            <w:tcW w:w="2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March 31,</w:t>
              <w:br/>
              <w:t>2023</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 xml:space="preserve">December 31, </w:t>
              <w:br/>
              <w:t>2022</w:t>
            </w:r>
          </w:p>
        </w:tc>
        <w:tc>
          <w:tcPr>
            <w:tcW w:w="2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center"/>
              <w:rPr/>
            </w:pPr>
            <w:r>
              <w:rPr/>
              <w:t> </w:t>
            </w:r>
          </w:p>
        </w:tc>
        <w:tc>
          <w:tcPr>
            <w:tcW w:w="275" w:type="dxa"/>
            <w:tcBorders/>
            <w:shd w:fill="auto" w:val="clear"/>
            <w:vAlign w:val="center"/>
          </w:tcPr>
          <w:p>
            <w:pPr>
              <w:pStyle w:val="TableContents"/>
              <w:spacing w:before="0" w:after="283"/>
              <w:rPr/>
            </w:pPr>
            <w:r>
              <w:rPr/>
              <w:t> </w:t>
            </w:r>
          </w:p>
        </w:tc>
      </w:tr>
      <w:tr>
        <w:trPr/>
        <w:tc>
          <w:tcPr>
            <w:tcW w:w="2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original loan commitments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327,954,423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351,367,706</w:t>
            </w:r>
          </w:p>
        </w:tc>
        <w:tc>
          <w:tcPr>
            <w:tcW w:w="275" w:type="dxa"/>
            <w:tcBorders/>
            <w:shd w:fill="CCEEFF" w:val="clear"/>
            <w:vAlign w:val="center"/>
          </w:tcPr>
          <w:p>
            <w:pPr>
              <w:pStyle w:val="TableContents"/>
              <w:spacing w:before="0" w:after="283"/>
              <w:ind w:left="0" w:right="0" w:firstLine="200"/>
              <w:jc w:val="left"/>
              <w:rPr>
                <w:caps w:val="false"/>
                <w:smallCaps w:val="false"/>
              </w:rPr>
            </w:pPr>
            <w:r>
              <w:rPr>
                <w:caps w:val="false"/>
                <w:smallCaps w:val="false"/>
              </w:rPr>
              <w:t> </w:t>
            </w:r>
          </w:p>
        </w:tc>
      </w:tr>
      <w:tr>
        <w:trPr/>
        <w:tc>
          <w:tcPr>
            <w:tcW w:w="270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drawn commitments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(313,720,423</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1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(336,323,706</w:t>
            </w:r>
          </w:p>
        </w:tc>
        <w:tc>
          <w:tcPr>
            <w:tcW w:w="27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undrawn commitments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14,234,000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15,044,000</w:t>
            </w:r>
          </w:p>
        </w:tc>
        <w:tc>
          <w:tcPr>
            <w:tcW w:w="2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 – Loans Held for Investment, Net” for further information regarding the CECL Reserve attributed to unfunded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material commitments as of March 31, 2023:</w:t>
      </w:r>
    </w:p>
    <w:p>
      <w:pPr>
        <w:pStyle w:val="TextBody"/>
        <w:spacing w:before="0" w:after="0"/>
        <w:ind w:left="0" w:right="0" w:hanging="0"/>
        <w:rPr>
          <w:caps w:val="false"/>
          <w:smallCaps w:val="false"/>
        </w:rPr>
      </w:pPr>
      <w:r>
        <w:rPr>
          <w:caps w:val="false"/>
          <w:smallCaps w:val="false"/>
        </w:rPr>
        <w:t> </w:t>
      </w:r>
    </w:p>
    <w:tbl>
      <w:tblPr>
        <w:tblW w:w="9175" w:type="dxa"/>
        <w:jc w:val="left"/>
        <w:tblInd w:w="0" w:type="dxa"/>
        <w:tblCellMar>
          <w:top w:w="0" w:type="dxa"/>
          <w:left w:w="0" w:type="dxa"/>
          <w:bottom w:w="28" w:type="dxa"/>
          <w:right w:w="0" w:type="dxa"/>
        </w:tblCellMar>
      </w:tblPr>
      <w:tblGrid>
        <w:gridCol w:w="1910"/>
        <w:gridCol w:w="60"/>
        <w:gridCol w:w="125"/>
        <w:gridCol w:w="950"/>
        <w:gridCol w:w="60"/>
        <w:gridCol w:w="60"/>
        <w:gridCol w:w="125"/>
        <w:gridCol w:w="845"/>
        <w:gridCol w:w="60"/>
        <w:gridCol w:w="60"/>
        <w:gridCol w:w="125"/>
        <w:gridCol w:w="950"/>
        <w:gridCol w:w="60"/>
        <w:gridCol w:w="60"/>
        <w:gridCol w:w="125"/>
        <w:gridCol w:w="695"/>
        <w:gridCol w:w="60"/>
        <w:gridCol w:w="60"/>
        <w:gridCol w:w="125"/>
        <w:gridCol w:w="845"/>
        <w:gridCol w:w="60"/>
        <w:gridCol w:w="60"/>
        <w:gridCol w:w="125"/>
        <w:gridCol w:w="440"/>
        <w:gridCol w:w="60"/>
        <w:gridCol w:w="60"/>
        <w:gridCol w:w="206"/>
        <w:gridCol w:w="729"/>
        <w:gridCol w:w="75"/>
      </w:tblGrid>
      <w:tr>
        <w:trPr/>
        <w:tc>
          <w:tcPr>
            <w:tcW w:w="9175" w:type="dxa"/>
            <w:gridSpan w:val="29"/>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due by period</w:t>
            </w:r>
          </w:p>
        </w:tc>
      </w:tr>
      <w:tr>
        <w:trPr/>
        <w:tc>
          <w:tcPr>
            <w:tcW w:w="1910" w:type="dxa"/>
            <w:tcBorders/>
            <w:shd w:fill="auto" w:val="clear"/>
            <w:tcMar>
              <w:bottom w:w="0" w:type="dxa"/>
            </w:tcMar>
            <w:vAlign w:val="center"/>
          </w:tcPr>
          <w:p>
            <w:pPr>
              <w:pStyle w:val="TableContents"/>
              <w:spacing w:before="0" w:after="283"/>
              <w:jc w:val="center"/>
              <w:rPr/>
            </w:pPr>
            <w:r>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7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7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2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7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56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2027</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93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Thereafter</w:t>
            </w:r>
          </w:p>
        </w:tc>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191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Undrawn commitments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14,234,000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tcMar>
              <w:bottom w:w="0" w:type="dxa"/>
            </w:tcMar>
            <w:vAlign w:val="center"/>
          </w:tcPr>
          <w:p>
            <w:pPr>
              <w:pStyle w:val="TableContents"/>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CCEEFF" w:val="clear"/>
            <w:tcMar>
              <w:bottom w:w="0" w:type="dxa"/>
            </w:tcMar>
            <w:vAlign w:val="center"/>
          </w:tcPr>
          <w:p>
            <w:pPr>
              <w:pStyle w:val="TableContents"/>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91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Revolving loan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37,500,000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440"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06"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729"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910" w:type="dxa"/>
            <w:tcBorders/>
            <w:shd w:fill="CCEEFF"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51,734,000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bottom w:val="double" w:sz="10" w:space="0" w:color="000000"/>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06" w:type="dxa"/>
            <w:tcBorders>
              <w:bottom w:val="double" w:sz="10" w:space="0" w:color="000000"/>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bottom w:val="double" w:sz="10" w:space="0" w:color="000000"/>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from time to time may be a party to litigation in the normal course of business. As of March 31, 2023, the Company is not aware of any legal claims that could materially impact its business, financial condition, or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STOCKHOLDERS’ EQUITY</w:t>
      </w:r>
    </w:p>
    <w:p>
      <w:pPr>
        <w:pStyle w:val="TextBody"/>
        <w:spacing w:before="0" w:after="0"/>
        <w:ind w:left="36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2022, the underwriters of the Company’s initial public offering (the “IPO”) partially exercised their over-allotment option to purchase 302,800 shares of the Company’s common stock at a price of $16.00 per share, raising $4,844,800 in additional gross proceeds or $4,505,664 in net proceeds after underwriting commissions of $339,136, which is reflected as a reduction of additional paid-in capital on the consolidated statements of stockholders’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2023, the Company completed a registered direct offering of 395,779 shares of common stock at a price of $15.16 per share, raising net proceeds of approximately $6.0 million. The Company sold shares of common stock directly, without the use of underwriters or placement agents, to institutional investors registered pursuant to its effective shelf registration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an equity incentive compensation plan (the “2021 Plan”). The Board authorized the adoption of the 2021 Plan and the Compensation Committee of the Board approved restricted stock award grants of 98,440 shares of common stock during the quarter ended December 31, 2021. The Compensation Committee appointed by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 On December 31, 2022, restricted stock award grants of 24,880 shares of common stock were granted to members of the Board with a vesting period of three years. Pursuant to each respective award agreement, restricted stock awards (“RSA’s”) generally vest either quarterly or annually over a one to three year period beginning on the first anniversary of the date of the grant.  Upon vesting, the vested restricted stock awards are exchanged for an equal number of the Company’s common stock.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December 31, 2022,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 There were 417 and 3,750 shares forfeited during the three months ended March 31, 2023 and 2022, respectively. There is no forfeiture rate applied to awards or options granted to non-employee directors or executive employees because their pre-vesting forfeitures are anticipated to be highly unlikely. As individual awards and options become fully vested, stock-based compensation expense is adjusted to recognize actual forfeitures.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closing market price of our common stock on March 31, 2023, the aggregate intrinsic value of our restricted stock awards was as follows:</w:t>
      </w:r>
    </w:p>
    <w:p>
      <w:pPr>
        <w:pStyle w:val="TextBody"/>
        <w:spacing w:before="0" w:after="0"/>
        <w:ind w:left="0" w:right="0" w:hanging="0"/>
        <w:rPr>
          <w:caps w:val="false"/>
          <w:smallCaps w:val="false"/>
        </w:rPr>
      </w:pPr>
      <w:r>
        <w:rPr>
          <w:caps w:val="false"/>
          <w:smallCaps w:val="false"/>
        </w:rPr>
        <w:t> </w:t>
      </w:r>
    </w:p>
    <w:tbl>
      <w:tblPr>
        <w:tblW w:w="4310" w:type="dxa"/>
        <w:jc w:val="left"/>
        <w:tblInd w:w="0" w:type="dxa"/>
        <w:tblCellMar>
          <w:top w:w="0" w:type="dxa"/>
          <w:left w:w="0" w:type="dxa"/>
          <w:bottom w:w="0" w:type="dxa"/>
          <w:right w:w="0" w:type="dxa"/>
        </w:tblCellMar>
      </w:tblPr>
      <w:tblGrid>
        <w:gridCol w:w="2180"/>
        <w:gridCol w:w="60"/>
        <w:gridCol w:w="160"/>
        <w:gridCol w:w="895"/>
        <w:gridCol w:w="60"/>
        <w:gridCol w:w="60"/>
        <w:gridCol w:w="125"/>
        <w:gridCol w:w="695"/>
        <w:gridCol w:w="75"/>
      </w:tblGrid>
      <w:tr>
        <w:trPr/>
        <w:tc>
          <w:tcPr>
            <w:tcW w:w="2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95"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w:t>
              <w:br/>
              <w:t>2023</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5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Vested</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18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intrinsic value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994,539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472,728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restricted stock activity for the Company’s directors and officers and employees of the Manager during the three months ended March 31, 2023 and 2022.</w:t>
      </w:r>
    </w:p>
    <w:p>
      <w:pPr>
        <w:pStyle w:val="TextBody"/>
        <w:spacing w:before="0" w:after="0"/>
        <w:ind w:left="0" w:right="0" w:hanging="0"/>
        <w:rPr>
          <w:caps w:val="false"/>
          <w:smallCaps w:val="false"/>
        </w:rPr>
      </w:pPr>
      <w:r>
        <w:rPr>
          <w:caps w:val="false"/>
          <w:smallCaps w:val="false"/>
        </w:rPr>
        <w:t> </w:t>
      </w:r>
    </w:p>
    <w:tbl>
      <w:tblPr>
        <w:tblW w:w="8149" w:type="dxa"/>
        <w:jc w:val="left"/>
        <w:tblInd w:w="0" w:type="dxa"/>
        <w:tblCellMar>
          <w:top w:w="0" w:type="dxa"/>
          <w:left w:w="0" w:type="dxa"/>
          <w:bottom w:w="0" w:type="dxa"/>
          <w:right w:w="0" w:type="dxa"/>
        </w:tblCellMar>
      </w:tblPr>
      <w:tblGrid>
        <w:gridCol w:w="2960"/>
        <w:gridCol w:w="60"/>
        <w:gridCol w:w="121"/>
        <w:gridCol w:w="1383"/>
        <w:gridCol w:w="95"/>
        <w:gridCol w:w="60"/>
        <w:gridCol w:w="679"/>
        <w:gridCol w:w="2716"/>
        <w:gridCol w:w="75"/>
      </w:tblGrid>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Three months </w:t>
              <w:br/>
              <w:t xml:space="preserve">ended </w:t>
              <w:br/>
              <w:t>March 31,</w:t>
              <w:b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Grant Date Fair Value per Share</w:t>
            </w:r>
          </w:p>
        </w:tc>
        <w:tc>
          <w:tcPr>
            <w:tcW w:w="75"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283"/>
              <w:rPr/>
            </w:pPr>
            <w:r>
              <w:rPr/>
              <w:t>Balance at December 31, 2022</w:t>
            </w:r>
          </w:p>
        </w:tc>
        <w:tc>
          <w:tcPr>
            <w:tcW w:w="60" w:type="dxa"/>
            <w:tcBorders/>
            <w:shd w:fill="CCEEFF" w:val="clear"/>
            <w:vAlign w:val="center"/>
          </w:tcPr>
          <w:p>
            <w:pPr>
              <w:pStyle w:val="TableContents"/>
              <w:spacing w:before="0" w:after="283"/>
              <w:rPr/>
            </w:pPr>
            <w:r>
              <w:rPr/>
              <w:t> </w:t>
            </w:r>
          </w:p>
        </w:tc>
        <w:tc>
          <w:tcPr>
            <w:tcW w:w="121" w:type="dxa"/>
            <w:tcBorders/>
            <w:shd w:fill="CCEEFF" w:val="clear"/>
            <w:vAlign w:val="center"/>
          </w:tcPr>
          <w:p>
            <w:pPr>
              <w:pStyle w:val="TableContents"/>
              <w:spacing w:before="0" w:after="283"/>
              <w:jc w:val="left"/>
              <w:rPr/>
            </w:pPr>
            <w:r>
              <w:rPr/>
              <w:t> </w:t>
            </w:r>
          </w:p>
        </w:tc>
        <w:tc>
          <w:tcPr>
            <w:tcW w:w="1383" w:type="dxa"/>
            <w:tcBorders/>
            <w:shd w:fill="CCEEFF" w:val="clear"/>
            <w:vAlign w:val="center"/>
          </w:tcPr>
          <w:p>
            <w:pPr>
              <w:pStyle w:val="TableContents"/>
              <w:spacing w:before="0" w:after="283"/>
              <w:jc w:val="right"/>
              <w:rPr/>
            </w:pPr>
            <w:r>
              <w:rPr/>
              <w:t>80,984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9" w:type="dxa"/>
            <w:tcBorders/>
            <w:shd w:fill="CCEEFF" w:val="clear"/>
            <w:vAlign w:val="center"/>
          </w:tcPr>
          <w:p>
            <w:pPr>
              <w:pStyle w:val="TableContents"/>
              <w:spacing w:before="0" w:after="283"/>
              <w:jc w:val="left"/>
              <w:rPr/>
            </w:pPr>
            <w:r>
              <w:rPr/>
              <w:t>$</w:t>
            </w:r>
          </w:p>
        </w:tc>
        <w:tc>
          <w:tcPr>
            <w:tcW w:w="2716" w:type="dxa"/>
            <w:tcBorders/>
            <w:shd w:fill="CCEEFF" w:val="clear"/>
            <w:vAlign w:val="center"/>
          </w:tcPr>
          <w:p>
            <w:pPr>
              <w:pStyle w:val="TableContents"/>
              <w:spacing w:before="0" w:after="283"/>
              <w:jc w:val="right"/>
              <w:rPr/>
            </w:pPr>
            <w:r>
              <w:rPr/>
              <w:t>15.71</w:t>
            </w:r>
          </w:p>
        </w:tc>
        <w:tc>
          <w:tcPr>
            <w:tcW w:w="75" w:type="dxa"/>
            <w:tcBorders/>
            <w:shd w:fill="CCEEFF" w:val="clear"/>
            <w:vAlign w:val="center"/>
          </w:tcPr>
          <w:p>
            <w:pPr>
              <w:pStyle w:val="TableContents"/>
              <w:spacing w:before="0" w:after="283"/>
              <w:jc w:val="left"/>
              <w:rPr/>
            </w:pPr>
            <w:r>
              <w:rPr/>
              <w:t> </w:t>
            </w:r>
          </w:p>
        </w:tc>
      </w:tr>
      <w:tr>
        <w:trPr/>
        <w:tc>
          <w:tcPr>
            <w:tcW w:w="2960" w:type="dxa"/>
            <w:tcBorders/>
            <w:shd w:fill="auto" w:val="clear"/>
            <w:vAlign w:val="center"/>
          </w:tcPr>
          <w:p>
            <w:pPr>
              <w:pStyle w:val="TableContents"/>
              <w:spacing w:before="0" w:after="283"/>
              <w:rPr/>
            </w:pPr>
            <w:r>
              <w:rPr/>
              <w:t>Vested</w:t>
            </w:r>
          </w:p>
        </w:tc>
        <w:tc>
          <w:tcPr>
            <w:tcW w:w="60" w:type="dxa"/>
            <w:tcBorders/>
            <w:shd w:fill="auto" w:val="clear"/>
            <w:vAlign w:val="center"/>
          </w:tcPr>
          <w:p>
            <w:pPr>
              <w:pStyle w:val="TableContents"/>
              <w:spacing w:before="0" w:after="283"/>
              <w:rPr/>
            </w:pPr>
            <w:r>
              <w:rPr/>
              <w:t> </w:t>
            </w:r>
          </w:p>
        </w:tc>
        <w:tc>
          <w:tcPr>
            <w:tcW w:w="121" w:type="dxa"/>
            <w:tcBorders/>
            <w:shd w:fill="auto" w:val="clear"/>
            <w:vAlign w:val="center"/>
          </w:tcPr>
          <w:p>
            <w:pPr>
              <w:pStyle w:val="TableContents"/>
              <w:spacing w:before="0" w:after="283"/>
              <w:jc w:val="left"/>
              <w:rPr/>
            </w:pPr>
            <w:r>
              <w:rPr/>
              <w:t> </w:t>
            </w:r>
          </w:p>
        </w:tc>
        <w:tc>
          <w:tcPr>
            <w:tcW w:w="1383" w:type="dxa"/>
            <w:tcBorders/>
            <w:shd w:fill="auto" w:val="clear"/>
            <w:vAlign w:val="center"/>
          </w:tcPr>
          <w:p>
            <w:pPr>
              <w:pStyle w:val="TableContents"/>
              <w:spacing w:before="0" w:after="283"/>
              <w:jc w:val="right"/>
              <w:rPr/>
            </w:pPr>
            <w:r>
              <w:rPr/>
              <w:t>(6,952</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9" w:type="dxa"/>
            <w:tcBorders/>
            <w:shd w:fill="auto" w:val="clear"/>
            <w:vAlign w:val="center"/>
          </w:tcPr>
          <w:p>
            <w:pPr>
              <w:pStyle w:val="TableContents"/>
              <w:spacing w:before="0" w:after="283"/>
              <w:jc w:val="left"/>
              <w:rPr/>
            </w:pPr>
            <w:r>
              <w:rPr/>
              <w:t>$</w:t>
            </w:r>
          </w:p>
        </w:tc>
        <w:tc>
          <w:tcPr>
            <w:tcW w:w="2716" w:type="dxa"/>
            <w:tcBorders/>
            <w:shd w:fill="auto" w:val="clear"/>
            <w:vAlign w:val="center"/>
          </w:tcPr>
          <w:p>
            <w:pPr>
              <w:pStyle w:val="TableContents"/>
              <w:spacing w:before="0" w:after="283"/>
              <w:jc w:val="right"/>
              <w:rPr/>
            </w:pPr>
            <w:r>
              <w:rPr/>
              <w:t>16.00</w:t>
            </w:r>
          </w:p>
        </w:tc>
        <w:tc>
          <w:tcPr>
            <w:tcW w:w="75" w:type="dxa"/>
            <w:tcBorders/>
            <w:shd w:fill="auto" w:val="clear"/>
            <w:vAlign w:val="center"/>
          </w:tcPr>
          <w:p>
            <w:pPr>
              <w:pStyle w:val="TableContents"/>
              <w:spacing w:before="0" w:after="283"/>
              <w:jc w:val="left"/>
              <w:rPr/>
            </w:pPr>
            <w:r>
              <w:rPr/>
              <w:t> </w:t>
            </w:r>
          </w:p>
        </w:tc>
      </w:tr>
      <w:tr>
        <w:trPr/>
        <w:tc>
          <w:tcPr>
            <w:tcW w:w="2960" w:type="dxa"/>
            <w:tcBorders/>
            <w:shd w:fill="CCEEFF" w:val="clear"/>
            <w:vAlign w:val="center"/>
          </w:tcPr>
          <w:p>
            <w:pPr>
              <w:pStyle w:val="TableContents"/>
              <w:spacing w:before="0" w:after="283"/>
              <w:rPr/>
            </w:pPr>
            <w:r>
              <w:rPr/>
              <w:t>Forfeited</w:t>
            </w:r>
          </w:p>
        </w:tc>
        <w:tc>
          <w:tcPr>
            <w:tcW w:w="60" w:type="dxa"/>
            <w:tcBorders/>
            <w:shd w:fill="CCEEFF" w:val="clear"/>
            <w:vAlign w:val="center"/>
          </w:tcPr>
          <w:p>
            <w:pPr>
              <w:pStyle w:val="TableContents"/>
              <w:spacing w:before="0" w:after="283"/>
              <w:rPr/>
            </w:pPr>
            <w:r>
              <w:rPr/>
              <w:t> </w:t>
            </w:r>
          </w:p>
        </w:tc>
        <w:tc>
          <w:tcPr>
            <w:tcW w:w="12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383" w:type="dxa"/>
            <w:tcBorders>
              <w:bottom w:val="single" w:sz="12" w:space="0" w:color="000000"/>
            </w:tcBorders>
            <w:shd w:fill="CCEEFF" w:val="clear"/>
            <w:tcMar>
              <w:bottom w:w="28" w:type="dxa"/>
            </w:tcMar>
            <w:vAlign w:val="center"/>
          </w:tcPr>
          <w:p>
            <w:pPr>
              <w:pStyle w:val="TableContents"/>
              <w:spacing w:before="0" w:after="283"/>
              <w:jc w:val="right"/>
              <w:rPr/>
            </w:pPr>
            <w:r>
              <w:rPr/>
              <w:t>(417</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79"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2716" w:type="dxa"/>
            <w:tcBorders>
              <w:bottom w:val="single" w:sz="12" w:space="0" w:color="000000"/>
            </w:tcBorders>
            <w:shd w:fill="CCEEFF" w:val="clear"/>
            <w:tcMar>
              <w:bottom w:w="28" w:type="dxa"/>
            </w:tcMar>
            <w:vAlign w:val="center"/>
          </w:tcPr>
          <w:p>
            <w:pPr>
              <w:pStyle w:val="TableContents"/>
              <w:spacing w:before="0" w:after="283"/>
              <w:jc w:val="right"/>
              <w:rPr/>
            </w:pPr>
            <w:r>
              <w:rPr/>
              <w:t>16.00</w:t>
            </w:r>
          </w:p>
        </w:tc>
        <w:tc>
          <w:tcPr>
            <w:tcW w:w="75" w:type="dxa"/>
            <w:tcBorders/>
            <w:shd w:fill="CCEEFF" w:val="clear"/>
            <w:vAlign w:val="center"/>
          </w:tcPr>
          <w:p>
            <w:pPr>
              <w:pStyle w:val="TableContents"/>
              <w:spacing w:before="0" w:after="283"/>
              <w:jc w:val="left"/>
              <w:rPr/>
            </w:pPr>
            <w:r>
              <w:rPr/>
              <w:t> </w:t>
            </w:r>
          </w:p>
        </w:tc>
      </w:tr>
      <w:tr>
        <w:trPr/>
        <w:tc>
          <w:tcPr>
            <w:tcW w:w="2960" w:type="dxa"/>
            <w:tcBorders/>
            <w:shd w:fill="auto" w:val="clear"/>
            <w:vAlign w:val="center"/>
          </w:tcPr>
          <w:p>
            <w:pPr>
              <w:pStyle w:val="TableContents"/>
              <w:spacing w:before="0" w:after="283"/>
              <w:rPr>
                <w:b/>
              </w:rPr>
            </w:pPr>
            <w:r>
              <w:rPr>
                <w:b/>
              </w:rPr>
              <w:t>Balance</w:t>
            </w:r>
          </w:p>
        </w:tc>
        <w:tc>
          <w:tcPr>
            <w:tcW w:w="60" w:type="dxa"/>
            <w:tcBorders/>
            <w:shd w:fill="auto" w:val="clear"/>
            <w:vAlign w:val="center"/>
          </w:tcPr>
          <w:p>
            <w:pPr>
              <w:pStyle w:val="TableContents"/>
              <w:spacing w:before="0" w:after="283"/>
              <w:rPr/>
            </w:pPr>
            <w:r>
              <w:rPr/>
              <w:t> </w:t>
            </w:r>
          </w:p>
        </w:tc>
        <w:tc>
          <w:tcPr>
            <w:tcW w:w="121"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383" w:type="dxa"/>
            <w:tcBorders>
              <w:bottom w:val="double" w:sz="10" w:space="0" w:color="000000"/>
            </w:tcBorders>
            <w:shd w:fill="auto" w:val="clear"/>
            <w:tcMar>
              <w:bottom w:w="28" w:type="dxa"/>
            </w:tcMar>
            <w:vAlign w:val="center"/>
          </w:tcPr>
          <w:p>
            <w:pPr>
              <w:pStyle w:val="TableContents"/>
              <w:spacing w:before="0" w:after="283"/>
              <w:jc w:val="right"/>
              <w:rPr/>
            </w:pPr>
            <w:r>
              <w:rPr/>
              <w:t>73,615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79" w:type="dxa"/>
            <w:tcBorders>
              <w:bottom w:val="double" w:sz="10" w:space="0" w:color="000000"/>
            </w:tcBorders>
            <w:shd w:fill="auto" w:val="clear"/>
            <w:tcMar>
              <w:bottom w:w="28" w:type="dxa"/>
            </w:tcMar>
            <w:vAlign w:val="center"/>
          </w:tcPr>
          <w:p>
            <w:pPr>
              <w:pStyle w:val="TableContents"/>
              <w:spacing w:before="0" w:after="283"/>
              <w:jc w:val="left"/>
              <w:rPr/>
            </w:pPr>
            <w:r>
              <w:rPr/>
              <w:t>$</w:t>
            </w:r>
          </w:p>
        </w:tc>
        <w:tc>
          <w:tcPr>
            <w:tcW w:w="2716" w:type="dxa"/>
            <w:tcBorders>
              <w:bottom w:val="double" w:sz="10" w:space="0" w:color="000000"/>
            </w:tcBorders>
            <w:shd w:fill="auto" w:val="clear"/>
            <w:tcMar>
              <w:bottom w:w="28" w:type="dxa"/>
            </w:tcMar>
            <w:vAlign w:val="center"/>
          </w:tcPr>
          <w:p>
            <w:pPr>
              <w:pStyle w:val="TableContents"/>
              <w:spacing w:before="0" w:after="283"/>
              <w:jc w:val="right"/>
              <w:rPr/>
            </w:pPr>
            <w:r>
              <w:rPr/>
              <w:t>15.68</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8090" w:type="dxa"/>
        <w:jc w:val="left"/>
        <w:tblInd w:w="0" w:type="dxa"/>
        <w:tblCellMar>
          <w:top w:w="0" w:type="dxa"/>
          <w:left w:w="0" w:type="dxa"/>
          <w:bottom w:w="0" w:type="dxa"/>
          <w:right w:w="0" w:type="dxa"/>
        </w:tblCellMar>
      </w:tblPr>
      <w:tblGrid>
        <w:gridCol w:w="2960"/>
        <w:gridCol w:w="60"/>
        <w:gridCol w:w="117"/>
        <w:gridCol w:w="1328"/>
        <w:gridCol w:w="95"/>
        <w:gridCol w:w="60"/>
        <w:gridCol w:w="679"/>
        <w:gridCol w:w="2716"/>
        <w:gridCol w:w="75"/>
      </w:tblGrid>
      <w:tr>
        <w:trPr/>
        <w:tc>
          <w:tcPr>
            <w:tcW w:w="2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Three months</w:t>
              <w:br/>
              <w:t xml:space="preserve">ended </w:t>
              <w:br/>
              <w:t>March 31,</w:t>
              <w:b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Grant Date Fair Value per Share</w:t>
            </w:r>
          </w:p>
        </w:tc>
        <w:tc>
          <w:tcPr>
            <w:tcW w:w="75" w:type="dxa"/>
            <w:tcBorders/>
            <w:shd w:fill="auto" w:val="clear"/>
            <w:vAlign w:val="center"/>
          </w:tcPr>
          <w:p>
            <w:pPr>
              <w:pStyle w:val="TableContents"/>
              <w:spacing w:before="0" w:after="283"/>
              <w:rPr/>
            </w:pPr>
            <w:r>
              <w:rPr/>
              <w:t> </w:t>
            </w:r>
          </w:p>
        </w:tc>
      </w:tr>
      <w:tr>
        <w:trPr/>
        <w:tc>
          <w:tcPr>
            <w:tcW w:w="2960" w:type="dxa"/>
            <w:tcBorders/>
            <w:shd w:fill="CCEEFF" w:val="clear"/>
            <w:vAlign w:val="center"/>
          </w:tcPr>
          <w:p>
            <w:pPr>
              <w:pStyle w:val="TableContents"/>
              <w:spacing w:before="0" w:after="283"/>
              <w:rPr/>
            </w:pPr>
            <w:r>
              <w:rPr/>
              <w:t>Balance at December 31, 2021</w:t>
            </w:r>
          </w:p>
        </w:tc>
        <w:tc>
          <w:tcPr>
            <w:tcW w:w="60" w:type="dxa"/>
            <w:tcBorders/>
            <w:shd w:fill="CCEEFF" w:val="clear"/>
            <w:vAlign w:val="center"/>
          </w:tcPr>
          <w:p>
            <w:pPr>
              <w:pStyle w:val="TableContents"/>
              <w:spacing w:before="0" w:after="283"/>
              <w:rPr/>
            </w:pPr>
            <w:r>
              <w:rPr/>
              <w:t> </w:t>
            </w:r>
          </w:p>
        </w:tc>
        <w:tc>
          <w:tcPr>
            <w:tcW w:w="117" w:type="dxa"/>
            <w:tcBorders/>
            <w:shd w:fill="CCEEFF" w:val="clear"/>
            <w:vAlign w:val="center"/>
          </w:tcPr>
          <w:p>
            <w:pPr>
              <w:pStyle w:val="TableContents"/>
              <w:spacing w:before="0" w:after="283"/>
              <w:jc w:val="left"/>
              <w:rPr/>
            </w:pPr>
            <w:r>
              <w:rPr/>
              <w:t> </w:t>
            </w:r>
          </w:p>
        </w:tc>
        <w:tc>
          <w:tcPr>
            <w:tcW w:w="1328" w:type="dxa"/>
            <w:tcBorders/>
            <w:shd w:fill="CCEEFF" w:val="clear"/>
            <w:vAlign w:val="center"/>
          </w:tcPr>
          <w:p>
            <w:pPr>
              <w:pStyle w:val="TableContents"/>
              <w:spacing w:before="0" w:after="283"/>
              <w:jc w:val="right"/>
              <w:rPr/>
            </w:pPr>
            <w:r>
              <w:rPr/>
              <w:t>98,440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9" w:type="dxa"/>
            <w:tcBorders/>
            <w:shd w:fill="CCEEFF" w:val="clear"/>
            <w:vAlign w:val="center"/>
          </w:tcPr>
          <w:p>
            <w:pPr>
              <w:pStyle w:val="TableContents"/>
              <w:spacing w:before="0" w:after="283"/>
              <w:jc w:val="left"/>
              <w:rPr/>
            </w:pPr>
            <w:r>
              <w:rPr/>
              <w:t>$</w:t>
            </w:r>
          </w:p>
        </w:tc>
        <w:tc>
          <w:tcPr>
            <w:tcW w:w="2716" w:type="dxa"/>
            <w:tcBorders/>
            <w:shd w:fill="CCEEFF" w:val="clear"/>
            <w:vAlign w:val="center"/>
          </w:tcPr>
          <w:p>
            <w:pPr>
              <w:pStyle w:val="TableContents"/>
              <w:spacing w:before="0" w:after="283"/>
              <w:jc w:val="right"/>
              <w:rPr/>
            </w:pPr>
            <w:r>
              <w:rPr/>
              <w:t>16.00</w:t>
            </w:r>
          </w:p>
        </w:tc>
        <w:tc>
          <w:tcPr>
            <w:tcW w:w="75" w:type="dxa"/>
            <w:tcBorders/>
            <w:shd w:fill="CCEEFF" w:val="clear"/>
            <w:vAlign w:val="center"/>
          </w:tcPr>
          <w:p>
            <w:pPr>
              <w:pStyle w:val="TableContents"/>
              <w:spacing w:before="0" w:after="283"/>
              <w:jc w:val="left"/>
              <w:rPr/>
            </w:pPr>
            <w:r>
              <w:rPr/>
              <w:t> </w:t>
            </w:r>
          </w:p>
        </w:tc>
      </w:tr>
      <w:tr>
        <w:trPr/>
        <w:tc>
          <w:tcPr>
            <w:tcW w:w="2960" w:type="dxa"/>
            <w:tcBorders/>
            <w:shd w:fill="auto" w:val="clear"/>
            <w:vAlign w:val="center"/>
          </w:tcPr>
          <w:p>
            <w:pPr>
              <w:pStyle w:val="TableContents"/>
              <w:spacing w:before="0" w:after="283"/>
              <w:rPr/>
            </w:pPr>
            <w:r>
              <w:rPr/>
              <w:t>Forfeited</w:t>
            </w:r>
          </w:p>
        </w:tc>
        <w:tc>
          <w:tcPr>
            <w:tcW w:w="60" w:type="dxa"/>
            <w:tcBorders/>
            <w:shd w:fill="auto" w:val="clear"/>
            <w:vAlign w:val="center"/>
          </w:tcPr>
          <w:p>
            <w:pPr>
              <w:pStyle w:val="TableContents"/>
              <w:spacing w:before="0" w:after="283"/>
              <w:rPr/>
            </w:pPr>
            <w:r>
              <w:rPr/>
              <w:t> </w:t>
            </w:r>
          </w:p>
        </w:tc>
        <w:tc>
          <w:tcPr>
            <w:tcW w:w="117"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328" w:type="dxa"/>
            <w:tcBorders>
              <w:bottom w:val="single" w:sz="12" w:space="0" w:color="000000"/>
            </w:tcBorders>
            <w:shd w:fill="auto" w:val="clear"/>
            <w:tcMar>
              <w:bottom w:w="28" w:type="dxa"/>
            </w:tcMar>
            <w:vAlign w:val="center"/>
          </w:tcPr>
          <w:p>
            <w:pPr>
              <w:pStyle w:val="TableContents"/>
              <w:spacing w:before="0" w:after="283"/>
              <w:jc w:val="right"/>
              <w:rPr/>
            </w:pPr>
            <w:r>
              <w:rPr/>
              <w:t>(3,750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9" w:type="dxa"/>
            <w:tcBorders>
              <w:bottom w:val="single" w:sz="12" w:space="0" w:color="000000"/>
            </w:tcBorders>
            <w:shd w:fill="auto" w:val="clear"/>
            <w:tcMar>
              <w:bottom w:w="28" w:type="dxa"/>
            </w:tcMar>
            <w:vAlign w:val="center"/>
          </w:tcPr>
          <w:p>
            <w:pPr>
              <w:pStyle w:val="TableContents"/>
              <w:spacing w:before="0" w:after="283"/>
              <w:jc w:val="left"/>
              <w:rPr/>
            </w:pPr>
            <w:r>
              <w:rPr/>
              <w:t>$</w:t>
            </w:r>
          </w:p>
        </w:tc>
        <w:tc>
          <w:tcPr>
            <w:tcW w:w="2716" w:type="dxa"/>
            <w:tcBorders>
              <w:bottom w:val="single" w:sz="12" w:space="0" w:color="000000"/>
            </w:tcBorders>
            <w:shd w:fill="auto" w:val="clear"/>
            <w:tcMar>
              <w:bottom w:w="28" w:type="dxa"/>
            </w:tcMar>
            <w:vAlign w:val="center"/>
          </w:tcPr>
          <w:p>
            <w:pPr>
              <w:pStyle w:val="TableContents"/>
              <w:spacing w:before="0" w:after="283"/>
              <w:jc w:val="right"/>
              <w:rPr/>
            </w:pPr>
            <w:r>
              <w:rPr/>
              <w:t>16.00</w:t>
            </w:r>
          </w:p>
        </w:tc>
        <w:tc>
          <w:tcPr>
            <w:tcW w:w="75" w:type="dxa"/>
            <w:tcBorders/>
            <w:shd w:fill="auto" w:val="clear"/>
            <w:vAlign w:val="center"/>
          </w:tcPr>
          <w:p>
            <w:pPr>
              <w:pStyle w:val="TableContents"/>
              <w:spacing w:before="0" w:after="283"/>
              <w:jc w:val="left"/>
              <w:rPr/>
            </w:pPr>
            <w:r>
              <w:rPr/>
              <w:t> </w:t>
            </w:r>
          </w:p>
        </w:tc>
      </w:tr>
      <w:tr>
        <w:trPr/>
        <w:tc>
          <w:tcPr>
            <w:tcW w:w="2960" w:type="dxa"/>
            <w:tcBorders/>
            <w:shd w:fill="CCEEFF" w:val="clear"/>
            <w:vAlign w:val="center"/>
          </w:tcPr>
          <w:p>
            <w:pPr>
              <w:pStyle w:val="TableContents"/>
              <w:spacing w:before="0" w:after="283"/>
              <w:rPr>
                <w:b/>
              </w:rPr>
            </w:pPr>
            <w:r>
              <w:rPr>
                <w:b/>
              </w:rPr>
              <w:t>Balance</w:t>
            </w:r>
          </w:p>
        </w:tc>
        <w:tc>
          <w:tcPr>
            <w:tcW w:w="60" w:type="dxa"/>
            <w:tcBorders/>
            <w:shd w:fill="CCEEFF" w:val="clear"/>
            <w:vAlign w:val="center"/>
          </w:tcPr>
          <w:p>
            <w:pPr>
              <w:pStyle w:val="TableContents"/>
              <w:spacing w:before="0" w:after="283"/>
              <w:rPr/>
            </w:pPr>
            <w:r>
              <w:rPr/>
              <w:t> </w:t>
            </w:r>
          </w:p>
        </w:tc>
        <w:tc>
          <w:tcPr>
            <w:tcW w:w="117" w:type="dxa"/>
            <w:tcBorders>
              <w:bottom w:val="double" w:sz="10" w:space="0" w:color="000000"/>
            </w:tcBorders>
            <w:shd w:fill="CCEEFF" w:val="clear"/>
            <w:tcMar>
              <w:bottom w:w="28" w:type="dxa"/>
            </w:tcMar>
            <w:vAlign w:val="center"/>
          </w:tcPr>
          <w:p>
            <w:pPr>
              <w:pStyle w:val="TableContents"/>
              <w:spacing w:before="0" w:after="283"/>
              <w:jc w:val="left"/>
              <w:rPr/>
            </w:pPr>
            <w:r>
              <w:rPr/>
              <w:t> </w:t>
            </w:r>
          </w:p>
        </w:tc>
        <w:tc>
          <w:tcPr>
            <w:tcW w:w="1328" w:type="dxa"/>
            <w:tcBorders>
              <w:bottom w:val="double" w:sz="10" w:space="0" w:color="000000"/>
            </w:tcBorders>
            <w:shd w:fill="CCEEFF" w:val="clear"/>
            <w:tcMar>
              <w:bottom w:w="28" w:type="dxa"/>
            </w:tcMar>
            <w:vAlign w:val="center"/>
          </w:tcPr>
          <w:p>
            <w:pPr>
              <w:pStyle w:val="TableContents"/>
              <w:spacing w:before="0" w:after="283"/>
              <w:jc w:val="right"/>
              <w:rPr/>
            </w:pPr>
            <w:r>
              <w:rPr/>
              <w:t>94,690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79"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2716" w:type="dxa"/>
            <w:tcBorders>
              <w:bottom w:val="double" w:sz="10" w:space="0" w:color="000000"/>
            </w:tcBorders>
            <w:shd w:fill="CCEEFF" w:val="clear"/>
            <w:tcMar>
              <w:bottom w:w="28" w:type="dxa"/>
            </w:tcMar>
            <w:vAlign w:val="center"/>
          </w:tcPr>
          <w:p>
            <w:pPr>
              <w:pStyle w:val="TableContents"/>
              <w:spacing w:before="0" w:after="283"/>
              <w:jc w:val="right"/>
              <w:rPr/>
            </w:pPr>
            <w:r>
              <w:rPr/>
              <w:t>16.00</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compensation expense is based on the Company’s stock price at the date of the grant and is amortized over the vesting period. Forfeitures are recognized as they occur. The share-based compensation expense for the Company was $138,335 and $120,940 for the three months ended March 31, 2023 and 2022, respectively. The unamortized share-based compensation expense for the Company was approximately $1.1 million and $1.6 million for the three months ended March 31, 2023 and 2022, respectively, which the Company expects to recognize over the remaining weighted-average term of 2.1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EARNINGS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sets forth the computations of basic earnings per common share for the three months ended March 31, 2023 and 2022, respectively:</w:t>
      </w:r>
    </w:p>
    <w:p>
      <w:pPr>
        <w:pStyle w:val="TextBody"/>
        <w:spacing w:before="0" w:after="0"/>
        <w:ind w:left="0" w:right="0" w:hanging="0"/>
        <w:rPr>
          <w:caps w:val="false"/>
          <w:smallCaps w:val="false"/>
        </w:rPr>
      </w:pPr>
      <w:r>
        <w:rPr>
          <w:caps w:val="false"/>
          <w:smallCaps w:val="false"/>
        </w:rPr>
        <w:t> </w:t>
      </w:r>
    </w:p>
    <w:tbl>
      <w:tblPr>
        <w:tblW w:w="9283" w:type="dxa"/>
        <w:jc w:val="left"/>
        <w:tblInd w:w="0" w:type="dxa"/>
        <w:tblCellMar>
          <w:top w:w="0" w:type="dxa"/>
          <w:left w:w="0" w:type="dxa"/>
          <w:bottom w:w="0" w:type="dxa"/>
          <w:right w:w="0" w:type="dxa"/>
        </w:tblCellMar>
      </w:tblPr>
      <w:tblGrid>
        <w:gridCol w:w="5960"/>
        <w:gridCol w:w="60"/>
        <w:gridCol w:w="163"/>
        <w:gridCol w:w="1281"/>
        <w:gridCol w:w="60"/>
        <w:gridCol w:w="60"/>
        <w:gridCol w:w="163"/>
        <w:gridCol w:w="1281"/>
        <w:gridCol w:w="255"/>
      </w:tblGrid>
      <w:tr>
        <w:trPr/>
        <w:tc>
          <w:tcPr>
            <w:tcW w:w="59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444" w:type="dxa"/>
            <w:gridSpan w:val="2"/>
            <w:tcBorders/>
            <w:shd w:fill="auto" w:val="clear"/>
            <w:vAlign w:val="center"/>
          </w:tcPr>
          <w:p>
            <w:pPr>
              <w:pStyle w:val="TableContents"/>
              <w:spacing w:before="0" w:after="283"/>
              <w:jc w:val="center"/>
              <w:rPr>
                <w:b/>
              </w:rPr>
            </w:pPr>
            <w:r>
              <w:rPr>
                <w:b/>
              </w:rPr>
              <w:t>For the three</w:t>
              <w:br/>
              <w:t>months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4" w:type="dxa"/>
            <w:gridSpan w:val="2"/>
            <w:tcBorders/>
            <w:shd w:fill="auto" w:val="clear"/>
            <w:vAlign w:val="center"/>
          </w:tcPr>
          <w:p>
            <w:pPr>
              <w:pStyle w:val="TableContents"/>
              <w:spacing w:before="0" w:after="283"/>
              <w:jc w:val="center"/>
              <w:rPr>
                <w:b/>
              </w:rPr>
            </w:pPr>
            <w:r>
              <w:rPr>
                <w:b/>
              </w:rPr>
              <w:t>For the three</w:t>
              <w:br/>
              <w:t>months ended</w:t>
            </w:r>
          </w:p>
        </w:tc>
        <w:tc>
          <w:tcPr>
            <w:tcW w:w="255" w:type="dxa"/>
            <w:tcBorders/>
            <w:shd w:fill="auto" w:val="clear"/>
            <w:vAlign w:val="center"/>
          </w:tcPr>
          <w:p>
            <w:pPr>
              <w:pStyle w:val="TableContents"/>
              <w:spacing w:before="0" w:after="283"/>
              <w:rPr/>
            </w:pPr>
            <w:r>
              <w:rPr/>
              <w:t> </w:t>
            </w:r>
          </w:p>
        </w:tc>
      </w:tr>
      <w:tr>
        <w:trPr/>
        <w:tc>
          <w:tcPr>
            <w:tcW w:w="59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2022</w:t>
            </w:r>
          </w:p>
        </w:tc>
        <w:tc>
          <w:tcPr>
            <w:tcW w:w="255" w:type="dxa"/>
            <w:tcBorders/>
            <w:shd w:fill="auto" w:val="clear"/>
            <w:vAlign w:val="center"/>
          </w:tcPr>
          <w:p>
            <w:pPr>
              <w:pStyle w:val="TableContents"/>
              <w:spacing w:before="0" w:after="283"/>
              <w:rPr/>
            </w:pPr>
            <w:r>
              <w:rPr/>
              <w:t> </w:t>
            </w:r>
          </w:p>
        </w:tc>
      </w:tr>
      <w:tr>
        <w:trPr/>
        <w:tc>
          <w:tcPr>
            <w:tcW w:w="5960" w:type="dxa"/>
            <w:tcBorders/>
            <w:shd w:fill="CCEEFF" w:val="clear"/>
            <w:vAlign w:val="center"/>
          </w:tcPr>
          <w:p>
            <w:pPr>
              <w:pStyle w:val="TableContents"/>
              <w:spacing w:before="0" w:after="283"/>
              <w:jc w:val="left"/>
              <w:rPr/>
            </w:pPr>
            <w:r>
              <w:rPr/>
              <w:t>Net income attributable to common stockholders</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w:t>
            </w:r>
          </w:p>
        </w:tc>
        <w:tc>
          <w:tcPr>
            <w:tcW w:w="1281" w:type="dxa"/>
            <w:tcBorders/>
            <w:shd w:fill="CCEEFF" w:val="clear"/>
            <w:vAlign w:val="center"/>
          </w:tcPr>
          <w:p>
            <w:pPr>
              <w:pStyle w:val="TableContents"/>
              <w:spacing w:before="0" w:after="283"/>
              <w:jc w:val="right"/>
              <w:rPr/>
            </w:pPr>
            <w:r>
              <w:rPr/>
              <w:t>10,692,349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w:t>
            </w:r>
          </w:p>
        </w:tc>
        <w:tc>
          <w:tcPr>
            <w:tcW w:w="1281" w:type="dxa"/>
            <w:tcBorders/>
            <w:shd w:fill="CCEEFF" w:val="clear"/>
            <w:vAlign w:val="center"/>
          </w:tcPr>
          <w:p>
            <w:pPr>
              <w:pStyle w:val="TableContents"/>
              <w:spacing w:before="0" w:after="283"/>
              <w:jc w:val="right"/>
              <w:rPr/>
            </w:pPr>
            <w:r>
              <w:rPr/>
              <w:t>7,803,952</w:t>
            </w:r>
          </w:p>
        </w:tc>
        <w:tc>
          <w:tcPr>
            <w:tcW w:w="255" w:type="dxa"/>
            <w:tcBorders/>
            <w:shd w:fill="CCEEFF" w:val="clear"/>
            <w:vAlign w:val="center"/>
          </w:tcPr>
          <w:p>
            <w:pPr>
              <w:pStyle w:val="TableContents"/>
              <w:spacing w:before="0" w:after="283"/>
              <w:ind w:left="0" w:right="0" w:firstLine="180"/>
              <w:jc w:val="left"/>
              <w:rPr/>
            </w:pPr>
            <w:r>
              <w:rPr/>
              <w:t> </w:t>
            </w:r>
          </w:p>
        </w:tc>
      </w:tr>
      <w:tr>
        <w:trPr/>
        <w:tc>
          <w:tcPr>
            <w:tcW w:w="5960" w:type="dxa"/>
            <w:tcBorders/>
            <w:shd w:fill="auto" w:val="clear"/>
            <w:vAlign w:val="center"/>
          </w:tcPr>
          <w:p>
            <w:pPr>
              <w:pStyle w:val="TableContents"/>
              <w:spacing w:before="0" w:after="283"/>
              <w:jc w:val="left"/>
              <w:rPr/>
            </w:pPr>
            <w:r>
              <w:rPr/>
              <w:t>Divided by:</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 </w:t>
            </w:r>
          </w:p>
        </w:tc>
        <w:tc>
          <w:tcPr>
            <w:tcW w:w="128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 </w:t>
            </w:r>
          </w:p>
        </w:tc>
        <w:tc>
          <w:tcPr>
            <w:tcW w:w="1281" w:type="dxa"/>
            <w:tcBorders/>
            <w:shd w:fill="auto" w:val="clear"/>
            <w:vAlign w:val="center"/>
          </w:tcPr>
          <w:p>
            <w:pPr>
              <w:pStyle w:val="TableContents"/>
              <w:spacing w:before="0" w:after="283"/>
              <w:jc w:val="right"/>
              <w:rPr/>
            </w:pPr>
            <w:r>
              <w:rPr/>
              <w:t> </w:t>
            </w:r>
          </w:p>
        </w:tc>
        <w:tc>
          <w:tcPr>
            <w:tcW w:w="255" w:type="dxa"/>
            <w:tcBorders/>
            <w:shd w:fill="auto" w:val="clear"/>
            <w:vAlign w:val="center"/>
          </w:tcPr>
          <w:p>
            <w:pPr>
              <w:pStyle w:val="TableContents"/>
              <w:spacing w:before="0" w:after="283"/>
              <w:ind w:left="0" w:right="0" w:firstLine="180"/>
              <w:jc w:val="left"/>
              <w:rPr/>
            </w:pPr>
            <w:r>
              <w:rPr/>
              <w:t> </w:t>
            </w:r>
          </w:p>
        </w:tc>
      </w:tr>
      <w:tr>
        <w:trPr/>
        <w:tc>
          <w:tcPr>
            <w:tcW w:w="5960" w:type="dxa"/>
            <w:tcBorders/>
            <w:shd w:fill="CCEEFF" w:val="clear"/>
            <w:vAlign w:val="center"/>
          </w:tcPr>
          <w:p>
            <w:pPr>
              <w:pStyle w:val="TableContents"/>
              <w:spacing w:before="0" w:after="283"/>
              <w:rPr/>
            </w:pPr>
            <w:r>
              <w:rPr/>
              <w:t>Basic weighted average shares of common stock outstanding</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 </w:t>
            </w:r>
          </w:p>
        </w:tc>
        <w:tc>
          <w:tcPr>
            <w:tcW w:w="1281" w:type="dxa"/>
            <w:tcBorders/>
            <w:shd w:fill="CCEEFF" w:val="clear"/>
            <w:vAlign w:val="center"/>
          </w:tcPr>
          <w:p>
            <w:pPr>
              <w:pStyle w:val="TableContents"/>
              <w:spacing w:before="0" w:after="283"/>
              <w:jc w:val="right"/>
              <w:rPr/>
            </w:pPr>
            <w:r>
              <w:rPr/>
              <w:t>17,879,444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pPr>
            <w:r>
              <w:rPr/>
              <w:t>$</w:t>
            </w:r>
          </w:p>
        </w:tc>
        <w:tc>
          <w:tcPr>
            <w:tcW w:w="1281" w:type="dxa"/>
            <w:tcBorders/>
            <w:shd w:fill="CCEEFF" w:val="clear"/>
            <w:vAlign w:val="center"/>
          </w:tcPr>
          <w:p>
            <w:pPr>
              <w:pStyle w:val="TableContents"/>
              <w:spacing w:before="0" w:after="283"/>
              <w:jc w:val="right"/>
              <w:rPr/>
            </w:pPr>
            <w:r>
              <w:rPr/>
              <w:t>17,641,090</w:t>
            </w:r>
          </w:p>
        </w:tc>
        <w:tc>
          <w:tcPr>
            <w:tcW w:w="255" w:type="dxa"/>
            <w:tcBorders/>
            <w:shd w:fill="CCEEFF" w:val="clear"/>
            <w:vAlign w:val="center"/>
          </w:tcPr>
          <w:p>
            <w:pPr>
              <w:pStyle w:val="TableContents"/>
              <w:spacing w:before="0" w:after="283"/>
              <w:ind w:left="0" w:right="0" w:firstLine="180"/>
              <w:jc w:val="left"/>
              <w:rPr/>
            </w:pPr>
            <w:r>
              <w:rPr/>
              <w:t> </w:t>
            </w:r>
          </w:p>
        </w:tc>
      </w:tr>
      <w:tr>
        <w:trPr/>
        <w:tc>
          <w:tcPr>
            <w:tcW w:w="5960" w:type="dxa"/>
            <w:tcBorders/>
            <w:shd w:fill="auto" w:val="clear"/>
            <w:vAlign w:val="center"/>
          </w:tcPr>
          <w:p>
            <w:pPr>
              <w:pStyle w:val="TableContents"/>
              <w:spacing w:before="0" w:after="283"/>
              <w:rPr/>
            </w:pPr>
            <w:r>
              <w:rPr/>
              <w:t>Diluted weighted average shares of common stock outstanding</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 </w:t>
            </w:r>
          </w:p>
        </w:tc>
        <w:tc>
          <w:tcPr>
            <w:tcW w:w="1281" w:type="dxa"/>
            <w:tcBorders/>
            <w:shd w:fill="auto" w:val="clear"/>
            <w:vAlign w:val="center"/>
          </w:tcPr>
          <w:p>
            <w:pPr>
              <w:pStyle w:val="TableContents"/>
              <w:spacing w:before="0" w:after="283"/>
              <w:jc w:val="right"/>
              <w:rPr/>
            </w:pPr>
            <w:r>
              <w:rPr/>
              <w:t>17,960,103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pPr>
            <w:r>
              <w:rPr/>
              <w:t>$</w:t>
            </w:r>
          </w:p>
        </w:tc>
        <w:tc>
          <w:tcPr>
            <w:tcW w:w="1281" w:type="dxa"/>
            <w:tcBorders/>
            <w:shd w:fill="auto" w:val="clear"/>
            <w:vAlign w:val="center"/>
          </w:tcPr>
          <w:p>
            <w:pPr>
              <w:pStyle w:val="TableContents"/>
              <w:spacing w:before="0" w:after="283"/>
              <w:jc w:val="right"/>
              <w:rPr/>
            </w:pPr>
            <w:r>
              <w:rPr/>
              <w:t>17,737,975</w:t>
            </w:r>
          </w:p>
        </w:tc>
        <w:tc>
          <w:tcPr>
            <w:tcW w:w="255" w:type="dxa"/>
            <w:tcBorders/>
            <w:shd w:fill="auto" w:val="clear"/>
            <w:vAlign w:val="center"/>
          </w:tcPr>
          <w:p>
            <w:pPr>
              <w:pStyle w:val="TableContents"/>
              <w:spacing w:before="0" w:after="283"/>
              <w:jc w:val="left"/>
              <w:rPr/>
            </w:pPr>
            <w:r>
              <w:rPr/>
              <w:t> </w:t>
            </w:r>
          </w:p>
        </w:tc>
      </w:tr>
      <w:tr>
        <w:trPr/>
        <w:tc>
          <w:tcPr>
            <w:tcW w:w="5960" w:type="dxa"/>
            <w:tcBorders/>
            <w:shd w:fill="CCEEFF" w:val="clear"/>
            <w:vAlign w:val="center"/>
          </w:tcPr>
          <w:p>
            <w:pPr>
              <w:pStyle w:val="TableContents"/>
              <w:spacing w:before="0" w:after="283"/>
              <w:rPr>
                <w:b/>
              </w:rPr>
            </w:pPr>
            <w:r>
              <w:rPr>
                <w:b/>
              </w:rPr>
              <w:t>Basic earnings per common share</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b/>
              </w:rPr>
            </w:pPr>
            <w:r>
              <w:rPr>
                <w:b/>
              </w:rPr>
              <w:t>$</w:t>
            </w:r>
          </w:p>
        </w:tc>
        <w:tc>
          <w:tcPr>
            <w:tcW w:w="1281" w:type="dxa"/>
            <w:tcBorders/>
            <w:shd w:fill="CCEEFF" w:val="clear"/>
            <w:vAlign w:val="center"/>
          </w:tcPr>
          <w:p>
            <w:pPr>
              <w:pStyle w:val="TableContents"/>
              <w:spacing w:before="0" w:after="283"/>
              <w:jc w:val="right"/>
              <w:rPr>
                <w:b/>
              </w:rPr>
            </w:pPr>
            <w:r>
              <w:rPr>
                <w:b/>
              </w:rPr>
              <w:t>0.60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jc w:val="left"/>
              <w:rPr>
                <w:b/>
              </w:rPr>
            </w:pPr>
            <w:r>
              <w:rPr>
                <w:b/>
              </w:rPr>
              <w:t>$</w:t>
            </w:r>
          </w:p>
        </w:tc>
        <w:tc>
          <w:tcPr>
            <w:tcW w:w="1281" w:type="dxa"/>
            <w:tcBorders/>
            <w:shd w:fill="CCEEFF" w:val="clear"/>
            <w:vAlign w:val="center"/>
          </w:tcPr>
          <w:p>
            <w:pPr>
              <w:pStyle w:val="TableContents"/>
              <w:spacing w:before="0" w:after="283"/>
              <w:jc w:val="right"/>
              <w:rPr>
                <w:b/>
              </w:rPr>
            </w:pPr>
            <w:r>
              <w:rPr>
                <w:b/>
              </w:rPr>
              <w:t>0.44</w:t>
            </w:r>
          </w:p>
        </w:tc>
        <w:tc>
          <w:tcPr>
            <w:tcW w:w="255" w:type="dxa"/>
            <w:tcBorders/>
            <w:shd w:fill="CCEEFF" w:val="clear"/>
            <w:vAlign w:val="center"/>
          </w:tcPr>
          <w:p>
            <w:pPr>
              <w:pStyle w:val="TableContents"/>
              <w:spacing w:before="0" w:after="283"/>
              <w:jc w:val="left"/>
              <w:rPr/>
            </w:pPr>
            <w:r>
              <w:rPr/>
              <w:t> </w:t>
            </w:r>
          </w:p>
        </w:tc>
      </w:tr>
      <w:tr>
        <w:trPr/>
        <w:tc>
          <w:tcPr>
            <w:tcW w:w="5960" w:type="dxa"/>
            <w:tcBorders/>
            <w:shd w:fill="auto" w:val="clear"/>
            <w:vAlign w:val="center"/>
          </w:tcPr>
          <w:p>
            <w:pPr>
              <w:pStyle w:val="TableContents"/>
              <w:spacing w:before="0" w:after="283"/>
              <w:rPr>
                <w:b/>
              </w:rPr>
            </w:pPr>
            <w:r>
              <w:rPr>
                <w:b/>
              </w:rPr>
              <w:t>Diluted earnings per common share</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b/>
              </w:rPr>
            </w:pPr>
            <w:r>
              <w:rPr>
                <w:b/>
              </w:rPr>
              <w:t>$</w:t>
            </w:r>
          </w:p>
        </w:tc>
        <w:tc>
          <w:tcPr>
            <w:tcW w:w="1281" w:type="dxa"/>
            <w:tcBorders/>
            <w:shd w:fill="auto" w:val="clear"/>
            <w:vAlign w:val="center"/>
          </w:tcPr>
          <w:p>
            <w:pPr>
              <w:pStyle w:val="TableContents"/>
              <w:spacing w:before="0" w:after="283"/>
              <w:jc w:val="right"/>
              <w:rPr>
                <w:b/>
              </w:rPr>
            </w:pPr>
            <w:r>
              <w:rPr>
                <w:b/>
              </w:rPr>
              <w:t>0.60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jc w:val="left"/>
              <w:rPr>
                <w:b/>
              </w:rPr>
            </w:pPr>
            <w:r>
              <w:rPr>
                <w:b/>
              </w:rPr>
              <w:t>$</w:t>
            </w:r>
          </w:p>
        </w:tc>
        <w:tc>
          <w:tcPr>
            <w:tcW w:w="1281" w:type="dxa"/>
            <w:tcBorders/>
            <w:shd w:fill="auto" w:val="clear"/>
            <w:vAlign w:val="center"/>
          </w:tcPr>
          <w:p>
            <w:pPr>
              <w:pStyle w:val="TableContents"/>
              <w:spacing w:before="0" w:after="283"/>
              <w:jc w:val="right"/>
              <w:rPr>
                <w:b/>
              </w:rPr>
            </w:pPr>
            <w:r>
              <w:rPr>
                <w:b/>
              </w:rPr>
              <w:t>0.44</w:t>
            </w:r>
          </w:p>
        </w:tc>
        <w:tc>
          <w:tcPr>
            <w:tcW w:w="25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anti-dilutive shares excluded from the computations of earnings per common share for the three months ended March 31, 2023 and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INCOME TAX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three months ended March 31, 2023 and the year ended December 31, 2022, we did not incur excise tax expense. The income tax provision for the Company was $0 for the three months ended March 31, 2023 and 2022,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the Company incurred no expense for United States federal excise tax. If it is determined that the Company’s estimated current year taxable income will be in excess of estimated dividend distributions (including capital gain dividend) for the current year from such income, the Company will accrue excise tax on estimated excess taxable income as such taxable income is earned. The annual expense is calculated in accordance with applicable tax regulations.</w:t>
      </w:r>
    </w:p>
    <w:p>
      <w:pPr>
        <w:pStyle w:val="TextBody"/>
        <w:spacing w:before="0" w:after="0"/>
        <w:ind w:left="0" w:right="0" w:hanging="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December 31, 2022, the Company does not have any unrecognized tax benefits.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DIVIDENDS AND DISTRIBUTIONS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dividends declared during the three months ended March 31, 2023 and 2022.</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86"/>
        <w:gridCol w:w="60"/>
        <w:gridCol w:w="948"/>
        <w:gridCol w:w="60"/>
        <w:gridCol w:w="1098"/>
        <w:gridCol w:w="60"/>
        <w:gridCol w:w="505"/>
        <w:gridCol w:w="1592"/>
        <w:gridCol w:w="60"/>
        <w:gridCol w:w="60"/>
        <w:gridCol w:w="370"/>
        <w:gridCol w:w="1169"/>
        <w:gridCol w:w="60"/>
        <w:gridCol w:w="60"/>
        <w:gridCol w:w="291"/>
        <w:gridCol w:w="825"/>
        <w:gridCol w:w="60"/>
        <w:gridCol w:w="60"/>
        <w:gridCol w:w="362"/>
        <w:gridCol w:w="1138"/>
        <w:gridCol w:w="81"/>
      </w:tblGrid>
      <w:tr>
        <w:trPr/>
        <w:tc>
          <w:tcPr>
            <w:tcW w:w="128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8" w:type="dxa"/>
            <w:tcBorders>
              <w:bottom w:val="single" w:sz="12" w:space="0" w:color="000000"/>
            </w:tcBorders>
            <w:shd w:fill="auto" w:val="clear"/>
            <w:tcMar>
              <w:bottom w:w="28" w:type="dxa"/>
            </w:tcMar>
            <w:vAlign w:val="center"/>
          </w:tcPr>
          <w:p>
            <w:pPr>
              <w:pStyle w:val="TableContents"/>
              <w:spacing w:before="0" w:after="283"/>
              <w:jc w:val="center"/>
              <w:rPr>
                <w:b/>
              </w:rPr>
            </w:pPr>
            <w:r>
              <w:rPr>
                <w:b/>
              </w:rPr>
              <w:t>Record Date</w:t>
            </w:r>
          </w:p>
        </w:tc>
        <w:tc>
          <w:tcPr>
            <w:tcW w:w="60" w:type="dxa"/>
            <w:tcBorders/>
            <w:shd w:fill="auto" w:val="clear"/>
            <w:vAlign w:val="center"/>
          </w:tcPr>
          <w:p>
            <w:pPr>
              <w:pStyle w:val="TableContents"/>
              <w:spacing w:before="0" w:after="283"/>
              <w:rPr/>
            </w:pPr>
            <w:r>
              <w:rPr/>
              <w:t> </w:t>
            </w:r>
          </w:p>
        </w:tc>
        <w:tc>
          <w:tcPr>
            <w:tcW w:w="1098" w:type="dxa"/>
            <w:tcBorders>
              <w:bottom w:val="single" w:sz="12" w:space="0" w:color="000000"/>
            </w:tcBorders>
            <w:shd w:fill="auto" w:val="clear"/>
            <w:tcMar>
              <w:bottom w:w="28" w:type="dxa"/>
            </w:tcMar>
            <w:vAlign w:val="center"/>
          </w:tcPr>
          <w:p>
            <w:pPr>
              <w:pStyle w:val="TableContents"/>
              <w:spacing w:before="0" w:after="283"/>
              <w:jc w:val="center"/>
              <w:rPr>
                <w:b/>
              </w:rPr>
            </w:pPr>
            <w:r>
              <w:rPr>
                <w:b/>
              </w:rPr>
              <w:t>Payment Date</w:t>
            </w:r>
          </w:p>
        </w:tc>
        <w:tc>
          <w:tcPr>
            <w:tcW w:w="60" w:type="dxa"/>
            <w:tcBorders/>
            <w:shd w:fill="auto" w:val="clear"/>
            <w:vAlign w:val="center"/>
          </w:tcPr>
          <w:p>
            <w:pPr>
              <w:pStyle w:val="TableContents"/>
              <w:spacing w:before="0" w:after="283"/>
              <w:rPr/>
            </w:pPr>
            <w:r>
              <w:rPr/>
              <w:t> </w:t>
            </w:r>
          </w:p>
        </w:tc>
        <w:tc>
          <w:tcPr>
            <w:tcW w:w="209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Common Share Distribution 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Taxable Ordinary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Return of 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Section 199A Dividends</w:t>
            </w:r>
          </w:p>
        </w:tc>
        <w:tc>
          <w:tcPr>
            <w:tcW w:w="81" w:type="dxa"/>
            <w:tcBorders/>
            <w:shd w:fill="auto" w:val="clear"/>
            <w:vAlign w:val="center"/>
          </w:tcPr>
          <w:p>
            <w:pPr>
              <w:pStyle w:val="TableContents"/>
              <w:spacing w:before="0" w:after="283"/>
              <w:rPr/>
            </w:pPr>
            <w:r>
              <w:rPr/>
              <w:t> </w:t>
            </w:r>
          </w:p>
        </w:tc>
      </w:tr>
      <w:tr>
        <w:trPr/>
        <w:tc>
          <w:tcPr>
            <w:tcW w:w="1286" w:type="dxa"/>
            <w:tcBorders/>
            <w:shd w:fill="CCEEFF" w:val="clear"/>
            <w:vAlign w:val="center"/>
          </w:tcPr>
          <w:p>
            <w:pPr>
              <w:pStyle w:val="TableContents"/>
              <w:spacing w:before="0" w:after="283"/>
              <w:jc w:val="left"/>
              <w:rPr/>
            </w:pPr>
            <w:r>
              <w:rPr/>
              <w:t>Regular cash dividend</w:t>
            </w:r>
          </w:p>
        </w:tc>
        <w:tc>
          <w:tcPr>
            <w:tcW w:w="60" w:type="dxa"/>
            <w:tcBorders/>
            <w:shd w:fill="CCEEFF" w:val="clear"/>
            <w:vAlign w:val="center"/>
          </w:tcPr>
          <w:p>
            <w:pPr>
              <w:pStyle w:val="TableContents"/>
              <w:spacing w:before="0" w:after="283"/>
              <w:rPr/>
            </w:pPr>
            <w:r>
              <w:rPr/>
              <w:t> </w:t>
            </w:r>
          </w:p>
        </w:tc>
        <w:tc>
          <w:tcPr>
            <w:tcW w:w="948" w:type="dxa"/>
            <w:tcBorders/>
            <w:shd w:fill="CCEEFF" w:val="clear"/>
            <w:vAlign w:val="center"/>
          </w:tcPr>
          <w:p>
            <w:pPr>
              <w:pStyle w:val="TableContents"/>
              <w:spacing w:before="0" w:after="283"/>
              <w:jc w:val="right"/>
              <w:rPr/>
            </w:pPr>
            <w:r>
              <w:rPr/>
              <w:t>3/31/2023</w:t>
            </w:r>
          </w:p>
        </w:tc>
        <w:tc>
          <w:tcPr>
            <w:tcW w:w="60"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4/14/2023</w:t>
            </w:r>
          </w:p>
        </w:tc>
        <w:tc>
          <w:tcPr>
            <w:tcW w:w="60" w:type="dxa"/>
            <w:tcBorders/>
            <w:shd w:fill="CCEEFF" w:val="clear"/>
            <w:vAlign w:val="center"/>
          </w:tcPr>
          <w:p>
            <w:pPr>
              <w:pStyle w:val="TableContents"/>
              <w:spacing w:before="0" w:after="283"/>
              <w:rPr/>
            </w:pPr>
            <w:r>
              <w:rPr/>
              <w:t> </w:t>
            </w:r>
          </w:p>
        </w:tc>
        <w:tc>
          <w:tcPr>
            <w:tcW w:w="505"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592" w:type="dxa"/>
            <w:tcBorders>
              <w:bottom w:val="single" w:sz="12" w:space="0" w:color="000000"/>
            </w:tcBorders>
            <w:shd w:fill="CCEEFF" w:val="clear"/>
            <w:tcMar>
              <w:bottom w:w="28" w:type="dxa"/>
            </w:tcMar>
            <w:vAlign w:val="center"/>
          </w:tcPr>
          <w:p>
            <w:pPr>
              <w:pStyle w:val="TableContents"/>
              <w:spacing w:before="0" w:after="283"/>
              <w:jc w:val="right"/>
              <w:rPr/>
            </w:pPr>
            <w:r>
              <w:rPr/>
              <w:t>0.47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7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69" w:type="dxa"/>
            <w:tcBorders>
              <w:bottom w:val="single" w:sz="12" w:space="0" w:color="000000"/>
            </w:tcBorders>
            <w:shd w:fill="CCEEFF" w:val="clear"/>
            <w:tcMar>
              <w:bottom w:w="28" w:type="dxa"/>
            </w:tcMar>
            <w:vAlign w:val="center"/>
          </w:tcPr>
          <w:p>
            <w:pPr>
              <w:pStyle w:val="TableContents"/>
              <w:spacing w:before="0" w:after="283"/>
              <w:jc w:val="right"/>
              <w:rPr/>
            </w:pPr>
            <w:r>
              <w:rPr/>
              <w:t>0.47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1"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825"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2"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38" w:type="dxa"/>
            <w:tcBorders>
              <w:bottom w:val="single" w:sz="12" w:space="0" w:color="000000"/>
            </w:tcBorders>
            <w:shd w:fill="CCEEFF" w:val="clear"/>
            <w:tcMar>
              <w:bottom w:w="28" w:type="dxa"/>
            </w:tcMar>
            <w:vAlign w:val="center"/>
          </w:tcPr>
          <w:p>
            <w:pPr>
              <w:pStyle w:val="TableContents"/>
              <w:spacing w:before="0" w:after="283"/>
              <w:jc w:val="right"/>
              <w:rPr/>
            </w:pPr>
            <w:r>
              <w:rPr/>
              <w:t>0.47</w:t>
            </w:r>
          </w:p>
        </w:tc>
        <w:tc>
          <w:tcPr>
            <w:tcW w:w="81" w:type="dxa"/>
            <w:tcBorders/>
            <w:shd w:fill="CCEEFF" w:val="clear"/>
            <w:vAlign w:val="center"/>
          </w:tcPr>
          <w:p>
            <w:pPr>
              <w:pStyle w:val="TableContents"/>
              <w:spacing w:before="0" w:after="283"/>
              <w:jc w:val="left"/>
              <w:rPr/>
            </w:pPr>
            <w:r>
              <w:rPr/>
              <w:t> </w:t>
            </w:r>
          </w:p>
        </w:tc>
      </w:tr>
      <w:tr>
        <w:trPr/>
        <w:tc>
          <w:tcPr>
            <w:tcW w:w="1286" w:type="dxa"/>
            <w:tcBorders/>
            <w:shd w:fill="auto" w:val="clear"/>
            <w:vAlign w:val="center"/>
          </w:tcPr>
          <w:p>
            <w:pPr>
              <w:pStyle w:val="TableContents"/>
              <w:spacing w:before="0" w:after="283"/>
              <w:jc w:val="left"/>
              <w:rPr/>
            </w:pPr>
            <w:r>
              <w:rPr/>
              <w:t>Total cash dividend</w:t>
            </w:r>
          </w:p>
        </w:tc>
        <w:tc>
          <w:tcPr>
            <w:tcW w:w="60" w:type="dxa"/>
            <w:tcBorders/>
            <w:shd w:fill="auto" w:val="clear"/>
            <w:vAlign w:val="center"/>
          </w:tcPr>
          <w:p>
            <w:pPr>
              <w:pStyle w:val="TableContents"/>
              <w:spacing w:before="0" w:after="283"/>
              <w:rPr/>
            </w:pPr>
            <w:r>
              <w:rPr/>
              <w:t> </w:t>
            </w:r>
          </w:p>
        </w:tc>
        <w:tc>
          <w:tcPr>
            <w:tcW w:w="94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5" w:type="dxa"/>
            <w:tcBorders/>
            <w:shd w:fill="auto" w:val="clear"/>
            <w:vAlign w:val="center"/>
          </w:tcPr>
          <w:p>
            <w:pPr>
              <w:pStyle w:val="TableContents"/>
              <w:spacing w:before="0" w:after="283"/>
              <w:jc w:val="left"/>
              <w:rPr>
                <w:b/>
              </w:rPr>
            </w:pPr>
            <w:r>
              <w:rPr>
                <w:b/>
              </w:rPr>
              <w:t>$</w:t>
            </w:r>
          </w:p>
        </w:tc>
        <w:tc>
          <w:tcPr>
            <w:tcW w:w="1592" w:type="dxa"/>
            <w:tcBorders/>
            <w:shd w:fill="auto" w:val="clear"/>
            <w:vAlign w:val="center"/>
          </w:tcPr>
          <w:p>
            <w:pPr>
              <w:pStyle w:val="TableContents"/>
              <w:spacing w:before="0" w:after="283"/>
              <w:jc w:val="right"/>
              <w:rPr>
                <w:b/>
              </w:rPr>
            </w:pPr>
            <w:r>
              <w:rPr>
                <w:b/>
              </w:rPr>
              <w:t>0.47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jc w:val="left"/>
              <w:rPr>
                <w:b/>
              </w:rPr>
            </w:pPr>
            <w:r>
              <w:rPr>
                <w:b/>
              </w:rPr>
              <w:t>$</w:t>
            </w:r>
          </w:p>
        </w:tc>
        <w:tc>
          <w:tcPr>
            <w:tcW w:w="1169" w:type="dxa"/>
            <w:tcBorders/>
            <w:shd w:fill="auto" w:val="clear"/>
            <w:vAlign w:val="center"/>
          </w:tcPr>
          <w:p>
            <w:pPr>
              <w:pStyle w:val="TableContents"/>
              <w:spacing w:before="0" w:after="283"/>
              <w:jc w:val="right"/>
              <w:rPr>
                <w:b/>
              </w:rPr>
            </w:pPr>
            <w:r>
              <w:rPr>
                <w:b/>
              </w:rPr>
              <w:t>0.47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91" w:type="dxa"/>
            <w:tcBorders/>
            <w:shd w:fill="auto" w:val="clear"/>
            <w:vAlign w:val="center"/>
          </w:tcPr>
          <w:p>
            <w:pPr>
              <w:pStyle w:val="TableContents"/>
              <w:spacing w:before="0" w:after="283"/>
              <w:jc w:val="left"/>
              <w:rPr>
                <w:b/>
              </w:rPr>
            </w:pPr>
            <w:r>
              <w:rPr>
                <w:b/>
              </w:rPr>
              <w:t>$</w:t>
            </w:r>
          </w:p>
        </w:tc>
        <w:tc>
          <w:tcPr>
            <w:tcW w:w="825" w:type="dxa"/>
            <w:tcBorders/>
            <w:shd w:fill="auto" w:val="clear"/>
            <w:vAlign w:val="center"/>
          </w:tcPr>
          <w:p>
            <w:pPr>
              <w:pStyle w:val="TableContents"/>
              <w:spacing w:before="0" w:after="0"/>
              <w:jc w:val="right"/>
              <w:rPr/>
            </w:pPr>
            <w:r>
              <w:rPr/>
              <w:t>     </w:t>
            </w:r>
            <w:r>
              <w:rPr>
                <w:b/>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62" w:type="dxa"/>
            <w:tcBorders/>
            <w:shd w:fill="auto" w:val="clear"/>
            <w:vAlign w:val="center"/>
          </w:tcPr>
          <w:p>
            <w:pPr>
              <w:pStyle w:val="TableContents"/>
              <w:spacing w:before="0" w:after="283"/>
              <w:jc w:val="left"/>
              <w:rPr>
                <w:b/>
              </w:rPr>
            </w:pPr>
            <w:r>
              <w:rPr>
                <w:b/>
              </w:rPr>
              <w:t>$</w:t>
            </w:r>
          </w:p>
        </w:tc>
        <w:tc>
          <w:tcPr>
            <w:tcW w:w="1138" w:type="dxa"/>
            <w:tcBorders/>
            <w:shd w:fill="auto" w:val="clear"/>
            <w:vAlign w:val="center"/>
          </w:tcPr>
          <w:p>
            <w:pPr>
              <w:pStyle w:val="TableContents"/>
              <w:spacing w:before="0" w:after="283"/>
              <w:jc w:val="right"/>
              <w:rPr>
                <w:b/>
              </w:rPr>
            </w:pPr>
            <w:r>
              <w:rPr>
                <w:b/>
              </w:rPr>
              <w:t>0.47</w:t>
            </w:r>
          </w:p>
        </w:tc>
        <w:tc>
          <w:tcPr>
            <w:tcW w:w="81"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86"/>
        <w:gridCol w:w="60"/>
        <w:gridCol w:w="948"/>
        <w:gridCol w:w="60"/>
        <w:gridCol w:w="1098"/>
        <w:gridCol w:w="60"/>
        <w:gridCol w:w="505"/>
        <w:gridCol w:w="1592"/>
        <w:gridCol w:w="60"/>
        <w:gridCol w:w="60"/>
        <w:gridCol w:w="370"/>
        <w:gridCol w:w="1169"/>
        <w:gridCol w:w="60"/>
        <w:gridCol w:w="60"/>
        <w:gridCol w:w="327"/>
        <w:gridCol w:w="789"/>
        <w:gridCol w:w="60"/>
        <w:gridCol w:w="60"/>
        <w:gridCol w:w="362"/>
        <w:gridCol w:w="1138"/>
        <w:gridCol w:w="81"/>
      </w:tblGrid>
      <w:tr>
        <w:trPr/>
        <w:tc>
          <w:tcPr>
            <w:tcW w:w="128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8" w:type="dxa"/>
            <w:tcBorders>
              <w:bottom w:val="single" w:sz="12" w:space="0" w:color="000000"/>
            </w:tcBorders>
            <w:shd w:fill="auto" w:val="clear"/>
            <w:tcMar>
              <w:bottom w:w="28" w:type="dxa"/>
            </w:tcMar>
            <w:vAlign w:val="center"/>
          </w:tcPr>
          <w:p>
            <w:pPr>
              <w:pStyle w:val="TableContents"/>
              <w:spacing w:before="0" w:after="283"/>
              <w:jc w:val="center"/>
              <w:rPr>
                <w:b/>
              </w:rPr>
            </w:pPr>
            <w:r>
              <w:rPr>
                <w:b/>
              </w:rPr>
              <w:t>Record Date</w:t>
            </w:r>
          </w:p>
        </w:tc>
        <w:tc>
          <w:tcPr>
            <w:tcW w:w="60" w:type="dxa"/>
            <w:tcBorders/>
            <w:shd w:fill="auto" w:val="clear"/>
            <w:vAlign w:val="center"/>
          </w:tcPr>
          <w:p>
            <w:pPr>
              <w:pStyle w:val="TableContents"/>
              <w:spacing w:before="0" w:after="283"/>
              <w:rPr/>
            </w:pPr>
            <w:r>
              <w:rPr/>
              <w:t> </w:t>
            </w:r>
          </w:p>
        </w:tc>
        <w:tc>
          <w:tcPr>
            <w:tcW w:w="1098" w:type="dxa"/>
            <w:tcBorders>
              <w:bottom w:val="single" w:sz="12" w:space="0" w:color="000000"/>
            </w:tcBorders>
            <w:shd w:fill="auto" w:val="clear"/>
            <w:tcMar>
              <w:bottom w:w="28" w:type="dxa"/>
            </w:tcMar>
            <w:vAlign w:val="center"/>
          </w:tcPr>
          <w:p>
            <w:pPr>
              <w:pStyle w:val="TableContents"/>
              <w:spacing w:before="0" w:after="283"/>
              <w:jc w:val="center"/>
              <w:rPr>
                <w:b/>
              </w:rPr>
            </w:pPr>
            <w:r>
              <w:rPr>
                <w:b/>
              </w:rPr>
              <w:t>Payment Date</w:t>
            </w:r>
          </w:p>
        </w:tc>
        <w:tc>
          <w:tcPr>
            <w:tcW w:w="60" w:type="dxa"/>
            <w:tcBorders/>
            <w:shd w:fill="auto" w:val="clear"/>
            <w:vAlign w:val="center"/>
          </w:tcPr>
          <w:p>
            <w:pPr>
              <w:pStyle w:val="TableContents"/>
              <w:spacing w:before="0" w:after="283"/>
              <w:rPr/>
            </w:pPr>
            <w:r>
              <w:rPr/>
              <w:t> </w:t>
            </w:r>
          </w:p>
        </w:tc>
        <w:tc>
          <w:tcPr>
            <w:tcW w:w="209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Common Share Distribution 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3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Taxable Ordinary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1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Return of 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Section 199A Dividends</w:t>
            </w:r>
          </w:p>
        </w:tc>
        <w:tc>
          <w:tcPr>
            <w:tcW w:w="81" w:type="dxa"/>
            <w:tcBorders/>
            <w:shd w:fill="auto" w:val="clear"/>
            <w:vAlign w:val="center"/>
          </w:tcPr>
          <w:p>
            <w:pPr>
              <w:pStyle w:val="TableContents"/>
              <w:spacing w:before="0" w:after="283"/>
              <w:rPr/>
            </w:pPr>
            <w:r>
              <w:rPr/>
              <w:t> </w:t>
            </w:r>
          </w:p>
        </w:tc>
      </w:tr>
      <w:tr>
        <w:trPr/>
        <w:tc>
          <w:tcPr>
            <w:tcW w:w="1286" w:type="dxa"/>
            <w:tcBorders/>
            <w:shd w:fill="CCEEFF" w:val="clear"/>
            <w:vAlign w:val="center"/>
          </w:tcPr>
          <w:p>
            <w:pPr>
              <w:pStyle w:val="TableContents"/>
              <w:spacing w:before="0" w:after="283"/>
              <w:jc w:val="left"/>
              <w:rPr/>
            </w:pPr>
            <w:r>
              <w:rPr/>
              <w:t>Regular cash dividend</w:t>
            </w:r>
          </w:p>
        </w:tc>
        <w:tc>
          <w:tcPr>
            <w:tcW w:w="60" w:type="dxa"/>
            <w:tcBorders/>
            <w:shd w:fill="CCEEFF" w:val="clear"/>
            <w:vAlign w:val="center"/>
          </w:tcPr>
          <w:p>
            <w:pPr>
              <w:pStyle w:val="TableContents"/>
              <w:spacing w:before="0" w:after="283"/>
              <w:rPr/>
            </w:pPr>
            <w:r>
              <w:rPr/>
              <w:t> </w:t>
            </w:r>
          </w:p>
        </w:tc>
        <w:tc>
          <w:tcPr>
            <w:tcW w:w="948" w:type="dxa"/>
            <w:tcBorders/>
            <w:shd w:fill="CCEEFF" w:val="clear"/>
            <w:vAlign w:val="center"/>
          </w:tcPr>
          <w:p>
            <w:pPr>
              <w:pStyle w:val="TableContents"/>
              <w:spacing w:before="0" w:after="283"/>
              <w:jc w:val="right"/>
              <w:rPr/>
            </w:pPr>
            <w:r>
              <w:rPr/>
              <w:t>3/31/2022</w:t>
            </w:r>
          </w:p>
        </w:tc>
        <w:tc>
          <w:tcPr>
            <w:tcW w:w="60" w:type="dxa"/>
            <w:tcBorders/>
            <w:shd w:fill="CCEEFF" w:val="clear"/>
            <w:vAlign w:val="center"/>
          </w:tcPr>
          <w:p>
            <w:pPr>
              <w:pStyle w:val="TableContents"/>
              <w:spacing w:before="0" w:after="283"/>
              <w:rPr/>
            </w:pPr>
            <w:r>
              <w:rPr/>
              <w:t> </w:t>
            </w:r>
          </w:p>
        </w:tc>
        <w:tc>
          <w:tcPr>
            <w:tcW w:w="1098" w:type="dxa"/>
            <w:tcBorders/>
            <w:shd w:fill="CCEEFF" w:val="clear"/>
            <w:vAlign w:val="center"/>
          </w:tcPr>
          <w:p>
            <w:pPr>
              <w:pStyle w:val="TableContents"/>
              <w:spacing w:before="0" w:after="283"/>
              <w:jc w:val="right"/>
              <w:rPr/>
            </w:pPr>
            <w:r>
              <w:rPr/>
              <w:t>4/14/2022</w:t>
            </w:r>
          </w:p>
        </w:tc>
        <w:tc>
          <w:tcPr>
            <w:tcW w:w="60" w:type="dxa"/>
            <w:tcBorders/>
            <w:shd w:fill="CCEEFF" w:val="clear"/>
            <w:vAlign w:val="center"/>
          </w:tcPr>
          <w:p>
            <w:pPr>
              <w:pStyle w:val="TableContents"/>
              <w:spacing w:before="0" w:after="283"/>
              <w:rPr/>
            </w:pPr>
            <w:r>
              <w:rPr/>
              <w:t> </w:t>
            </w:r>
          </w:p>
        </w:tc>
        <w:tc>
          <w:tcPr>
            <w:tcW w:w="505"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592" w:type="dxa"/>
            <w:tcBorders>
              <w:bottom w:val="single" w:sz="12" w:space="0" w:color="000000"/>
            </w:tcBorders>
            <w:shd w:fill="CCEEFF" w:val="clear"/>
            <w:tcMar>
              <w:bottom w:w="28" w:type="dxa"/>
            </w:tcMar>
            <w:vAlign w:val="center"/>
          </w:tcPr>
          <w:p>
            <w:pPr>
              <w:pStyle w:val="TableContents"/>
              <w:spacing w:before="0" w:after="283"/>
              <w:jc w:val="right"/>
              <w:rPr/>
            </w:pPr>
            <w:r>
              <w:rPr/>
              <w:t>0.40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7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69" w:type="dxa"/>
            <w:tcBorders>
              <w:bottom w:val="single" w:sz="12" w:space="0" w:color="000000"/>
            </w:tcBorders>
            <w:shd w:fill="CCEEFF" w:val="clear"/>
            <w:tcMar>
              <w:bottom w:w="28" w:type="dxa"/>
            </w:tcMar>
            <w:vAlign w:val="center"/>
          </w:tcPr>
          <w:p>
            <w:pPr>
              <w:pStyle w:val="TableContents"/>
              <w:spacing w:before="0" w:after="283"/>
              <w:jc w:val="right"/>
              <w:rPr/>
            </w:pPr>
            <w:r>
              <w:rPr/>
              <w:t>0.40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27"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789" w:type="dxa"/>
            <w:tcBorders>
              <w:bottom w:val="single" w:sz="12" w:space="0" w:color="000000"/>
            </w:tcBorders>
            <w:shd w:fill="CCEEFF" w:val="clear"/>
            <w:tcMar>
              <w:bottom w:w="28" w:type="dxa"/>
            </w:tcMar>
            <w:vAlign w:val="center"/>
          </w:tcPr>
          <w:p>
            <w:pPr>
              <w:pStyle w:val="TableContents"/>
              <w:spacing w:before="0" w:after="0"/>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2"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38" w:type="dxa"/>
            <w:tcBorders>
              <w:bottom w:val="single" w:sz="12" w:space="0" w:color="000000"/>
            </w:tcBorders>
            <w:shd w:fill="CCEEFF" w:val="clear"/>
            <w:tcMar>
              <w:bottom w:w="28" w:type="dxa"/>
            </w:tcMar>
            <w:vAlign w:val="center"/>
          </w:tcPr>
          <w:p>
            <w:pPr>
              <w:pStyle w:val="TableContents"/>
              <w:spacing w:before="0" w:after="283"/>
              <w:jc w:val="right"/>
              <w:rPr/>
            </w:pPr>
            <w:r>
              <w:rPr/>
              <w:t>0.40</w:t>
            </w:r>
          </w:p>
        </w:tc>
        <w:tc>
          <w:tcPr>
            <w:tcW w:w="81" w:type="dxa"/>
            <w:tcBorders/>
            <w:shd w:fill="CCEEFF" w:val="clear"/>
            <w:vAlign w:val="center"/>
          </w:tcPr>
          <w:p>
            <w:pPr>
              <w:pStyle w:val="TableContents"/>
              <w:spacing w:before="0" w:after="283"/>
              <w:jc w:val="left"/>
              <w:rPr/>
            </w:pPr>
            <w:r>
              <w:rPr/>
              <w:t> </w:t>
            </w:r>
          </w:p>
        </w:tc>
      </w:tr>
      <w:tr>
        <w:trPr/>
        <w:tc>
          <w:tcPr>
            <w:tcW w:w="1286" w:type="dxa"/>
            <w:tcBorders/>
            <w:shd w:fill="auto" w:val="clear"/>
            <w:vAlign w:val="center"/>
          </w:tcPr>
          <w:p>
            <w:pPr>
              <w:pStyle w:val="TableContents"/>
              <w:spacing w:before="0" w:after="283"/>
              <w:jc w:val="left"/>
              <w:rPr/>
            </w:pPr>
            <w:r>
              <w:rPr/>
              <w:t>Total cash dividend</w:t>
            </w:r>
          </w:p>
        </w:tc>
        <w:tc>
          <w:tcPr>
            <w:tcW w:w="60" w:type="dxa"/>
            <w:tcBorders/>
            <w:shd w:fill="auto" w:val="clear"/>
            <w:vAlign w:val="center"/>
          </w:tcPr>
          <w:p>
            <w:pPr>
              <w:pStyle w:val="TableContents"/>
              <w:spacing w:before="0" w:after="283"/>
              <w:rPr/>
            </w:pPr>
            <w:r>
              <w:rPr/>
              <w:t> </w:t>
            </w:r>
          </w:p>
        </w:tc>
        <w:tc>
          <w:tcPr>
            <w:tcW w:w="94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5" w:type="dxa"/>
            <w:tcBorders/>
            <w:shd w:fill="auto" w:val="clear"/>
            <w:vAlign w:val="center"/>
          </w:tcPr>
          <w:p>
            <w:pPr>
              <w:pStyle w:val="TableContents"/>
              <w:spacing w:before="0" w:after="283"/>
              <w:jc w:val="left"/>
              <w:rPr>
                <w:b/>
              </w:rPr>
            </w:pPr>
            <w:r>
              <w:rPr>
                <w:b/>
              </w:rPr>
              <w:t>$</w:t>
            </w:r>
          </w:p>
        </w:tc>
        <w:tc>
          <w:tcPr>
            <w:tcW w:w="1592" w:type="dxa"/>
            <w:tcBorders/>
            <w:shd w:fill="auto" w:val="clear"/>
            <w:vAlign w:val="center"/>
          </w:tcPr>
          <w:p>
            <w:pPr>
              <w:pStyle w:val="TableContents"/>
              <w:spacing w:before="0" w:after="283"/>
              <w:jc w:val="right"/>
              <w:rPr>
                <w:b/>
              </w:rPr>
            </w:pPr>
            <w:r>
              <w:rPr>
                <w:b/>
              </w:rPr>
              <w:t>0.40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jc w:val="left"/>
              <w:rPr>
                <w:b/>
              </w:rPr>
            </w:pPr>
            <w:r>
              <w:rPr>
                <w:b/>
              </w:rPr>
              <w:t>$</w:t>
            </w:r>
          </w:p>
        </w:tc>
        <w:tc>
          <w:tcPr>
            <w:tcW w:w="1169" w:type="dxa"/>
            <w:tcBorders/>
            <w:shd w:fill="auto" w:val="clear"/>
            <w:vAlign w:val="center"/>
          </w:tcPr>
          <w:p>
            <w:pPr>
              <w:pStyle w:val="TableContents"/>
              <w:spacing w:before="0" w:after="283"/>
              <w:jc w:val="right"/>
              <w:rPr>
                <w:b/>
              </w:rPr>
            </w:pPr>
            <w:r>
              <w:rPr>
                <w:b/>
              </w:rPr>
              <w:t>0.40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27" w:type="dxa"/>
            <w:tcBorders/>
            <w:shd w:fill="auto" w:val="clear"/>
            <w:vAlign w:val="center"/>
          </w:tcPr>
          <w:p>
            <w:pPr>
              <w:pStyle w:val="TableContents"/>
              <w:spacing w:before="0" w:after="283"/>
              <w:jc w:val="left"/>
              <w:rPr>
                <w:b/>
              </w:rPr>
            </w:pPr>
            <w:r>
              <w:rPr>
                <w:b/>
              </w:rPr>
              <w:t>$</w:t>
            </w:r>
          </w:p>
        </w:tc>
        <w:tc>
          <w:tcPr>
            <w:tcW w:w="789" w:type="dxa"/>
            <w:tcBorders/>
            <w:shd w:fill="auto" w:val="clear"/>
            <w:vAlign w:val="center"/>
          </w:tcPr>
          <w:p>
            <w:pPr>
              <w:pStyle w:val="TableContents"/>
              <w:spacing w:before="0" w:after="0"/>
              <w:jc w:val="right"/>
              <w:rPr>
                <w:b/>
              </w:rPr>
            </w:pPr>
            <w:r>
              <w:rPr>
                <w:b/>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62" w:type="dxa"/>
            <w:tcBorders/>
            <w:shd w:fill="auto" w:val="clear"/>
            <w:vAlign w:val="center"/>
          </w:tcPr>
          <w:p>
            <w:pPr>
              <w:pStyle w:val="TableContents"/>
              <w:spacing w:before="0" w:after="283"/>
              <w:jc w:val="left"/>
              <w:rPr>
                <w:b/>
              </w:rPr>
            </w:pPr>
            <w:r>
              <w:rPr>
                <w:b/>
              </w:rPr>
              <w:t>$</w:t>
            </w:r>
          </w:p>
        </w:tc>
        <w:tc>
          <w:tcPr>
            <w:tcW w:w="1138" w:type="dxa"/>
            <w:tcBorders/>
            <w:shd w:fill="auto" w:val="clear"/>
            <w:vAlign w:val="center"/>
          </w:tcPr>
          <w:p>
            <w:pPr>
              <w:pStyle w:val="TableContents"/>
              <w:spacing w:before="0" w:after="283"/>
              <w:jc w:val="right"/>
              <w:rPr>
                <w:b/>
              </w:rPr>
            </w:pPr>
            <w:r>
              <w:rPr>
                <w:b/>
              </w:rPr>
              <w:t>0.40</w:t>
            </w:r>
          </w:p>
        </w:tc>
        <w:tc>
          <w:tcPr>
            <w:tcW w:w="81"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SUBSEQUENT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Normal Course of Business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April 1, 2023 through May 9, 2023, the Company funded one loan advance amounting to approximately $0.6 million in loan principal to an existing portfolio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of Dividend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2023, the Company paid its regular quarterly dividend of $0.47 relating to the first quarter of 2023 to shareholders of record as of the close of business on March 31, 2023. The total amount of the cash dividend payment was approximately $8.5 million.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pStyle w:val="TextBody"/>
        <w:spacing w:before="0" w:after="0"/>
        <w:ind w:left="0" w:right="0" w:firstLine="720"/>
        <w:rPr>
          <w:caps w:val="false"/>
          <w:smallCaps w:val="false"/>
        </w:rPr>
      </w:pPr>
      <w:r>
        <w:rPr>
          <w:caps w:val="false"/>
          <w:smallCaps w:val="false"/>
        </w:rPr>
        <w:t> </w:t>
      </w:r>
    </w:p>
    <w:tbl>
      <w:tblPr>
        <w:tblW w:w="5080" w:type="dxa"/>
        <w:jc w:val="left"/>
        <w:tblInd w:w="0" w:type="dxa"/>
        <w:tblCellMar>
          <w:top w:w="0" w:type="dxa"/>
          <w:left w:w="0" w:type="dxa"/>
          <w:bottom w:w="0" w:type="dxa"/>
          <w:right w:w="0" w:type="dxa"/>
        </w:tblCellMar>
      </w:tblPr>
      <w:tblGrid>
        <w:gridCol w:w="75"/>
        <w:gridCol w:w="170"/>
        <w:gridCol w:w="48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8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future operating results and projected operating results;</w:t>
            </w:r>
          </w:p>
        </w:tc>
      </w:tr>
    </w:tbl>
    <w:p>
      <w:pPr>
        <w:pStyle w:val="TextBody"/>
        <w:spacing w:before="0" w:after="0"/>
        <w:ind w:left="960" w:right="0" w:hanging="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ability of our Manager to locate suitable loan opportunities for us, monitor and actively manage our loan portfolio, and implement our investment strategy;</w:t>
            </w:r>
          </w:p>
        </w:tc>
      </w:tr>
    </w:tbl>
    <w:p>
      <w:pPr>
        <w:pStyle w:val="TextBody"/>
        <w:spacing w:before="0" w:after="0"/>
        <w:ind w:left="960" w:right="0" w:hanging="720"/>
        <w:rPr>
          <w:caps w:val="false"/>
          <w:smallCaps w:val="false"/>
        </w:rPr>
      </w:pPr>
      <w:r>
        <w:rPr>
          <w:caps w:val="false"/>
          <w:smallCaps w:val="false"/>
        </w:rPr>
        <w:t> </w:t>
      </w:r>
    </w:p>
    <w:tbl>
      <w:tblPr>
        <w:tblW w:w="4990" w:type="dxa"/>
        <w:jc w:val="left"/>
        <w:tblInd w:w="0" w:type="dxa"/>
        <w:tblCellMar>
          <w:top w:w="0" w:type="dxa"/>
          <w:left w:w="0" w:type="dxa"/>
          <w:bottom w:w="0" w:type="dxa"/>
          <w:right w:w="0" w:type="dxa"/>
        </w:tblCellMar>
      </w:tblPr>
      <w:tblGrid>
        <w:gridCol w:w="75"/>
        <w:gridCol w:w="170"/>
        <w:gridCol w:w="474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7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allocation of loan opportunities to us by our Manager;</w:t>
            </w:r>
          </w:p>
        </w:tc>
      </w:tr>
    </w:tbl>
    <w:p>
      <w:pPr>
        <w:pStyle w:val="TextBody"/>
        <w:spacing w:before="0" w:after="0"/>
        <w:ind w:left="960" w:right="0" w:hanging="720"/>
        <w:rPr>
          <w:caps w:val="false"/>
          <w:smallCaps w:val="false"/>
        </w:rPr>
      </w:pPr>
      <w:r>
        <w:rPr>
          <w:caps w:val="false"/>
          <w:smallCaps w:val="false"/>
        </w:rPr>
        <w:t> </w:t>
      </w:r>
    </w:p>
    <w:tbl>
      <w:tblPr>
        <w:tblW w:w="4120" w:type="dxa"/>
        <w:jc w:val="left"/>
        <w:tblInd w:w="0" w:type="dxa"/>
        <w:tblCellMar>
          <w:top w:w="0" w:type="dxa"/>
          <w:left w:w="0" w:type="dxa"/>
          <w:bottom w:w="0" w:type="dxa"/>
          <w:right w:w="0" w:type="dxa"/>
        </w:tblCellMar>
      </w:tblPr>
      <w:tblGrid>
        <w:gridCol w:w="75"/>
        <w:gridCol w:w="170"/>
        <w:gridCol w:w="387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8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impact of inflation on our operating results;</w:t>
            </w:r>
          </w:p>
        </w:tc>
      </w:tr>
    </w:tbl>
    <w:p>
      <w:pPr>
        <w:pStyle w:val="TextBody"/>
        <w:spacing w:before="0" w:after="0"/>
        <w:ind w:left="960" w:right="0" w:hanging="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actions and initiatives of the federal or state governments and changes to government policies related to cannabis and the execution and impact of these actions, initiatives, and policies, including the fact that cannabis remains illegal under federal law;</w:t>
            </w:r>
          </w:p>
        </w:tc>
      </w:tr>
    </w:tbl>
    <w:p>
      <w:pPr>
        <w:pStyle w:val="TextBody"/>
        <w:spacing w:before="0" w:after="0"/>
        <w:ind w:left="960" w:right="0" w:hanging="720"/>
        <w:rPr>
          <w:caps w:val="false"/>
          <w:smallCaps w:val="false"/>
        </w:rPr>
      </w:pPr>
      <w:r>
        <w:rPr>
          <w:caps w:val="false"/>
          <w:smallCaps w:val="false"/>
        </w:rPr>
        <w:t>  </w:t>
      </w:r>
    </w:p>
    <w:tbl>
      <w:tblPr>
        <w:tblW w:w="6670" w:type="dxa"/>
        <w:jc w:val="left"/>
        <w:tblInd w:w="0" w:type="dxa"/>
        <w:tblCellMar>
          <w:top w:w="0" w:type="dxa"/>
          <w:left w:w="0" w:type="dxa"/>
          <w:bottom w:w="0" w:type="dxa"/>
          <w:right w:w="0" w:type="dxa"/>
        </w:tblCellMar>
      </w:tblPr>
      <w:tblGrid>
        <w:gridCol w:w="75"/>
        <w:gridCol w:w="170"/>
        <w:gridCol w:w="64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64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estimated growth in and evolving market dynamics of the cannabis market;</w:t>
            </w:r>
          </w:p>
        </w:tc>
      </w:tr>
    </w:tbl>
    <w:p>
      <w:pPr>
        <w:pStyle w:val="TextBody"/>
        <w:spacing w:before="0" w:after="0"/>
        <w:ind w:left="960" w:right="0" w:hanging="720"/>
        <w:rPr>
          <w:caps w:val="false"/>
          <w:smallCaps w:val="false"/>
        </w:rPr>
      </w:pPr>
      <w:r>
        <w:rPr>
          <w:caps w:val="false"/>
          <w:smallCaps w:val="false"/>
        </w:rPr>
        <w:t> </w:t>
      </w:r>
    </w:p>
    <w:tbl>
      <w:tblPr>
        <w:tblW w:w="5275" w:type="dxa"/>
        <w:jc w:val="left"/>
        <w:tblInd w:w="0" w:type="dxa"/>
        <w:tblCellMar>
          <w:top w:w="0" w:type="dxa"/>
          <w:left w:w="0" w:type="dxa"/>
          <w:bottom w:w="0" w:type="dxa"/>
          <w:right w:w="0" w:type="dxa"/>
        </w:tblCellMar>
      </w:tblPr>
      <w:tblGrid>
        <w:gridCol w:w="75"/>
        <w:gridCol w:w="170"/>
        <w:gridCol w:w="503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03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demand for cannabis cultivation and processing facilities;</w:t>
            </w:r>
          </w:p>
        </w:tc>
      </w:tr>
    </w:tbl>
    <w:p>
      <w:pPr>
        <w:pStyle w:val="TextBody"/>
        <w:spacing w:before="0" w:after="0"/>
        <w:ind w:left="0" w:right="0" w:hanging="0"/>
        <w:rPr>
          <w:caps w:val="false"/>
          <w:smallCaps w:val="false"/>
        </w:rPr>
      </w:pPr>
      <w:r>
        <w:rPr>
          <w:caps w:val="false"/>
          <w:smallCaps w:val="false"/>
        </w:rPr>
        <w:t> </w:t>
      </w:r>
    </w:p>
    <w:tbl>
      <w:tblPr>
        <w:tblW w:w="3835" w:type="dxa"/>
        <w:jc w:val="left"/>
        <w:tblInd w:w="0" w:type="dxa"/>
        <w:tblCellMar>
          <w:top w:w="0" w:type="dxa"/>
          <w:left w:w="0" w:type="dxa"/>
          <w:bottom w:w="0" w:type="dxa"/>
          <w:right w:w="0" w:type="dxa"/>
        </w:tblCellMar>
      </w:tblPr>
      <w:tblGrid>
        <w:gridCol w:w="75"/>
        <w:gridCol w:w="170"/>
        <w:gridCol w:w="359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shifts in public opinion regarding cannabis;</w:t>
            </w:r>
          </w:p>
        </w:tc>
      </w:tr>
    </w:tbl>
    <w:p>
      <w:pPr>
        <w:pStyle w:val="TextBody"/>
        <w:spacing w:before="0" w:after="0"/>
        <w:ind w:left="960" w:right="0" w:hanging="720"/>
        <w:rPr>
          <w:caps w:val="false"/>
          <w:smallCaps w:val="false"/>
        </w:rPr>
      </w:pPr>
      <w:r>
        <w:rPr>
          <w:caps w:val="false"/>
          <w:smallCaps w:val="false"/>
        </w:rPr>
        <w:t> </w:t>
      </w:r>
    </w:p>
    <w:tbl>
      <w:tblPr>
        <w:tblW w:w="6205" w:type="dxa"/>
        <w:jc w:val="left"/>
        <w:tblInd w:w="0" w:type="dxa"/>
        <w:tblCellMar>
          <w:top w:w="0" w:type="dxa"/>
          <w:left w:w="0" w:type="dxa"/>
          <w:bottom w:w="0" w:type="dxa"/>
          <w:right w:w="0" w:type="dxa"/>
        </w:tblCellMar>
      </w:tblPr>
      <w:tblGrid>
        <w:gridCol w:w="75"/>
        <w:gridCol w:w="170"/>
        <w:gridCol w:w="5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state of the U.S. economy generally or in specific geographic regions;</w:t>
            </w:r>
          </w:p>
        </w:tc>
      </w:tr>
    </w:tbl>
    <w:p>
      <w:pPr>
        <w:pStyle w:val="TextBody"/>
        <w:spacing w:before="0" w:after="0"/>
        <w:ind w:left="960" w:right="0" w:hanging="720"/>
        <w:rPr>
          <w:caps w:val="false"/>
          <w:smallCaps w:val="false"/>
        </w:rPr>
      </w:pPr>
      <w:r>
        <w:rPr>
          <w:caps w:val="false"/>
          <w:smallCaps w:val="false"/>
        </w:rPr>
        <w:t> </w:t>
      </w:r>
    </w:p>
    <w:tbl>
      <w:tblPr>
        <w:tblW w:w="3730" w:type="dxa"/>
        <w:jc w:val="left"/>
        <w:tblInd w:w="0" w:type="dxa"/>
        <w:tblCellMar>
          <w:top w:w="0" w:type="dxa"/>
          <w:left w:w="0" w:type="dxa"/>
          <w:bottom w:w="0" w:type="dxa"/>
          <w:right w:w="0" w:type="dxa"/>
        </w:tblCellMar>
      </w:tblPr>
      <w:tblGrid>
        <w:gridCol w:w="75"/>
        <w:gridCol w:w="170"/>
        <w:gridCol w:w="34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4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economic trends and economic recoveries;</w:t>
            </w:r>
          </w:p>
        </w:tc>
      </w:tr>
    </w:tbl>
    <w:p>
      <w:pPr>
        <w:pStyle w:val="TextBody"/>
        <w:spacing w:before="0" w:after="0"/>
        <w:ind w:left="960" w:right="0" w:hanging="720"/>
        <w:rPr>
          <w:caps w:val="false"/>
          <w:smallCaps w:val="false"/>
        </w:rPr>
      </w:pPr>
      <w:r>
        <w:rPr>
          <w:caps w:val="false"/>
          <w:smallCaps w:val="false"/>
        </w:rPr>
        <w:t> </w:t>
      </w:r>
    </w:p>
    <w:tbl>
      <w:tblPr>
        <w:tblW w:w="5410" w:type="dxa"/>
        <w:jc w:val="left"/>
        <w:tblInd w:w="0" w:type="dxa"/>
        <w:tblCellMar>
          <w:top w:w="0" w:type="dxa"/>
          <w:left w:w="0" w:type="dxa"/>
          <w:bottom w:w="0" w:type="dxa"/>
          <w:right w:w="0" w:type="dxa"/>
        </w:tblCellMar>
      </w:tblPr>
      <w:tblGrid>
        <w:gridCol w:w="75"/>
        <w:gridCol w:w="170"/>
        <w:gridCol w:w="51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1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amount and timing of our cash flows, if any, from our loans;</w:t>
            </w:r>
          </w:p>
        </w:tc>
      </w:tr>
    </w:tbl>
    <w:p>
      <w:pPr>
        <w:pStyle w:val="TextBody"/>
        <w:spacing w:before="0" w:after="0"/>
        <w:ind w:left="960" w:right="0" w:hanging="720"/>
        <w:rPr>
          <w:caps w:val="false"/>
          <w:smallCaps w:val="false"/>
        </w:rPr>
      </w:pPr>
      <w:r>
        <w:rPr>
          <w:caps w:val="false"/>
          <w:smallCaps w:val="false"/>
        </w:rPr>
        <w:t> </w:t>
      </w:r>
    </w:p>
    <w:tbl>
      <w:tblPr>
        <w:tblW w:w="5035" w:type="dxa"/>
        <w:jc w:val="left"/>
        <w:tblInd w:w="0" w:type="dxa"/>
        <w:tblCellMar>
          <w:top w:w="0" w:type="dxa"/>
          <w:left w:w="0" w:type="dxa"/>
          <w:bottom w:w="0" w:type="dxa"/>
          <w:right w:w="0" w:type="dxa"/>
        </w:tblCellMar>
      </w:tblPr>
      <w:tblGrid>
        <w:gridCol w:w="75"/>
        <w:gridCol w:w="170"/>
        <w:gridCol w:w="479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7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ability to obtain and maintain financing arrangements;</w:t>
            </w:r>
          </w:p>
        </w:tc>
      </w:tr>
    </w:tbl>
    <w:p>
      <w:pPr>
        <w:pStyle w:val="TextBody"/>
        <w:spacing w:before="0" w:after="0"/>
        <w:ind w:left="960" w:right="0" w:hanging="720"/>
        <w:rPr>
          <w:caps w:val="false"/>
          <w:smallCaps w:val="false"/>
        </w:rPr>
      </w:pPr>
      <w:r>
        <w:rPr>
          <w:caps w:val="false"/>
          <w:smallCaps w:val="false"/>
        </w:rPr>
        <w:t> </w:t>
      </w:r>
    </w:p>
    <w:tbl>
      <w:tblPr>
        <w:tblW w:w="2125" w:type="dxa"/>
        <w:jc w:val="left"/>
        <w:tblInd w:w="0" w:type="dxa"/>
        <w:tblCellMar>
          <w:top w:w="0" w:type="dxa"/>
          <w:left w:w="0" w:type="dxa"/>
          <w:bottom w:w="0" w:type="dxa"/>
          <w:right w:w="0" w:type="dxa"/>
        </w:tblCellMar>
      </w:tblPr>
      <w:tblGrid>
        <w:gridCol w:w="75"/>
        <w:gridCol w:w="170"/>
        <w:gridCol w:w="188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8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expected leverage;</w:t>
            </w:r>
          </w:p>
        </w:tc>
      </w:tr>
    </w:tbl>
    <w:p>
      <w:pPr>
        <w:pStyle w:val="TextBody"/>
        <w:spacing w:before="0" w:after="0"/>
        <w:ind w:left="960" w:right="0" w:hanging="720"/>
        <w:rPr>
          <w:caps w:val="false"/>
          <w:smallCaps w:val="false"/>
        </w:rPr>
      </w:pPr>
      <w:r>
        <w:rPr>
          <w:caps w:val="false"/>
          <w:smallCaps w:val="false"/>
        </w:rPr>
        <w:t> </w:t>
      </w:r>
    </w:p>
    <w:tbl>
      <w:tblPr>
        <w:tblW w:w="3010" w:type="dxa"/>
        <w:jc w:val="left"/>
        <w:tblInd w:w="0" w:type="dxa"/>
        <w:tblCellMar>
          <w:top w:w="0" w:type="dxa"/>
          <w:left w:w="0" w:type="dxa"/>
          <w:bottom w:w="0" w:type="dxa"/>
          <w:right w:w="0" w:type="dxa"/>
        </w:tblCellMar>
      </w:tblPr>
      <w:tblGrid>
        <w:gridCol w:w="75"/>
        <w:gridCol w:w="170"/>
        <w:gridCol w:w="27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7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changes in the value of our loans;</w:t>
            </w:r>
          </w:p>
        </w:tc>
      </w:tr>
    </w:tbl>
    <w:p>
      <w:pPr>
        <w:pStyle w:val="TextBody"/>
        <w:spacing w:before="0" w:after="0"/>
        <w:ind w:left="960" w:right="0" w:hanging="720"/>
        <w:rPr>
          <w:caps w:val="false"/>
          <w:smallCaps w:val="false"/>
        </w:rPr>
      </w:pPr>
      <w:r>
        <w:rPr>
          <w:caps w:val="false"/>
          <w:smallCaps w:val="false"/>
        </w:rPr>
        <w:t> </w:t>
      </w:r>
    </w:p>
    <w:tbl>
      <w:tblPr>
        <w:tblW w:w="4420" w:type="dxa"/>
        <w:jc w:val="left"/>
        <w:tblInd w:w="0" w:type="dxa"/>
        <w:tblCellMar>
          <w:top w:w="0" w:type="dxa"/>
          <w:left w:w="0" w:type="dxa"/>
          <w:bottom w:w="0" w:type="dxa"/>
          <w:right w:w="0" w:type="dxa"/>
        </w:tblCellMar>
      </w:tblPr>
      <w:tblGrid>
        <w:gridCol w:w="75"/>
        <w:gridCol w:w="170"/>
        <w:gridCol w:w="417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1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expected investment and underwriting process;</w:t>
            </w:r>
          </w:p>
        </w:tc>
      </w:tr>
    </w:tbl>
    <w:p>
      <w:pPr>
        <w:pStyle w:val="TextBody"/>
        <w:spacing w:before="0" w:after="0"/>
        <w:ind w:left="960" w:right="0" w:hanging="720"/>
        <w:rPr>
          <w:caps w:val="false"/>
          <w:smallCaps w:val="false"/>
        </w:rPr>
      </w:pPr>
      <w:r>
        <w:rPr>
          <w:caps w:val="false"/>
          <w:smallCaps w:val="false"/>
        </w:rPr>
        <w:t> </w:t>
      </w:r>
    </w:p>
    <w:tbl>
      <w:tblPr>
        <w:tblW w:w="4810" w:type="dxa"/>
        <w:jc w:val="left"/>
        <w:tblInd w:w="0" w:type="dxa"/>
        <w:tblCellMar>
          <w:top w:w="0" w:type="dxa"/>
          <w:left w:w="0" w:type="dxa"/>
          <w:bottom w:w="0" w:type="dxa"/>
          <w:right w:w="0" w:type="dxa"/>
        </w:tblCellMar>
      </w:tblPr>
      <w:tblGrid>
        <w:gridCol w:w="75"/>
        <w:gridCol w:w="170"/>
        <w:gridCol w:w="456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45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rates of default or decreased recovery rates on our loans;</w:t>
            </w:r>
          </w:p>
        </w:tc>
      </w:tr>
    </w:tbl>
    <w:p>
      <w:pPr>
        <w:pStyle w:val="TextBody"/>
        <w:spacing w:before="0" w:after="0"/>
        <w:ind w:left="0" w:right="0" w:hanging="0"/>
        <w:rPr>
          <w:caps w:val="false"/>
          <w:smallCaps w:val="false"/>
        </w:rPr>
      </w:pPr>
      <w:r>
        <w:rPr>
          <w:caps w:val="false"/>
          <w:smallCaps w:val="false"/>
        </w:rPr>
        <w:t> </w:t>
      </w:r>
    </w:p>
    <w:tbl>
      <w:tblPr>
        <w:tblW w:w="9835" w:type="dxa"/>
        <w:jc w:val="left"/>
        <w:tblInd w:w="0" w:type="dxa"/>
        <w:tblCellMar>
          <w:top w:w="0" w:type="dxa"/>
          <w:left w:w="0" w:type="dxa"/>
          <w:bottom w:w="0" w:type="dxa"/>
          <w:right w:w="0" w:type="dxa"/>
        </w:tblCellMar>
      </w:tblPr>
      <w:tblGrid>
        <w:gridCol w:w="75"/>
        <w:gridCol w:w="170"/>
        <w:gridCol w:w="959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degree to which any interest rate or other hedging strategies may or may not protect us from interest rate volatility;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changes in interest rates and impacts of such changes on our results of operations, cash flows, and the market value of our loans;</w:t>
            </w:r>
          </w:p>
        </w:tc>
      </w:tr>
    </w:tbl>
    <w:p>
      <w:pPr>
        <w:pStyle w:val="TextBody"/>
        <w:spacing w:before="0" w:after="0"/>
        <w:ind w:left="960" w:right="0" w:hanging="720"/>
        <w:rPr>
          <w:caps w:val="false"/>
          <w:smallCaps w:val="false"/>
        </w:rPr>
      </w:pPr>
      <w:r>
        <w:rPr>
          <w:caps w:val="false"/>
          <w:smallCaps w:val="false"/>
        </w:rPr>
        <w:t> </w:t>
      </w:r>
    </w:p>
    <w:tbl>
      <w:tblPr>
        <w:tblW w:w="7360" w:type="dxa"/>
        <w:jc w:val="left"/>
        <w:tblInd w:w="0" w:type="dxa"/>
        <w:tblCellMar>
          <w:top w:w="0" w:type="dxa"/>
          <w:left w:w="0" w:type="dxa"/>
          <w:bottom w:w="0" w:type="dxa"/>
          <w:right w:w="0" w:type="dxa"/>
        </w:tblCellMar>
      </w:tblPr>
      <w:tblGrid>
        <w:gridCol w:w="75"/>
        <w:gridCol w:w="170"/>
        <w:gridCol w:w="711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1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interest rate mismatches between our loans and our borrowings used to fund such loans;</w:t>
            </w:r>
          </w:p>
        </w:tc>
      </w:tr>
    </w:tbl>
    <w:p>
      <w:pPr>
        <w:pStyle w:val="TextBody"/>
        <w:spacing w:before="0" w:after="0"/>
        <w:ind w:left="960" w:right="0" w:hanging="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departure of any of the executive officers or key personnel supporting and assisting us from our Manager or its affiliates;</w:t>
            </w:r>
          </w:p>
        </w:tc>
      </w:tr>
    </w:tbl>
    <w:p>
      <w:pPr>
        <w:pStyle w:val="TextBody"/>
        <w:spacing w:before="0" w:after="0"/>
        <w:ind w:left="960" w:right="0" w:hanging="720"/>
        <w:rPr>
          <w:caps w:val="false"/>
          <w:smallCaps w:val="false"/>
        </w:rPr>
      </w:pPr>
      <w:r>
        <w:rPr>
          <w:caps w:val="false"/>
          <w:smallCaps w:val="false"/>
        </w:rPr>
        <w:t> </w:t>
      </w:r>
    </w:p>
    <w:tbl>
      <w:tblPr>
        <w:tblW w:w="9355" w:type="dxa"/>
        <w:jc w:val="left"/>
        <w:tblInd w:w="0" w:type="dxa"/>
        <w:tblCellMar>
          <w:top w:w="0" w:type="dxa"/>
          <w:left w:w="0" w:type="dxa"/>
          <w:bottom w:w="0" w:type="dxa"/>
          <w:right w:w="0" w:type="dxa"/>
        </w:tblCellMar>
      </w:tblPr>
      <w:tblGrid>
        <w:gridCol w:w="75"/>
        <w:gridCol w:w="170"/>
        <w:gridCol w:w="91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1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impact of and changes in governmental regulations, tax law and rates, accounting guidance, and similar matters;</w:t>
            </w:r>
          </w:p>
        </w:tc>
      </w:tr>
    </w:tbl>
    <w:p>
      <w:pPr>
        <w:pStyle w:val="TextBody"/>
        <w:spacing w:before="0" w:after="0"/>
        <w:ind w:left="960" w:right="0" w:hanging="720"/>
        <w:rPr>
          <w:caps w:val="false"/>
          <w:smallCaps w:val="false"/>
        </w:rPr>
      </w:pPr>
      <w:r>
        <w:rPr>
          <w:caps w:val="false"/>
          <w:smallCaps w:val="false"/>
        </w:rPr>
        <w:t>  </w:t>
      </w:r>
    </w:p>
    <w:tbl>
      <w:tblPr>
        <w:tblW w:w="8770" w:type="dxa"/>
        <w:jc w:val="left"/>
        <w:tblInd w:w="0" w:type="dxa"/>
        <w:tblCellMar>
          <w:top w:w="0" w:type="dxa"/>
          <w:left w:w="0" w:type="dxa"/>
          <w:bottom w:w="0" w:type="dxa"/>
          <w:right w:w="0" w:type="dxa"/>
        </w:tblCellMar>
      </w:tblPr>
      <w:tblGrid>
        <w:gridCol w:w="75"/>
        <w:gridCol w:w="170"/>
        <w:gridCol w:w="852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85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ability to maintain our exclusion or exemption from registration under the Investment Company Act;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ability to qualify and maintain our qualification as a real estate investment trust (“REIT”) for U.S. federal income tax purposes;</w:t>
            </w:r>
          </w:p>
        </w:tc>
      </w:tr>
    </w:tbl>
    <w:p>
      <w:pPr>
        <w:pStyle w:val="TextBody"/>
        <w:spacing w:before="0" w:after="0"/>
        <w:ind w:left="960" w:right="0" w:hanging="720"/>
        <w:rPr>
          <w:caps w:val="false"/>
          <w:smallCaps w:val="false"/>
        </w:rPr>
      </w:pPr>
      <w:r>
        <w:rPr>
          <w:caps w:val="false"/>
          <w:smallCaps w:val="false"/>
        </w:rPr>
        <w:t> </w:t>
      </w:r>
    </w:p>
    <w:tbl>
      <w:tblPr>
        <w:tblW w:w="7285" w:type="dxa"/>
        <w:jc w:val="left"/>
        <w:tblInd w:w="0" w:type="dxa"/>
        <w:tblCellMar>
          <w:top w:w="0" w:type="dxa"/>
          <w:left w:w="0" w:type="dxa"/>
          <w:bottom w:w="0" w:type="dxa"/>
          <w:right w:w="0" w:type="dxa"/>
        </w:tblCellMar>
      </w:tblPr>
      <w:tblGrid>
        <w:gridCol w:w="75"/>
        <w:gridCol w:w="170"/>
        <w:gridCol w:w="70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0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estimates relating to our ability to make distributions to our stockholders in the future;</w:t>
            </w:r>
          </w:p>
        </w:tc>
      </w:tr>
    </w:tbl>
    <w:p>
      <w:pPr>
        <w:pStyle w:val="TextBody"/>
        <w:spacing w:before="0" w:after="0"/>
        <w:ind w:left="960" w:right="0" w:hanging="720"/>
        <w:rPr>
          <w:caps w:val="false"/>
          <w:smallCaps w:val="false"/>
        </w:rPr>
      </w:pPr>
      <w:r>
        <w:rPr>
          <w:caps w:val="false"/>
          <w:smallCaps w:val="false"/>
        </w:rPr>
        <w:t> </w:t>
      </w:r>
    </w:p>
    <w:tbl>
      <w:tblPr>
        <w:tblW w:w="3385" w:type="dxa"/>
        <w:jc w:val="left"/>
        <w:tblInd w:w="0" w:type="dxa"/>
        <w:tblCellMar>
          <w:top w:w="0" w:type="dxa"/>
          <w:left w:w="0" w:type="dxa"/>
          <w:bottom w:w="0" w:type="dxa"/>
          <w:right w:w="0" w:type="dxa"/>
        </w:tblCellMar>
      </w:tblPr>
      <w:tblGrid>
        <w:gridCol w:w="75"/>
        <w:gridCol w:w="170"/>
        <w:gridCol w:w="31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1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our understanding of our competition;</w:t>
            </w:r>
          </w:p>
        </w:tc>
      </w:tr>
    </w:tbl>
    <w:p>
      <w:pPr>
        <w:pStyle w:val="TextBody"/>
        <w:spacing w:before="0" w:after="0"/>
        <w:ind w:left="0" w:right="0" w:hanging="0"/>
        <w:rPr>
          <w:caps w:val="false"/>
          <w:smallCaps w:val="false"/>
        </w:rPr>
      </w:pPr>
      <w:r>
        <w:rPr>
          <w:caps w:val="false"/>
          <w:smallCaps w:val="false"/>
        </w:rPr>
        <w:t> </w:t>
      </w:r>
    </w:p>
    <w:tbl>
      <w:tblPr>
        <w:tblW w:w="9385" w:type="dxa"/>
        <w:jc w:val="left"/>
        <w:tblInd w:w="0" w:type="dxa"/>
        <w:tblCellMar>
          <w:top w:w="0" w:type="dxa"/>
          <w:left w:w="0" w:type="dxa"/>
          <w:bottom w:w="0" w:type="dxa"/>
          <w:right w:w="0" w:type="dxa"/>
        </w:tblCellMar>
      </w:tblPr>
      <w:tblGrid>
        <w:gridCol w:w="75"/>
        <w:gridCol w:w="170"/>
        <w:gridCol w:w="91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1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market trends in our industry, interest rates, real estate values, the securities markets or the general economy; and</w:t>
            </w:r>
          </w:p>
        </w:tc>
      </w:tr>
    </w:tbl>
    <w:p>
      <w:pPr>
        <w:pStyle w:val="TextBody"/>
        <w:spacing w:before="0" w:after="0"/>
        <w:ind w:left="960" w:right="0" w:hanging="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any of the other risks, uncertainties and other factors we identify in our annual report on Form 10-K or this quarterly report on Form 10-Q.</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commercial real estate finance company.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Manager and its affiliates seek to originate real estate loans between $5 million and $200 million, generally with one- to five-year terms and amortization when terms exceed three years. We generally act as co-lenders in such transactions and intend to hold up to $30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one to two year maturities are generally interest only loans.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loans are secured by real estate and, in addition, when lending to owner-operators in the cannabis industry, other collateral, such as equipment, receivables, licenses or other assets of the borrowers to the extent permitted by applicable laws and regulations. In addition, we seek to impose strict loan covenants and seek personal or corporate guarantees for additional protection. As of March 31, 2023 and December 31, 2022, 50.0% and 13.6%, respectively, of the loans held in our portfolio are backed by personal or corporate guarantees. We aim to maintain a portfolio diversified across jurisdictions and across verticals, including cultivators, processors, dispensaries, as well as ancillary businesses. In addition, we may invest in borrowers that have equity securities that are publicly traded on the Canadian Stock Exchange (“CSE”) in Canada and/or over-the-counter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our portfolio is comprised primarily of first mortgages to established multi-state or single-state cannabis operators or property owners. We consider cannabis operators to be established if they are state-licensed and are deemed to be operational and in good standing by the applicable state regulator. We do not own any stock, warrants to purchase stock or other forms of equity in any of our portfolio companies that are involved in the cannabis industry, and we will not take stock, warrants or equity in such issuers until permitted by applicable laws and regulations, including U.S. federal laws and regulations.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externally managed Maryland corporation that elected to be taxed as a REIT under Section 856 of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primarily in the form of interest income on loans. As of March 31, 2023 and December 31, 2022, approximately 88.0% and 83.1%, respectively, of our portfolio was comprised of floating rate loans, and 12.0% and 16.9% of our portfolio was comprised of fixed rate loans, respectively. The floating rate loans described above are variable based upon the Prime Rate plus an applicable margin, and in many cases, a Prime Rate floor.</w:t>
      </w:r>
    </w:p>
    <w:p>
      <w:pPr>
        <w:pStyle w:val="TextBody"/>
        <w:spacing w:before="0" w:after="0"/>
        <w:ind w:left="0" w:right="0" w:firstLine="720"/>
        <w:rPr>
          <w:caps w:val="false"/>
          <w:smallCaps w:val="false"/>
        </w:rPr>
      </w:pPr>
      <w:r>
        <w:rPr>
          <w:caps w:val="false"/>
          <w:smallCaps w:val="false"/>
        </w:rPr>
        <w:t> </w:t>
      </w:r>
    </w:p>
    <w:p>
      <w:pPr>
        <w:pStyle w:val="TextBody"/>
        <w:spacing w:before="0" w:after="0"/>
        <w:ind w:left="36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Prime Rate during the three months ended March 31, 2023 and the year ended December 31, 2022 was as follows:</w:t>
      </w:r>
    </w:p>
    <w:p>
      <w:pPr>
        <w:pStyle w:val="TextBody"/>
        <w:spacing w:before="0" w:after="0"/>
        <w:ind w:left="0" w:right="0" w:firstLine="360"/>
        <w:rPr>
          <w:caps w:val="false"/>
          <w:smallCaps w:val="false"/>
        </w:rPr>
      </w:pPr>
      <w:r>
        <w:rPr>
          <w:caps w:val="false"/>
          <w:smallCaps w:val="false"/>
        </w:rPr>
        <w:t> </w:t>
      </w:r>
    </w:p>
    <w:tbl>
      <w:tblPr>
        <w:tblW w:w="2534" w:type="dxa"/>
        <w:jc w:val="left"/>
        <w:tblInd w:w="0" w:type="dxa"/>
        <w:tblCellMar>
          <w:top w:w="0" w:type="dxa"/>
          <w:left w:w="0" w:type="dxa"/>
          <w:bottom w:w="28" w:type="dxa"/>
          <w:right w:w="0" w:type="dxa"/>
        </w:tblCellMar>
      </w:tblPr>
      <w:tblGrid>
        <w:gridCol w:w="1655"/>
        <w:gridCol w:w="60"/>
        <w:gridCol w:w="84"/>
        <w:gridCol w:w="535"/>
        <w:gridCol w:w="200"/>
      </w:tblGrid>
      <w:tr>
        <w:trPr/>
        <w:tc>
          <w:tcPr>
            <w:tcW w:w="1655" w:type="dxa"/>
            <w:tcBorders>
              <w:bottom w:val="single" w:sz="1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Effective Date</w:t>
            </w:r>
          </w:p>
        </w:tc>
        <w:tc>
          <w:tcPr>
            <w:tcW w:w="60" w:type="dxa"/>
            <w:tcBorders/>
            <w:shd w:fill="auto" w:val="clear"/>
            <w:tcMar>
              <w:bottom w:w="0" w:type="dxa"/>
            </w:tcMar>
            <w:vAlign w:val="center"/>
          </w:tcPr>
          <w:p>
            <w:pPr>
              <w:pStyle w:val="TableContents"/>
              <w:spacing w:before="0" w:after="283"/>
              <w:rPr/>
            </w:pPr>
            <w:r>
              <w:rPr/>
              <w:t> </w:t>
            </w:r>
          </w:p>
        </w:tc>
        <w:tc>
          <w:tcPr>
            <w:tcW w:w="619"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Rate</w:t>
            </w:r>
            <w:r>
              <w:rPr>
                <w:rFonts w:ascii="Times New Roman;Times;Serif" w:hAnsi="Times New Roman;Times;Serif"/>
                <w:b/>
                <w:position w:val="7"/>
                <w:sz w:val="16"/>
                <w:sz w:val="20"/>
              </w:rPr>
              <w:t>(1)</w:t>
            </w:r>
          </w:p>
        </w:tc>
        <w:tc>
          <w:tcPr>
            <w:tcW w:w="200" w:type="dxa"/>
            <w:tcBorders/>
            <w:shd w:fill="auto" w:val="clear"/>
            <w:tcMar>
              <w:bottom w:w="0" w:type="dxa"/>
            </w:tcMar>
            <w:vAlign w:val="center"/>
          </w:tcPr>
          <w:p>
            <w:pPr>
              <w:pStyle w:val="TableContents"/>
              <w:spacing w:before="0" w:after="283"/>
              <w:rPr/>
            </w:pPr>
            <w:r>
              <w:rPr/>
              <w:t> </w:t>
            </w:r>
          </w:p>
        </w:tc>
      </w:tr>
      <w:tr>
        <w:trPr/>
        <w:tc>
          <w:tcPr>
            <w:tcW w:w="165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March 23, 2023</w:t>
            </w:r>
          </w:p>
        </w:tc>
        <w:tc>
          <w:tcPr>
            <w:tcW w:w="60"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8.00</w:t>
            </w:r>
          </w:p>
        </w:tc>
        <w:tc>
          <w:tcPr>
            <w:tcW w:w="20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February 2, 2023</w:t>
            </w:r>
          </w:p>
        </w:tc>
        <w:tc>
          <w:tcPr>
            <w:tcW w:w="60" w:type="dxa"/>
            <w:tcBorders/>
            <w:shd w:fill="auto" w:val="clear"/>
            <w:tcMar>
              <w:bottom w:w="0" w:type="dxa"/>
            </w:tcMar>
            <w:vAlign w:val="center"/>
          </w:tcPr>
          <w:p>
            <w:pPr>
              <w:pStyle w:val="TableContents"/>
              <w:spacing w:before="0" w:after="283"/>
              <w:rPr/>
            </w:pPr>
            <w:r>
              <w:rPr/>
              <w:t> </w:t>
            </w:r>
          </w:p>
        </w:tc>
        <w:tc>
          <w:tcPr>
            <w:tcW w:w="84" w:type="dxa"/>
            <w:tcBorders/>
            <w:shd w:fill="auto" w:val="clear"/>
            <w:tcMar>
              <w:bottom w:w="0" w:type="dxa"/>
            </w:tcMar>
            <w:vAlign w:val="center"/>
          </w:tcPr>
          <w:p>
            <w:pPr>
              <w:pStyle w:val="TableContents"/>
              <w:spacing w:before="0" w:after="283"/>
              <w:rPr/>
            </w:pPr>
            <w:r>
              <w:rPr/>
              <w:t> </w:t>
            </w:r>
          </w:p>
        </w:tc>
        <w:tc>
          <w:tcPr>
            <w:tcW w:w="535"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7.75</w:t>
            </w:r>
          </w:p>
        </w:tc>
        <w:tc>
          <w:tcPr>
            <w:tcW w:w="2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5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December 15, 2022</w:t>
            </w:r>
          </w:p>
        </w:tc>
        <w:tc>
          <w:tcPr>
            <w:tcW w:w="60"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7.50</w:t>
            </w:r>
          </w:p>
        </w:tc>
        <w:tc>
          <w:tcPr>
            <w:tcW w:w="20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November 3, 2022</w:t>
            </w:r>
          </w:p>
        </w:tc>
        <w:tc>
          <w:tcPr>
            <w:tcW w:w="60" w:type="dxa"/>
            <w:tcBorders/>
            <w:shd w:fill="auto" w:val="clear"/>
            <w:tcMar>
              <w:bottom w:w="0" w:type="dxa"/>
            </w:tcMar>
            <w:vAlign w:val="center"/>
          </w:tcPr>
          <w:p>
            <w:pPr>
              <w:pStyle w:val="TableContents"/>
              <w:spacing w:before="0" w:after="283"/>
              <w:rPr/>
            </w:pPr>
            <w:r>
              <w:rPr/>
              <w:t> </w:t>
            </w:r>
          </w:p>
        </w:tc>
        <w:tc>
          <w:tcPr>
            <w:tcW w:w="84" w:type="dxa"/>
            <w:tcBorders/>
            <w:shd w:fill="auto" w:val="clear"/>
            <w:tcMar>
              <w:bottom w:w="0" w:type="dxa"/>
            </w:tcMar>
            <w:vAlign w:val="center"/>
          </w:tcPr>
          <w:p>
            <w:pPr>
              <w:pStyle w:val="TableContents"/>
              <w:spacing w:before="0" w:after="283"/>
              <w:rPr/>
            </w:pPr>
            <w:r>
              <w:rPr/>
              <w:t> </w:t>
            </w:r>
          </w:p>
        </w:tc>
        <w:tc>
          <w:tcPr>
            <w:tcW w:w="535"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7.00</w:t>
            </w:r>
          </w:p>
        </w:tc>
        <w:tc>
          <w:tcPr>
            <w:tcW w:w="2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5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September 22, 2022</w:t>
            </w:r>
          </w:p>
        </w:tc>
        <w:tc>
          <w:tcPr>
            <w:tcW w:w="60"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6.25</w:t>
            </w:r>
          </w:p>
        </w:tc>
        <w:tc>
          <w:tcPr>
            <w:tcW w:w="20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July 28, 2022</w:t>
            </w:r>
          </w:p>
        </w:tc>
        <w:tc>
          <w:tcPr>
            <w:tcW w:w="60" w:type="dxa"/>
            <w:tcBorders/>
            <w:shd w:fill="auto" w:val="clear"/>
            <w:tcMar>
              <w:bottom w:w="0" w:type="dxa"/>
            </w:tcMar>
            <w:vAlign w:val="center"/>
          </w:tcPr>
          <w:p>
            <w:pPr>
              <w:pStyle w:val="TableContents"/>
              <w:spacing w:before="0" w:after="283"/>
              <w:rPr/>
            </w:pPr>
            <w:r>
              <w:rPr/>
              <w:t> </w:t>
            </w:r>
          </w:p>
        </w:tc>
        <w:tc>
          <w:tcPr>
            <w:tcW w:w="84" w:type="dxa"/>
            <w:tcBorders/>
            <w:shd w:fill="auto" w:val="clear"/>
            <w:tcMar>
              <w:bottom w:w="0" w:type="dxa"/>
            </w:tcMar>
            <w:vAlign w:val="center"/>
          </w:tcPr>
          <w:p>
            <w:pPr>
              <w:pStyle w:val="TableContents"/>
              <w:spacing w:before="0" w:after="283"/>
              <w:rPr/>
            </w:pPr>
            <w:r>
              <w:rPr/>
              <w:t> </w:t>
            </w:r>
          </w:p>
        </w:tc>
        <w:tc>
          <w:tcPr>
            <w:tcW w:w="535"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5.50</w:t>
            </w:r>
          </w:p>
        </w:tc>
        <w:tc>
          <w:tcPr>
            <w:tcW w:w="2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5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June 16, 2022</w:t>
            </w:r>
          </w:p>
        </w:tc>
        <w:tc>
          <w:tcPr>
            <w:tcW w:w="60"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4.75</w:t>
            </w:r>
          </w:p>
        </w:tc>
        <w:tc>
          <w:tcPr>
            <w:tcW w:w="20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May 5, 2022</w:t>
            </w:r>
          </w:p>
        </w:tc>
        <w:tc>
          <w:tcPr>
            <w:tcW w:w="60" w:type="dxa"/>
            <w:tcBorders/>
            <w:shd w:fill="auto" w:val="clear"/>
            <w:tcMar>
              <w:bottom w:w="0" w:type="dxa"/>
            </w:tcMar>
            <w:vAlign w:val="center"/>
          </w:tcPr>
          <w:p>
            <w:pPr>
              <w:pStyle w:val="TableContents"/>
              <w:spacing w:before="0" w:after="283"/>
              <w:rPr/>
            </w:pPr>
            <w:r>
              <w:rPr/>
              <w:t> </w:t>
            </w:r>
          </w:p>
        </w:tc>
        <w:tc>
          <w:tcPr>
            <w:tcW w:w="84" w:type="dxa"/>
            <w:tcBorders/>
            <w:shd w:fill="auto" w:val="clear"/>
            <w:tcMar>
              <w:bottom w:w="0" w:type="dxa"/>
            </w:tcMar>
            <w:vAlign w:val="center"/>
          </w:tcPr>
          <w:p>
            <w:pPr>
              <w:pStyle w:val="TableContents"/>
              <w:spacing w:before="0" w:after="283"/>
              <w:rPr/>
            </w:pPr>
            <w:r>
              <w:rPr/>
              <w:t> </w:t>
            </w:r>
          </w:p>
        </w:tc>
        <w:tc>
          <w:tcPr>
            <w:tcW w:w="535"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4.00</w:t>
            </w:r>
          </w:p>
        </w:tc>
        <w:tc>
          <w:tcPr>
            <w:tcW w:w="2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5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March 17, 2022</w:t>
            </w:r>
          </w:p>
        </w:tc>
        <w:tc>
          <w:tcPr>
            <w:tcW w:w="60" w:type="dxa"/>
            <w:tcBorders/>
            <w:shd w:fill="CCEEFF" w:val="clear"/>
            <w:tcMar>
              <w:bottom w:w="0" w:type="dxa"/>
            </w:tcMar>
            <w:vAlign w:val="center"/>
          </w:tcPr>
          <w:p>
            <w:pPr>
              <w:pStyle w:val="TableContents"/>
              <w:spacing w:before="0" w:after="283"/>
              <w:rPr/>
            </w:pPr>
            <w:r>
              <w:rPr/>
              <w:t> </w:t>
            </w:r>
          </w:p>
        </w:tc>
        <w:tc>
          <w:tcPr>
            <w:tcW w:w="84" w:type="dxa"/>
            <w:tcBorders/>
            <w:shd w:fill="CCEEFF" w:val="clear"/>
            <w:tcMar>
              <w:bottom w:w="0" w:type="dxa"/>
            </w:tcMar>
            <w:vAlign w:val="center"/>
          </w:tcPr>
          <w:p>
            <w:pPr>
              <w:pStyle w:val="TableContents"/>
              <w:spacing w:before="0" w:after="283"/>
              <w:rPr/>
            </w:pPr>
            <w:r>
              <w:rPr/>
              <w:t> </w:t>
            </w:r>
          </w:p>
        </w:tc>
        <w:tc>
          <w:tcPr>
            <w:tcW w:w="535"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3.50</w:t>
            </w:r>
          </w:p>
        </w:tc>
        <w:tc>
          <w:tcPr>
            <w:tcW w:w="20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165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March 15, 2020</w:t>
            </w:r>
          </w:p>
        </w:tc>
        <w:tc>
          <w:tcPr>
            <w:tcW w:w="60" w:type="dxa"/>
            <w:tcBorders/>
            <w:shd w:fill="auto" w:val="clear"/>
            <w:tcMar>
              <w:bottom w:w="0" w:type="dxa"/>
            </w:tcMar>
            <w:vAlign w:val="center"/>
          </w:tcPr>
          <w:p>
            <w:pPr>
              <w:pStyle w:val="TableContents"/>
              <w:spacing w:before="0" w:after="283"/>
              <w:rPr/>
            </w:pPr>
            <w:r>
              <w:rPr/>
              <w:t> </w:t>
            </w:r>
          </w:p>
        </w:tc>
        <w:tc>
          <w:tcPr>
            <w:tcW w:w="84" w:type="dxa"/>
            <w:tcBorders/>
            <w:shd w:fill="auto" w:val="clear"/>
            <w:tcMar>
              <w:bottom w:w="0" w:type="dxa"/>
            </w:tcMar>
            <w:vAlign w:val="center"/>
          </w:tcPr>
          <w:p>
            <w:pPr>
              <w:pStyle w:val="TableContents"/>
              <w:spacing w:before="0" w:after="283"/>
              <w:rPr/>
            </w:pPr>
            <w:r>
              <w:rPr/>
              <w:t> </w:t>
            </w:r>
          </w:p>
        </w:tc>
        <w:tc>
          <w:tcPr>
            <w:tcW w:w="535" w:type="dxa"/>
            <w:tcBorders/>
            <w:shd w:fill="auto"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3.25</w:t>
            </w:r>
          </w:p>
        </w:tc>
        <w:tc>
          <w:tcPr>
            <w:tcW w:w="20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720"/>
        <w:rPr>
          <w:caps w:val="false"/>
          <w:smallCaps w:val="false"/>
        </w:rPr>
      </w:pPr>
      <w:r>
        <w:rPr>
          <w:caps w:val="false"/>
          <w:smallCaps w:val="false"/>
        </w:rPr>
        <w:t> </w:t>
      </w:r>
    </w:p>
    <w:tbl>
      <w:tblPr>
        <w:tblW w:w="6430" w:type="dxa"/>
        <w:jc w:val="left"/>
        <w:tblInd w:w="0" w:type="dxa"/>
        <w:tblCellMar>
          <w:top w:w="0" w:type="dxa"/>
          <w:left w:w="0" w:type="dxa"/>
          <w:bottom w:w="0" w:type="dxa"/>
          <w:right w:w="0" w:type="dxa"/>
        </w:tblCellMar>
      </w:tblPr>
      <w:tblGrid>
        <w:gridCol w:w="260"/>
        <w:gridCol w:w="6170"/>
      </w:tblGrid>
      <w:tr>
        <w:trPr/>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17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Rate obtained from the Wall Street Journal’s “Bonds, Rates &amp; Yields” table.</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our loans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pStyle w:val="TextBody"/>
        <w:spacing w:before="0" w:after="0"/>
        <w:ind w:left="960" w:right="0" w:hanging="720"/>
        <w:rPr>
          <w:caps w:val="false"/>
          <w:smallCaps w:val="false"/>
        </w:rPr>
      </w:pPr>
      <w:r>
        <w:rPr>
          <w:caps w:val="false"/>
          <w:smallCaps w:val="false"/>
        </w:rPr>
        <w:t> </w:t>
      </w:r>
    </w:p>
    <w:tbl>
      <w:tblPr>
        <w:tblW w:w="3340" w:type="dxa"/>
        <w:jc w:val="left"/>
        <w:tblInd w:w="0" w:type="dxa"/>
        <w:tblCellMar>
          <w:top w:w="0" w:type="dxa"/>
          <w:left w:w="0" w:type="dxa"/>
          <w:bottom w:w="0" w:type="dxa"/>
          <w:right w:w="0" w:type="dxa"/>
        </w:tblCellMar>
      </w:tblPr>
      <w:tblGrid>
        <w:gridCol w:w="75"/>
        <w:gridCol w:w="170"/>
        <w:gridCol w:w="309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0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organizational and offering expenses;</w:t>
            </w:r>
          </w:p>
        </w:tc>
      </w:tr>
    </w:tbl>
    <w:p>
      <w:pPr>
        <w:pStyle w:val="TextBody"/>
        <w:spacing w:before="0" w:after="0"/>
        <w:ind w:left="960" w:right="0" w:hanging="720"/>
        <w:rPr>
          <w:caps w:val="false"/>
          <w:smallCaps w:val="false"/>
        </w:rPr>
      </w:pPr>
      <w:r>
        <w:rPr>
          <w:caps w:val="false"/>
          <w:smallCaps w:val="false"/>
        </w:rPr>
        <w:t> </w:t>
      </w:r>
    </w:p>
    <w:tbl>
      <w:tblPr>
        <w:tblW w:w="2680" w:type="dxa"/>
        <w:jc w:val="left"/>
        <w:tblInd w:w="0" w:type="dxa"/>
        <w:tblCellMar>
          <w:top w:w="0" w:type="dxa"/>
          <w:left w:w="0" w:type="dxa"/>
          <w:bottom w:w="0" w:type="dxa"/>
          <w:right w:w="0" w:type="dxa"/>
        </w:tblCellMar>
      </w:tblPr>
      <w:tblGrid>
        <w:gridCol w:w="75"/>
        <w:gridCol w:w="170"/>
        <w:gridCol w:w="243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4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quarterly valuation expenses;</w:t>
            </w:r>
          </w:p>
        </w:tc>
      </w:tr>
    </w:tbl>
    <w:p>
      <w:pPr>
        <w:pStyle w:val="TextBody"/>
        <w:spacing w:before="0" w:after="0"/>
        <w:ind w:left="960" w:right="0" w:hanging="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fees payable to third parties relating to, or associated with, making loans and valuing loans (including third-party valuation firms);</w:t>
            </w:r>
          </w:p>
        </w:tc>
      </w:tr>
    </w:tbl>
    <w:p>
      <w:pPr>
        <w:pStyle w:val="TextBody"/>
        <w:spacing w:before="0" w:after="0"/>
        <w:ind w:left="960" w:right="0" w:hanging="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fees and expenses associated with investor relations and marketing efforts (including attendance at investment conferences and similar events);</w:t>
            </w:r>
          </w:p>
        </w:tc>
      </w:tr>
    </w:tbl>
    <w:p>
      <w:pPr>
        <w:pStyle w:val="TextBody"/>
        <w:spacing w:before="0" w:after="0"/>
        <w:ind w:left="960" w:right="0" w:hanging="720"/>
        <w:rPr>
          <w:caps w:val="false"/>
          <w:smallCaps w:val="false"/>
        </w:rPr>
      </w:pPr>
      <w:r>
        <w:rPr>
          <w:caps w:val="false"/>
          <w:smallCaps w:val="false"/>
        </w:rPr>
        <w:t> </w:t>
      </w:r>
    </w:p>
    <w:tbl>
      <w:tblPr>
        <w:tblW w:w="8095" w:type="dxa"/>
        <w:jc w:val="left"/>
        <w:tblInd w:w="0" w:type="dxa"/>
        <w:tblCellMar>
          <w:top w:w="0" w:type="dxa"/>
          <w:left w:w="0" w:type="dxa"/>
          <w:bottom w:w="0" w:type="dxa"/>
          <w:right w:w="0" w:type="dxa"/>
        </w:tblCellMar>
      </w:tblPr>
      <w:tblGrid>
        <w:gridCol w:w="75"/>
        <w:gridCol w:w="170"/>
        <w:gridCol w:w="785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8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accounting and audit fees and expenses from our independent registered public accounting firm;</w:t>
            </w:r>
          </w:p>
        </w:tc>
      </w:tr>
    </w:tbl>
    <w:p>
      <w:pPr>
        <w:pStyle w:val="TextBody"/>
        <w:spacing w:before="0" w:after="0"/>
        <w:ind w:left="0" w:right="0" w:hanging="0"/>
        <w:rPr>
          <w:caps w:val="false"/>
          <w:smallCaps w:val="false"/>
        </w:rPr>
      </w:pPr>
      <w:r>
        <w:rPr>
          <w:caps w:val="false"/>
          <w:smallCaps w:val="false"/>
        </w:rPr>
        <w:t> </w:t>
      </w:r>
    </w:p>
    <w:tbl>
      <w:tblPr>
        <w:tblW w:w="2995" w:type="dxa"/>
        <w:jc w:val="left"/>
        <w:tblInd w:w="0" w:type="dxa"/>
        <w:tblCellMar>
          <w:top w:w="0" w:type="dxa"/>
          <w:left w:w="0" w:type="dxa"/>
          <w:bottom w:w="0" w:type="dxa"/>
          <w:right w:w="0" w:type="dxa"/>
        </w:tblCellMar>
      </w:tblPr>
      <w:tblGrid>
        <w:gridCol w:w="75"/>
        <w:gridCol w:w="170"/>
        <w:gridCol w:w="275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7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federal and state registration fees;</w:t>
            </w:r>
          </w:p>
        </w:tc>
      </w:tr>
    </w:tbl>
    <w:p>
      <w:pPr>
        <w:pStyle w:val="TextBody"/>
        <w:spacing w:before="0" w:after="0"/>
        <w:ind w:left="960" w:right="0" w:hanging="720"/>
        <w:rPr>
          <w:caps w:val="false"/>
          <w:smallCaps w:val="false"/>
        </w:rPr>
      </w:pPr>
      <w:r>
        <w:rPr>
          <w:caps w:val="false"/>
          <w:smallCaps w:val="false"/>
        </w:rPr>
        <w:t> </w:t>
      </w:r>
    </w:p>
    <w:tbl>
      <w:tblPr>
        <w:tblW w:w="2395" w:type="dxa"/>
        <w:jc w:val="left"/>
        <w:tblInd w:w="0" w:type="dxa"/>
        <w:tblCellMar>
          <w:top w:w="0" w:type="dxa"/>
          <w:left w:w="0" w:type="dxa"/>
          <w:bottom w:w="0" w:type="dxa"/>
          <w:right w:w="0" w:type="dxa"/>
        </w:tblCellMar>
      </w:tblPr>
      <w:tblGrid>
        <w:gridCol w:w="75"/>
        <w:gridCol w:w="170"/>
        <w:gridCol w:w="215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1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any exchange listing fees;</w:t>
            </w:r>
          </w:p>
        </w:tc>
      </w:tr>
    </w:tbl>
    <w:p>
      <w:pPr>
        <w:pStyle w:val="TextBody"/>
        <w:spacing w:before="0" w:after="0"/>
        <w:ind w:left="0" w:right="0" w:hanging="0"/>
        <w:rPr>
          <w:caps w:val="false"/>
          <w:smallCaps w:val="false"/>
        </w:rPr>
      </w:pPr>
      <w:r>
        <w:rPr>
          <w:caps w:val="false"/>
          <w:smallCaps w:val="false"/>
        </w:rPr>
        <w:t> </w:t>
      </w:r>
    </w:p>
    <w:tbl>
      <w:tblPr>
        <w:tblW w:w="2620" w:type="dxa"/>
        <w:jc w:val="left"/>
        <w:tblInd w:w="0" w:type="dxa"/>
        <w:tblCellMar>
          <w:top w:w="0" w:type="dxa"/>
          <w:left w:w="0" w:type="dxa"/>
          <w:bottom w:w="0" w:type="dxa"/>
          <w:right w:w="0" w:type="dxa"/>
        </w:tblCellMar>
      </w:tblPr>
      <w:tblGrid>
        <w:gridCol w:w="75"/>
        <w:gridCol w:w="170"/>
        <w:gridCol w:w="237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37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federal, state and local taxes;</w:t>
            </w:r>
          </w:p>
        </w:tc>
      </w:tr>
    </w:tbl>
    <w:p>
      <w:pPr>
        <w:pStyle w:val="TextBody"/>
        <w:spacing w:before="0" w:after="0"/>
        <w:ind w:left="0" w:right="0" w:hanging="0"/>
        <w:rPr>
          <w:caps w:val="false"/>
          <w:smallCaps w:val="false"/>
        </w:rPr>
      </w:pPr>
      <w:r>
        <w:rPr>
          <w:caps w:val="false"/>
          <w:smallCaps w:val="false"/>
        </w:rPr>
        <w:t> </w:t>
      </w:r>
    </w:p>
    <w:tbl>
      <w:tblPr>
        <w:tblW w:w="3655" w:type="dxa"/>
        <w:jc w:val="left"/>
        <w:tblInd w:w="0" w:type="dxa"/>
        <w:tblCellMar>
          <w:top w:w="0" w:type="dxa"/>
          <w:left w:w="0" w:type="dxa"/>
          <w:bottom w:w="0" w:type="dxa"/>
          <w:right w:w="0" w:type="dxa"/>
        </w:tblCellMar>
      </w:tblPr>
      <w:tblGrid>
        <w:gridCol w:w="75"/>
        <w:gridCol w:w="170"/>
        <w:gridCol w:w="341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34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independent directors’ fees and expenses;</w:t>
            </w:r>
          </w:p>
        </w:tc>
      </w:tr>
    </w:tbl>
    <w:p>
      <w:pPr>
        <w:pStyle w:val="TextBody"/>
        <w:spacing w:before="0" w:after="0"/>
        <w:ind w:left="960" w:right="0" w:hanging="720"/>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170"/>
        <w:gridCol w:w="200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20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brokerage commissions;</w:t>
            </w:r>
          </w:p>
        </w:tc>
      </w:tr>
    </w:tbl>
    <w:p>
      <w:pPr>
        <w:pStyle w:val="TextBody"/>
        <w:spacing w:before="0" w:after="0"/>
        <w:ind w:left="960" w:right="0" w:hanging="720"/>
        <w:rPr>
          <w:caps w:val="false"/>
          <w:smallCaps w:val="false"/>
        </w:rPr>
      </w:pPr>
      <w:r>
        <w:rPr>
          <w:caps w:val="false"/>
          <w:smallCaps w:val="false"/>
        </w:rPr>
        <w:t> </w:t>
      </w:r>
    </w:p>
    <w:tbl>
      <w:tblPr>
        <w:tblW w:w="5485" w:type="dxa"/>
        <w:jc w:val="left"/>
        <w:tblInd w:w="0" w:type="dxa"/>
        <w:tblCellMar>
          <w:top w:w="0" w:type="dxa"/>
          <w:left w:w="0" w:type="dxa"/>
          <w:bottom w:w="0" w:type="dxa"/>
          <w:right w:w="0" w:type="dxa"/>
        </w:tblCellMar>
      </w:tblPr>
      <w:tblGrid>
        <w:gridCol w:w="75"/>
        <w:gridCol w:w="170"/>
        <w:gridCol w:w="52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52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costs of proxy statements, stockholders’ reports and notices; and</w:t>
            </w:r>
          </w:p>
        </w:tc>
      </w:tr>
    </w:tbl>
    <w:p>
      <w:pPr>
        <w:pStyle w:val="TextBody"/>
        <w:spacing w:before="0" w:after="0"/>
        <w:ind w:left="960" w:right="0" w:hanging="720"/>
        <w:rPr>
          <w:caps w:val="false"/>
          <w:smallCaps w:val="false"/>
        </w:rPr>
      </w:pPr>
      <w:r>
        <w:rPr>
          <w:caps w:val="false"/>
          <w:smallCaps w:val="false"/>
        </w:rPr>
        <w:t> </w:t>
      </w:r>
    </w:p>
    <w:tbl>
      <w:tblPr>
        <w:tblW w:w="7630" w:type="dxa"/>
        <w:jc w:val="left"/>
        <w:tblInd w:w="0" w:type="dxa"/>
        <w:tblCellMar>
          <w:top w:w="0" w:type="dxa"/>
          <w:left w:w="0" w:type="dxa"/>
          <w:bottom w:w="0" w:type="dxa"/>
          <w:right w:w="0" w:type="dxa"/>
        </w:tblCellMar>
      </w:tblPr>
      <w:tblGrid>
        <w:gridCol w:w="75"/>
        <w:gridCol w:w="170"/>
        <w:gridCol w:w="738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3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costs of preparing government filings, including periodic and current reports with the SEC.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Maryland corporation that elected to be taxed as a REIT under the Code, commencing with our taxable period ended December 31, 2021. We believe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three months ended March 31, 2023 and the year ended December 31, 2022, we did not incur excise tax expense.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well documented and supported as of March 31, 2023. Based on our evaluation, there is no reserve for any uncertain income tax positions. Accrued interest and penalties, if any, are included within other liabilities in the consolidated balance sheets.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Impacting our Operating Results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Market Interest Rates and Effect on Net Interest Income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Cap Risk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could lower our net interest income or cause a net loss during periods of rising interest rates, which would harm our financial condition, cash flows and results of operations. As of March 31, 2023, all of our floating rate loans have interest rate floors, and one loan is subject to an interest rate cap.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Mismatch Risk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Conditions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We intend to continue our track record of capitalizing on these opportunities and growing the size of our portfolio.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Developments During the First Quarter of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Updates to Our Loan Portfolio during the First Quarter of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2023, we advanced approximately $0.2 million in aggregate principal on an existing credit facility to one borrower. On January 24, 2023, we refinanced and closed one credit facility with an existing borrower, which resulted in a paydown of $18.3 million in aggregate principal. On January 24, 2023, we also purchased a senior secured loan from an affiliate under common control. The purchase price of approximately $19.0 million was approved by the Audit Committee of the Board. The fair value approximated the carrying value of the loan plus accrued and unpaid interest through January 24, 2023. On January 24, 2023, we also closed one credit facility with a new borrower, which had an aggregate commitment of $11.3 million, which was fully funded at closing. On March 6, 2023, we advanced approximately $0.7 million in aggregate principal on an existing credit facility to one borrower. On March 27, 2023, we closed one credit facility with a new borrower, which has an aggregate commitment of approximately $2.0 million. On March 31, 2023, we close one credit facility with a new borrower, which has an aggregate commitment of approximately $1.0 million.</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2023, an existing borrower paid down approximately $6.4 million in aggregate principal. We received a prepayment premium and a success fee of approximately $0.3 million and $0.1 million, respectively. On March 30, 2023, an existing borrower repaid its loan in full in an amount of approximately $19.0 million in aggregate principal. The loan was comprised of a single tranche with an original maturity date of October 31, 2024. We received a make-whole fee of approximately $1.0 million. On March 31, 2023, we decided to and completed the sale of a secured loan to an affiliate under common control. The selling price of approximately $13.7 million was approved by the audit committee of the Board. The fair value approximated the carrying value of the loan plus accrued and unpaid interest through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Updates to Our Loan Portfolio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April 1, 2022 to May 9, 2023, we funded approximately $0.6 million to an existing borrower.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Declared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we declared an ordinary cash dividend of $0.47 per share of our common stock, relating to the first quarter of 2023, which was paid on April 14, 2023 to stockholders of record as of the close of business on March 31, 2023. The total amount of the cash dividend payment was approximately $8.5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these dividends is not indicative of our ability to pay such dividends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Comparison of the three months ended March 31, 2023 and 2022 </w:t>
      </w:r>
    </w:p>
    <w:p>
      <w:pPr>
        <w:pStyle w:val="TextBody"/>
        <w:spacing w:before="0" w:after="0"/>
        <w:ind w:left="0" w:right="0" w:hanging="0"/>
        <w:rPr>
          <w:caps w:val="false"/>
          <w:smallCaps w:val="false"/>
        </w:rPr>
      </w:pPr>
      <w:r>
        <w:rPr>
          <w:caps w:val="false"/>
          <w:smallCaps w:val="false"/>
        </w:rPr>
        <w:t> </w:t>
      </w:r>
    </w:p>
    <w:tbl>
      <w:tblPr>
        <w:tblW w:w="9945" w:type="dxa"/>
        <w:jc w:val="left"/>
        <w:tblInd w:w="0" w:type="dxa"/>
        <w:tblCellMar>
          <w:top w:w="0" w:type="dxa"/>
          <w:left w:w="0" w:type="dxa"/>
          <w:bottom w:w="0" w:type="dxa"/>
          <w:right w:w="0" w:type="dxa"/>
        </w:tblCellMar>
      </w:tblPr>
      <w:tblGrid>
        <w:gridCol w:w="4085"/>
        <w:gridCol w:w="60"/>
        <w:gridCol w:w="152"/>
        <w:gridCol w:w="1203"/>
        <w:gridCol w:w="95"/>
        <w:gridCol w:w="60"/>
        <w:gridCol w:w="253"/>
        <w:gridCol w:w="1777"/>
        <w:gridCol w:w="95"/>
        <w:gridCol w:w="60"/>
        <w:gridCol w:w="140"/>
        <w:gridCol w:w="1055"/>
        <w:gridCol w:w="95"/>
        <w:gridCol w:w="60"/>
        <w:gridCol w:w="60"/>
        <w:gridCol w:w="440"/>
        <w:gridCol w:w="255"/>
      </w:tblGrid>
      <w:tr>
        <w:trPr/>
        <w:tc>
          <w:tcPr>
            <w:tcW w:w="40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b/>
              </w:rPr>
            </w:pPr>
            <w:r>
              <w:rPr>
                <w:b/>
              </w:rPr>
              <w:t>For the</w:t>
              <w:br/>
              <w:t>three months</w:t>
              <w:br/>
              <w:t>ended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shd w:fill="auto" w:val="clear"/>
            <w:vAlign w:val="center"/>
          </w:tcPr>
          <w:p>
            <w:pPr>
              <w:pStyle w:val="TableContents"/>
              <w:spacing w:before="0" w:after="283"/>
              <w:jc w:val="center"/>
              <w:rPr>
                <w:b/>
              </w:rPr>
            </w:pPr>
            <w:r>
              <w:rPr>
                <w:b/>
              </w:rPr>
              <w:t>For the</w:t>
              <w:br/>
              <w:t>three months ended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50" w:type="dxa"/>
            <w:gridSpan w:val="6"/>
            <w:tcBorders>
              <w:bottom w:val="single" w:sz="12" w:space="0" w:color="000000"/>
            </w:tcBorders>
            <w:shd w:fill="auto" w:val="clear"/>
            <w:tcMar>
              <w:bottom w:w="28" w:type="dxa"/>
            </w:tcMar>
            <w:vAlign w:val="center"/>
          </w:tcPr>
          <w:p>
            <w:pPr>
              <w:pStyle w:val="TableContents"/>
              <w:spacing w:before="0" w:after="283"/>
              <w:jc w:val="center"/>
              <w:rPr>
                <w:b/>
              </w:rPr>
            </w:pPr>
            <w:r>
              <w:rPr>
                <w:b/>
              </w:rPr>
              <w:t>Variance</w:t>
            </w:r>
          </w:p>
        </w:tc>
        <w:tc>
          <w:tcPr>
            <w:tcW w:w="255" w:type="dxa"/>
            <w:tcBorders/>
            <w:shd w:fill="auto"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Amount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t>
            </w:r>
          </w:p>
        </w:tc>
        <w:tc>
          <w:tcPr>
            <w:tcW w:w="255" w:type="dxa"/>
            <w:tcBorders/>
            <w:shd w:fill="auto" w:val="clear"/>
            <w:vAlign w:val="center"/>
          </w:tcPr>
          <w:p>
            <w:pPr>
              <w:pStyle w:val="TableContents"/>
              <w:spacing w:before="0" w:after="283"/>
              <w:rPr/>
            </w:pPr>
            <w:r>
              <w:rPr/>
              <w:t> </w:t>
            </w:r>
          </w:p>
        </w:tc>
      </w:tr>
      <w:tr>
        <w:trPr/>
        <w:tc>
          <w:tcPr>
            <w:tcW w:w="4085" w:type="dxa"/>
            <w:tcBorders/>
            <w:shd w:fill="auto" w:val="clear"/>
            <w:vAlign w:val="center"/>
          </w:tcPr>
          <w:p>
            <w:pPr>
              <w:pStyle w:val="TableContents"/>
              <w:spacing w:before="0" w:after="283"/>
              <w:rPr>
                <w:b/>
              </w:rPr>
            </w:pPr>
            <w:r>
              <w:rPr>
                <w:b/>
              </w:rPr>
              <w:t>Revenues</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3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gridSpan w:val="2"/>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ind w:left="0" w:right="0" w:firstLine="180"/>
              <w:rPr/>
            </w:pPr>
            <w:r>
              <w:rPr/>
              <w:t> </w:t>
            </w:r>
          </w:p>
        </w:tc>
      </w:tr>
      <w:tr>
        <w:trPr/>
        <w:tc>
          <w:tcPr>
            <w:tcW w:w="4085" w:type="dxa"/>
            <w:tcBorders/>
            <w:shd w:fill="CCEEFF" w:val="clear"/>
            <w:vAlign w:val="center"/>
          </w:tcPr>
          <w:p>
            <w:pPr>
              <w:pStyle w:val="TableContents"/>
              <w:spacing w:before="0" w:after="283"/>
              <w:jc w:val="left"/>
              <w:rPr/>
            </w:pPr>
            <w:r>
              <w:rPr/>
              <w:t>Interest income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w:t>
            </w:r>
          </w:p>
        </w:tc>
        <w:tc>
          <w:tcPr>
            <w:tcW w:w="1203" w:type="dxa"/>
            <w:tcBorders/>
            <w:shd w:fill="CCEEFF" w:val="clear"/>
            <w:vAlign w:val="center"/>
          </w:tcPr>
          <w:p>
            <w:pPr>
              <w:pStyle w:val="TableContents"/>
              <w:spacing w:before="0" w:after="283"/>
              <w:jc w:val="right"/>
              <w:rPr/>
            </w:pPr>
            <w:r>
              <w:rPr/>
              <w:t>16,527,304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shd w:fill="CCEEFF" w:val="clear"/>
            <w:vAlign w:val="center"/>
          </w:tcPr>
          <w:p>
            <w:pPr>
              <w:pStyle w:val="TableContents"/>
              <w:spacing w:before="0" w:after="283"/>
              <w:jc w:val="left"/>
              <w:rPr/>
            </w:pPr>
            <w:r>
              <w:rPr/>
              <w:t>$</w:t>
            </w:r>
          </w:p>
        </w:tc>
        <w:tc>
          <w:tcPr>
            <w:tcW w:w="1777" w:type="dxa"/>
            <w:tcBorders/>
            <w:shd w:fill="CCEEFF" w:val="clear"/>
            <w:vAlign w:val="center"/>
          </w:tcPr>
          <w:p>
            <w:pPr>
              <w:pStyle w:val="TableContents"/>
              <w:spacing w:before="0" w:after="283"/>
              <w:jc w:val="right"/>
              <w:rPr/>
            </w:pPr>
            <w:r>
              <w:rPr/>
              <w:t>9,833,053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6,694,251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68.1</w:t>
            </w:r>
          </w:p>
        </w:tc>
        <w:tc>
          <w:tcPr>
            <w:tcW w:w="255" w:type="dxa"/>
            <w:tcBorders/>
            <w:shd w:fill="CCEEFF" w:val="clear"/>
            <w:vAlign w:val="center"/>
          </w:tcPr>
          <w:p>
            <w:pPr>
              <w:pStyle w:val="TableContents"/>
              <w:spacing w:before="0" w:after="283"/>
              <w:ind w:left="0" w:right="0" w:firstLine="180"/>
              <w:rPr>
                <w:sz w:val="4"/>
                <w:szCs w:val="4"/>
              </w:rPr>
            </w:pPr>
            <w:r>
              <w:rPr>
                <w:sz w:val="4"/>
                <w:szCs w:val="4"/>
              </w:rPr>
            </w:r>
          </w:p>
        </w:tc>
      </w:tr>
      <w:tr>
        <w:trPr/>
        <w:tc>
          <w:tcPr>
            <w:tcW w:w="4085" w:type="dxa"/>
            <w:tcBorders/>
            <w:shd w:fill="auto" w:val="clear"/>
            <w:vAlign w:val="center"/>
          </w:tcPr>
          <w:p>
            <w:pPr>
              <w:pStyle w:val="TableContents"/>
              <w:spacing w:before="0" w:after="283"/>
              <w:jc w:val="left"/>
              <w:rPr/>
            </w:pPr>
            <w:r>
              <w:rPr/>
              <w:t>Interest expense</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(1,618,296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777" w:type="dxa"/>
            <w:tcBorders>
              <w:bottom w:val="single" w:sz="12" w:space="0" w:color="000000"/>
            </w:tcBorders>
            <w:shd w:fill="auto" w:val="clear"/>
            <w:tcMar>
              <w:bottom w:w="28" w:type="dxa"/>
            </w:tcMar>
            <w:vAlign w:val="center"/>
          </w:tcPr>
          <w:p>
            <w:pPr>
              <w:pStyle w:val="TableContents"/>
              <w:spacing w:before="0" w:after="283"/>
              <w:jc w:val="right"/>
              <w:rPr/>
            </w:pPr>
            <w:r>
              <w:rPr/>
              <w:t>(72,268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(1,546,028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44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55" w:type="dxa"/>
            <w:tcBorders/>
            <w:shd w:fill="auto" w:val="clear"/>
            <w:vAlign w:val="center"/>
          </w:tcPr>
          <w:p>
            <w:pPr>
              <w:pStyle w:val="TableContents"/>
              <w:spacing w:before="0" w:after="283"/>
              <w:jc w:val="left"/>
              <w:rPr/>
            </w:pPr>
            <w:r>
              <w:rPr/>
              <w:t> </w:t>
            </w:r>
          </w:p>
        </w:tc>
      </w:tr>
      <w:tr>
        <w:trPr/>
        <w:tc>
          <w:tcPr>
            <w:tcW w:w="4085" w:type="dxa"/>
            <w:tcBorders/>
            <w:shd w:fill="CCEEFF" w:val="clear"/>
            <w:vAlign w:val="center"/>
          </w:tcPr>
          <w:p>
            <w:pPr>
              <w:pStyle w:val="TableContents"/>
              <w:spacing w:before="0" w:after="283"/>
              <w:jc w:val="left"/>
              <w:rPr>
                <w:b/>
              </w:rPr>
            </w:pPr>
            <w:r>
              <w:rPr>
                <w:b/>
              </w:rPr>
              <w:t>Net interest income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14,909,008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shd w:fill="CCEEFF" w:val="clear"/>
            <w:vAlign w:val="center"/>
          </w:tcPr>
          <w:p>
            <w:pPr>
              <w:pStyle w:val="TableContents"/>
              <w:spacing w:before="0" w:after="283"/>
              <w:jc w:val="left"/>
              <w:rPr/>
            </w:pPr>
            <w:r>
              <w:rPr/>
              <w:t> </w:t>
            </w:r>
          </w:p>
        </w:tc>
        <w:tc>
          <w:tcPr>
            <w:tcW w:w="1777" w:type="dxa"/>
            <w:tcBorders/>
            <w:shd w:fill="CCEEFF" w:val="clear"/>
            <w:vAlign w:val="center"/>
          </w:tcPr>
          <w:p>
            <w:pPr>
              <w:pStyle w:val="TableContents"/>
              <w:spacing w:before="0" w:after="283"/>
              <w:jc w:val="right"/>
              <w:rPr/>
            </w:pPr>
            <w:r>
              <w:rPr/>
              <w:t>9,760,785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5,148,223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52.7</w:t>
            </w:r>
          </w:p>
        </w:tc>
        <w:tc>
          <w:tcPr>
            <w:tcW w:w="255" w:type="dxa"/>
            <w:tcBorders/>
            <w:shd w:fill="CCEEFF" w:val="clear"/>
            <w:vAlign w:val="center"/>
          </w:tcPr>
          <w:p>
            <w:pPr>
              <w:pStyle w:val="TableContents"/>
              <w:spacing w:before="0" w:after="283"/>
              <w:rPr>
                <w:sz w:val="4"/>
                <w:szCs w:val="4"/>
              </w:rPr>
            </w:pPr>
            <w:r>
              <w:rPr>
                <w:sz w:val="4"/>
                <w:szCs w:val="4"/>
              </w:rPr>
            </w:r>
          </w:p>
        </w:tc>
      </w:tr>
      <w:tr>
        <w:trPr/>
        <w:tc>
          <w:tcPr>
            <w:tcW w:w="40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left"/>
              <w:rPr/>
            </w:pPr>
            <w:r>
              <w:rPr/>
              <w:t> </w:t>
            </w:r>
          </w:p>
        </w:tc>
        <w:tc>
          <w:tcPr>
            <w:tcW w:w="1777"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 </w:t>
            </w:r>
          </w:p>
        </w:tc>
        <w:tc>
          <w:tcPr>
            <w:tcW w:w="255" w:type="dxa"/>
            <w:tcBorders/>
            <w:shd w:fill="auto" w:val="clear"/>
            <w:vAlign w:val="center"/>
          </w:tcPr>
          <w:p>
            <w:pPr>
              <w:pStyle w:val="TableContents"/>
              <w:spacing w:before="0" w:after="283"/>
              <w:jc w:val="left"/>
              <w:rPr/>
            </w:pPr>
            <w:r>
              <w:rPr/>
              <w:t> </w:t>
            </w:r>
          </w:p>
        </w:tc>
      </w:tr>
      <w:tr>
        <w:trPr/>
        <w:tc>
          <w:tcPr>
            <w:tcW w:w="4085" w:type="dxa"/>
            <w:tcBorders/>
            <w:shd w:fill="CCEEFF" w:val="clear"/>
            <w:vAlign w:val="center"/>
          </w:tcPr>
          <w:p>
            <w:pPr>
              <w:pStyle w:val="TableContents"/>
              <w:spacing w:before="0" w:after="283"/>
              <w:rPr>
                <w:b/>
              </w:rPr>
            </w:pPr>
            <w:r>
              <w:rPr>
                <w:b/>
              </w:rPr>
              <w:t>Expenses</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shd w:fill="CCEEFF" w:val="clear"/>
            <w:vAlign w:val="center"/>
          </w:tcPr>
          <w:p>
            <w:pPr>
              <w:pStyle w:val="TableContents"/>
              <w:spacing w:before="0" w:after="283"/>
              <w:jc w:val="left"/>
              <w:rPr/>
            </w:pPr>
            <w:r>
              <w:rPr/>
              <w:t> </w:t>
            </w:r>
          </w:p>
        </w:tc>
        <w:tc>
          <w:tcPr>
            <w:tcW w:w="1777"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 </w:t>
            </w:r>
          </w:p>
        </w:tc>
        <w:tc>
          <w:tcPr>
            <w:tcW w:w="255" w:type="dxa"/>
            <w:tcBorders/>
            <w:shd w:fill="CCEEFF" w:val="clear"/>
            <w:vAlign w:val="center"/>
          </w:tcPr>
          <w:p>
            <w:pPr>
              <w:pStyle w:val="TableContents"/>
              <w:spacing w:before="0" w:after="283"/>
              <w:ind w:left="0" w:right="0" w:firstLine="180"/>
              <w:jc w:val="left"/>
              <w:rPr/>
            </w:pPr>
            <w:r>
              <w:rPr/>
              <w:t> </w:t>
            </w:r>
          </w:p>
        </w:tc>
      </w:tr>
      <w:tr>
        <w:trPr/>
        <w:tc>
          <w:tcPr>
            <w:tcW w:w="4085" w:type="dxa"/>
            <w:tcBorders/>
            <w:shd w:fill="auto" w:val="clear"/>
            <w:vAlign w:val="center"/>
          </w:tcPr>
          <w:p>
            <w:pPr>
              <w:pStyle w:val="TableContents"/>
              <w:spacing w:before="0" w:after="283"/>
              <w:jc w:val="left"/>
              <w:rPr/>
            </w:pPr>
            <w:r>
              <w:rPr/>
              <w:t>Management and incentive fees, net</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2,138,005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left"/>
              <w:rPr/>
            </w:pPr>
            <w:r>
              <w:rPr/>
              <w:t> </w:t>
            </w:r>
          </w:p>
        </w:tc>
        <w:tc>
          <w:tcPr>
            <w:tcW w:w="1777" w:type="dxa"/>
            <w:tcBorders/>
            <w:shd w:fill="auto" w:val="clear"/>
            <w:vAlign w:val="center"/>
          </w:tcPr>
          <w:p>
            <w:pPr>
              <w:pStyle w:val="TableContents"/>
              <w:spacing w:before="0" w:after="283"/>
              <w:jc w:val="right"/>
              <w:rPr/>
            </w:pPr>
            <w:r>
              <w:rPr/>
              <w:t>671,505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1,466,500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w:t>
            </w:r>
          </w:p>
        </w:tc>
        <w:tc>
          <w:tcPr>
            <w:tcW w:w="255" w:type="dxa"/>
            <w:tcBorders/>
            <w:shd w:fill="auto" w:val="clear"/>
            <w:vAlign w:val="center"/>
          </w:tcPr>
          <w:p>
            <w:pPr>
              <w:pStyle w:val="TableContents"/>
              <w:spacing w:before="0" w:after="283"/>
              <w:ind w:left="0" w:right="0" w:firstLine="180"/>
              <w:jc w:val="left"/>
              <w:rPr/>
            </w:pPr>
            <w:r>
              <w:rPr/>
              <w:t> </w:t>
            </w:r>
          </w:p>
        </w:tc>
      </w:tr>
      <w:tr>
        <w:trPr/>
        <w:tc>
          <w:tcPr>
            <w:tcW w:w="4085" w:type="dxa"/>
            <w:tcBorders/>
            <w:shd w:fill="CCEEFF" w:val="clear"/>
            <w:vAlign w:val="center"/>
          </w:tcPr>
          <w:p>
            <w:pPr>
              <w:pStyle w:val="TableContents"/>
              <w:spacing w:before="0" w:after="283"/>
              <w:jc w:val="left"/>
              <w:rPr/>
            </w:pPr>
            <w:r>
              <w:rPr/>
              <w:t>General and administrative expense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1,274,825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shd w:fill="CCEEFF" w:val="clear"/>
            <w:vAlign w:val="center"/>
          </w:tcPr>
          <w:p>
            <w:pPr>
              <w:pStyle w:val="TableContents"/>
              <w:spacing w:before="0" w:after="283"/>
              <w:jc w:val="left"/>
              <w:rPr/>
            </w:pPr>
            <w:r>
              <w:rPr/>
              <w:t> </w:t>
            </w:r>
          </w:p>
        </w:tc>
        <w:tc>
          <w:tcPr>
            <w:tcW w:w="1777" w:type="dxa"/>
            <w:tcBorders/>
            <w:shd w:fill="CCEEFF" w:val="clear"/>
            <w:vAlign w:val="center"/>
          </w:tcPr>
          <w:p>
            <w:pPr>
              <w:pStyle w:val="TableContents"/>
              <w:spacing w:before="0" w:after="283"/>
              <w:jc w:val="right"/>
              <w:rPr/>
            </w:pPr>
            <w:r>
              <w:rPr/>
              <w:t>556,142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718,683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w:t>
            </w:r>
          </w:p>
        </w:tc>
        <w:tc>
          <w:tcPr>
            <w:tcW w:w="255" w:type="dxa"/>
            <w:tcBorders/>
            <w:shd w:fill="CCEEFF" w:val="clear"/>
            <w:vAlign w:val="center"/>
          </w:tcPr>
          <w:p>
            <w:pPr>
              <w:pStyle w:val="TableContents"/>
              <w:spacing w:before="0" w:after="283"/>
              <w:ind w:left="0" w:right="0" w:firstLine="180"/>
              <w:jc w:val="left"/>
              <w:rPr/>
            </w:pPr>
            <w:r>
              <w:rPr/>
              <w:t> </w:t>
            </w:r>
          </w:p>
        </w:tc>
      </w:tr>
      <w:tr>
        <w:trPr/>
        <w:tc>
          <w:tcPr>
            <w:tcW w:w="4085" w:type="dxa"/>
            <w:tcBorders/>
            <w:shd w:fill="auto" w:val="clear"/>
            <w:vAlign w:val="center"/>
          </w:tcPr>
          <w:p>
            <w:pPr>
              <w:pStyle w:val="TableContents"/>
              <w:spacing w:before="0" w:after="283"/>
              <w:jc w:val="left"/>
              <w:rPr/>
            </w:pPr>
            <w:r>
              <w:rPr/>
              <w:t>Professional fees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569,375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left"/>
              <w:rPr/>
            </w:pPr>
            <w:r>
              <w:rPr/>
              <w:t> </w:t>
            </w:r>
          </w:p>
        </w:tc>
        <w:tc>
          <w:tcPr>
            <w:tcW w:w="1777" w:type="dxa"/>
            <w:tcBorders/>
            <w:shd w:fill="auto" w:val="clear"/>
            <w:vAlign w:val="center"/>
          </w:tcPr>
          <w:p>
            <w:pPr>
              <w:pStyle w:val="TableContents"/>
              <w:spacing w:before="0" w:after="283"/>
              <w:jc w:val="right"/>
              <w:rPr/>
            </w:pPr>
            <w:r>
              <w:rPr/>
              <w:t>556,902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12,473</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2.2</w:t>
            </w:r>
          </w:p>
        </w:tc>
        <w:tc>
          <w:tcPr>
            <w:tcW w:w="255"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4085" w:type="dxa"/>
            <w:tcBorders/>
            <w:shd w:fill="CCEEFF" w:val="clear"/>
            <w:vAlign w:val="center"/>
          </w:tcPr>
          <w:p>
            <w:pPr>
              <w:pStyle w:val="TableContents"/>
              <w:spacing w:before="0" w:after="283"/>
              <w:jc w:val="left"/>
              <w:rPr/>
            </w:pPr>
            <w:r>
              <w:rPr/>
              <w:t>Stock based compensation</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138,335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shd w:fill="CCEEFF" w:val="clear"/>
            <w:vAlign w:val="center"/>
          </w:tcPr>
          <w:p>
            <w:pPr>
              <w:pStyle w:val="TableContents"/>
              <w:spacing w:before="0" w:after="283"/>
              <w:jc w:val="left"/>
              <w:rPr/>
            </w:pPr>
            <w:r>
              <w:rPr/>
              <w:t> </w:t>
            </w:r>
          </w:p>
        </w:tc>
        <w:tc>
          <w:tcPr>
            <w:tcW w:w="1777" w:type="dxa"/>
            <w:tcBorders/>
            <w:shd w:fill="CCEEFF" w:val="clear"/>
            <w:vAlign w:val="center"/>
          </w:tcPr>
          <w:p>
            <w:pPr>
              <w:pStyle w:val="TableContents"/>
              <w:spacing w:before="0" w:after="283"/>
              <w:jc w:val="right"/>
              <w:rPr/>
            </w:pPr>
            <w:r>
              <w:rPr/>
              <w:t>120,940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17,395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440" w:type="dxa"/>
            <w:tcBorders/>
            <w:shd w:fill="CCEEFF" w:val="clear"/>
            <w:vAlign w:val="center"/>
          </w:tcPr>
          <w:p>
            <w:pPr>
              <w:pStyle w:val="TableContents"/>
              <w:spacing w:before="0" w:after="283"/>
              <w:jc w:val="right"/>
              <w:rPr/>
            </w:pPr>
            <w:r>
              <w:rPr/>
              <w:t>14.4</w:t>
            </w:r>
          </w:p>
        </w:tc>
        <w:tc>
          <w:tcPr>
            <w:tcW w:w="255" w:type="dxa"/>
            <w:tcBorders/>
            <w:shd w:fill="CCEEFF" w:val="clear"/>
            <w:vAlign w:val="center"/>
          </w:tcPr>
          <w:p>
            <w:pPr>
              <w:pStyle w:val="TableContents"/>
              <w:spacing w:before="0" w:after="283"/>
              <w:ind w:left="0" w:right="0" w:firstLine="180"/>
              <w:rPr>
                <w:sz w:val="4"/>
                <w:szCs w:val="4"/>
              </w:rPr>
            </w:pPr>
            <w:r>
              <w:rPr>
                <w:sz w:val="4"/>
                <w:szCs w:val="4"/>
              </w:rPr>
            </w:r>
          </w:p>
        </w:tc>
      </w:tr>
      <w:tr>
        <w:trPr/>
        <w:tc>
          <w:tcPr>
            <w:tcW w:w="4085" w:type="dxa"/>
            <w:tcBorders/>
            <w:shd w:fill="auto" w:val="clear"/>
            <w:vAlign w:val="center"/>
          </w:tcPr>
          <w:p>
            <w:pPr>
              <w:pStyle w:val="TableContents"/>
              <w:spacing w:before="0" w:after="283"/>
              <w:jc w:val="left"/>
              <w:rPr/>
            </w:pPr>
            <w:r>
              <w:rPr/>
              <w:t>Provision for current expected credit losses</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96,119</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777" w:type="dxa"/>
            <w:tcBorders>
              <w:bottom w:val="single" w:sz="12" w:space="0" w:color="000000"/>
            </w:tcBorders>
            <w:shd w:fill="auto" w:val="clear"/>
            <w:tcMar>
              <w:bottom w:w="28" w:type="dxa"/>
            </w:tcMar>
            <w:vAlign w:val="center"/>
          </w:tcPr>
          <w:p>
            <w:pPr>
              <w:pStyle w:val="TableContents"/>
              <w:spacing w:before="0" w:after="283"/>
              <w:jc w:val="right"/>
              <w:rPr/>
            </w:pPr>
            <w:r>
              <w:rPr/>
              <w:t>51,344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44,775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bottom w:val="single" w:sz="12" w:space="0" w:color="000000"/>
            </w:tcBorders>
            <w:shd w:fill="auto" w:val="clear"/>
            <w:tcMar>
              <w:bottom w:w="28" w:type="dxa"/>
            </w:tcMar>
            <w:vAlign w:val="center"/>
          </w:tcPr>
          <w:p>
            <w:pPr>
              <w:pStyle w:val="TableContents"/>
              <w:spacing w:before="0" w:after="283"/>
              <w:jc w:val="right"/>
              <w:rPr/>
            </w:pPr>
            <w:r>
              <w:rPr/>
              <w:t>87.2</w:t>
            </w:r>
          </w:p>
        </w:tc>
        <w:tc>
          <w:tcPr>
            <w:tcW w:w="255" w:type="dxa"/>
            <w:tcBorders/>
            <w:shd w:fill="auto" w:val="clear"/>
            <w:vAlign w:val="center"/>
          </w:tcPr>
          <w:p>
            <w:pPr>
              <w:pStyle w:val="TableContents"/>
              <w:spacing w:before="0" w:after="283"/>
              <w:rPr>
                <w:sz w:val="4"/>
                <w:szCs w:val="4"/>
              </w:rPr>
            </w:pPr>
            <w:r>
              <w:rPr>
                <w:sz w:val="4"/>
                <w:szCs w:val="4"/>
              </w:rPr>
            </w:r>
          </w:p>
        </w:tc>
      </w:tr>
      <w:tr>
        <w:trPr/>
        <w:tc>
          <w:tcPr>
            <w:tcW w:w="4085" w:type="dxa"/>
            <w:tcBorders/>
            <w:shd w:fill="CCEEFF" w:val="clear"/>
            <w:vAlign w:val="center"/>
          </w:tcPr>
          <w:p>
            <w:pPr>
              <w:pStyle w:val="TableContents"/>
              <w:spacing w:before="0" w:after="283"/>
              <w:jc w:val="left"/>
              <w:rPr>
                <w:b/>
              </w:rPr>
            </w:pPr>
            <w:r>
              <w:rPr>
                <w:b/>
              </w:rPr>
              <w:t>Total expenses</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pPr>
            <w:r>
              <w:rPr/>
              <w:t>4,216,659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777" w:type="dxa"/>
            <w:tcBorders>
              <w:bottom w:val="single" w:sz="12" w:space="0" w:color="000000"/>
            </w:tcBorders>
            <w:shd w:fill="CCEEFF" w:val="clear"/>
            <w:tcMar>
              <w:bottom w:w="28" w:type="dxa"/>
            </w:tcMar>
            <w:vAlign w:val="center"/>
          </w:tcPr>
          <w:p>
            <w:pPr>
              <w:pStyle w:val="TableContents"/>
              <w:spacing w:before="0" w:after="283"/>
              <w:jc w:val="right"/>
              <w:rPr/>
            </w:pPr>
            <w:r>
              <w:rPr/>
              <w:t>1,956,833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2,259,826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255" w:type="dxa"/>
            <w:tcBorders/>
            <w:shd w:fill="CCEEFF" w:val="clear"/>
            <w:vAlign w:val="center"/>
          </w:tcPr>
          <w:p>
            <w:pPr>
              <w:pStyle w:val="TableContents"/>
              <w:spacing w:before="0" w:after="283"/>
              <w:jc w:val="left"/>
              <w:rPr/>
            </w:pPr>
            <w:r>
              <w:rPr/>
              <w:t> </w:t>
            </w:r>
          </w:p>
        </w:tc>
      </w:tr>
      <w:tr>
        <w:trPr/>
        <w:tc>
          <w:tcPr>
            <w:tcW w:w="40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3" w:type="dxa"/>
            <w:tcBorders/>
            <w:shd w:fill="auto" w:val="clear"/>
            <w:vAlign w:val="center"/>
          </w:tcPr>
          <w:p>
            <w:pPr>
              <w:pStyle w:val="TableContents"/>
              <w:spacing w:before="0" w:after="283"/>
              <w:jc w:val="left"/>
              <w:rPr/>
            </w:pPr>
            <w:r>
              <w:rPr/>
              <w:t> </w:t>
            </w:r>
          </w:p>
        </w:tc>
        <w:tc>
          <w:tcPr>
            <w:tcW w:w="1777"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440" w:type="dxa"/>
            <w:tcBorders/>
            <w:shd w:fill="auto" w:val="clear"/>
            <w:vAlign w:val="center"/>
          </w:tcPr>
          <w:p>
            <w:pPr>
              <w:pStyle w:val="TableContents"/>
              <w:spacing w:before="0" w:after="283"/>
              <w:jc w:val="right"/>
              <w:rPr/>
            </w:pPr>
            <w:r>
              <w:rPr/>
              <w:t> </w:t>
            </w:r>
          </w:p>
        </w:tc>
        <w:tc>
          <w:tcPr>
            <w:tcW w:w="255" w:type="dxa"/>
            <w:tcBorders/>
            <w:shd w:fill="auto" w:val="clear"/>
            <w:vAlign w:val="center"/>
          </w:tcPr>
          <w:p>
            <w:pPr>
              <w:pStyle w:val="TableContents"/>
              <w:spacing w:before="0" w:after="283"/>
              <w:jc w:val="left"/>
              <w:rPr/>
            </w:pPr>
            <w:r>
              <w:rPr/>
              <w:t> </w:t>
            </w:r>
          </w:p>
        </w:tc>
      </w:tr>
      <w:tr>
        <w:trPr/>
        <w:tc>
          <w:tcPr>
            <w:tcW w:w="4085" w:type="dxa"/>
            <w:tcBorders/>
            <w:shd w:fill="CCEEFF" w:val="clear"/>
            <w:vAlign w:val="center"/>
          </w:tcPr>
          <w:p>
            <w:pPr>
              <w:pStyle w:val="TableContents"/>
              <w:spacing w:before="0" w:after="283"/>
              <w:jc w:val="left"/>
              <w:rPr>
                <w:b/>
              </w:rPr>
            </w:pPr>
            <w:r>
              <w:rPr>
                <w:b/>
              </w:rPr>
              <w:t>Net Income before income taxes</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pPr>
            <w:r>
              <w:rPr/>
              <w:t>10,692,349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777" w:type="dxa"/>
            <w:tcBorders>
              <w:bottom w:val="single" w:sz="12" w:space="0" w:color="000000"/>
            </w:tcBorders>
            <w:shd w:fill="CCEEFF" w:val="clear"/>
            <w:tcMar>
              <w:bottom w:w="28" w:type="dxa"/>
            </w:tcMar>
            <w:vAlign w:val="center"/>
          </w:tcPr>
          <w:p>
            <w:pPr>
              <w:pStyle w:val="TableContents"/>
              <w:spacing w:before="0" w:after="283"/>
              <w:jc w:val="right"/>
              <w:rPr/>
            </w:pPr>
            <w:r>
              <w:rPr/>
              <w:t>7,803,952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2,888,397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spacing w:before="0" w:after="283"/>
              <w:jc w:val="right"/>
              <w:rPr/>
            </w:pPr>
            <w:r>
              <w:rPr/>
              <w:t>37.0</w:t>
            </w:r>
          </w:p>
        </w:tc>
        <w:tc>
          <w:tcPr>
            <w:tcW w:w="255" w:type="dxa"/>
            <w:tcBorders/>
            <w:shd w:fill="CCEEFF" w:val="clear"/>
            <w:vAlign w:val="center"/>
          </w:tcPr>
          <w:p>
            <w:pPr>
              <w:pStyle w:val="TableContents"/>
              <w:spacing w:before="0" w:after="283"/>
              <w:ind w:left="0" w:right="0" w:firstLine="180"/>
              <w:rPr>
                <w:sz w:val="4"/>
                <w:szCs w:val="4"/>
              </w:rPr>
            </w:pPr>
            <w:r>
              <w:rPr>
                <w:sz w:val="4"/>
                <w:szCs w:val="4"/>
              </w:rPr>
            </w:r>
          </w:p>
        </w:tc>
      </w:tr>
      <w:tr>
        <w:trPr/>
        <w:tc>
          <w:tcPr>
            <w:tcW w:w="4085" w:type="dxa"/>
            <w:tcBorders/>
            <w:shd w:fill="auto" w:val="clear"/>
            <w:vAlign w:val="center"/>
          </w:tcPr>
          <w:p>
            <w:pPr>
              <w:pStyle w:val="TableContents"/>
              <w:spacing w:before="0" w:after="283"/>
              <w:jc w:val="left"/>
              <w:rPr/>
            </w:pPr>
            <w:r>
              <w:rPr/>
              <w:t>Income tax expense</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777"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44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55" w:type="dxa"/>
            <w:tcBorders/>
            <w:shd w:fill="auto" w:val="clear"/>
            <w:vAlign w:val="center"/>
          </w:tcPr>
          <w:p>
            <w:pPr>
              <w:pStyle w:val="TableContents"/>
              <w:spacing w:before="0" w:after="283"/>
              <w:jc w:val="left"/>
              <w:rPr/>
            </w:pPr>
            <w:r>
              <w:rPr/>
              <w:t> </w:t>
            </w:r>
          </w:p>
        </w:tc>
      </w:tr>
      <w:tr>
        <w:trPr/>
        <w:tc>
          <w:tcPr>
            <w:tcW w:w="4085" w:type="dxa"/>
            <w:tcBorders/>
            <w:shd w:fill="CCEEFF" w:val="clear"/>
            <w:vAlign w:val="center"/>
          </w:tcPr>
          <w:p>
            <w:pPr>
              <w:pStyle w:val="TableContents"/>
              <w:spacing w:before="0" w:after="283"/>
              <w:jc w:val="left"/>
              <w:rPr>
                <w:b/>
              </w:rPr>
            </w:pPr>
            <w:r>
              <w:rPr>
                <w:b/>
              </w:rPr>
              <w:t>Net Income</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b/>
              </w:rPr>
            </w:pPr>
            <w:r>
              <w:rPr>
                <w:b/>
              </w:rPr>
              <w:t>$</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b/>
              </w:rPr>
            </w:pPr>
            <w:r>
              <w:rPr>
                <w:b/>
              </w:rPr>
              <w:t>10,692,349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3" w:type="dxa"/>
            <w:tcBorders>
              <w:bottom w:val="single" w:sz="12" w:space="0" w:color="000000"/>
            </w:tcBorders>
            <w:shd w:fill="CCEEFF" w:val="clear"/>
            <w:tcMar>
              <w:bottom w:w="28" w:type="dxa"/>
            </w:tcMar>
            <w:vAlign w:val="center"/>
          </w:tcPr>
          <w:p>
            <w:pPr>
              <w:pStyle w:val="TableContents"/>
              <w:spacing w:before="0" w:after="283"/>
              <w:jc w:val="left"/>
              <w:rPr>
                <w:b/>
              </w:rPr>
            </w:pPr>
            <w:r>
              <w:rPr>
                <w:b/>
              </w:rPr>
              <w:t>$</w:t>
            </w:r>
          </w:p>
        </w:tc>
        <w:tc>
          <w:tcPr>
            <w:tcW w:w="1777" w:type="dxa"/>
            <w:tcBorders>
              <w:bottom w:val="single" w:sz="12" w:space="0" w:color="000000"/>
            </w:tcBorders>
            <w:shd w:fill="CCEEFF" w:val="clear"/>
            <w:tcMar>
              <w:bottom w:w="28" w:type="dxa"/>
            </w:tcMar>
            <w:vAlign w:val="center"/>
          </w:tcPr>
          <w:p>
            <w:pPr>
              <w:pStyle w:val="TableContents"/>
              <w:spacing w:before="0" w:after="283"/>
              <w:jc w:val="right"/>
              <w:rPr>
                <w:b/>
              </w:rPr>
            </w:pPr>
            <w:r>
              <w:rPr>
                <w:b/>
              </w:rPr>
              <w:t>7,803,952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b/>
              </w:rPr>
            </w:pPr>
            <w:r>
              <w:rPr>
                <w:b/>
              </w:rPr>
              <w:t>$</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b/>
              </w:rPr>
            </w:pPr>
            <w:r>
              <w:rPr>
                <w:b/>
              </w:rPr>
              <w:t>2,888,397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spacing w:before="0" w:after="283"/>
              <w:jc w:val="right"/>
              <w:rPr>
                <w:b/>
              </w:rPr>
            </w:pPr>
            <w:r>
              <w:rPr>
                <w:b/>
              </w:rPr>
              <w:t>37.0</w:t>
            </w:r>
          </w:p>
        </w:tc>
        <w:tc>
          <w:tcPr>
            <w:tcW w:w="255" w:type="dxa"/>
            <w:tcBorders/>
            <w:shd w:fill="CCEEFF"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caps w:val="false"/>
          <w:smallCaps w:val="false"/>
        </w:rPr>
      </w:pPr>
      <w:r>
        <w:rPr>
          <w:caps w:val="false"/>
          <w:smallCaps w:val="false"/>
        </w:rPr>
        <w:t> </w:t>
      </w:r>
    </w:p>
    <w:tbl>
      <w:tblPr>
        <w:tblW w:w="5590" w:type="dxa"/>
        <w:jc w:val="left"/>
        <w:tblInd w:w="0" w:type="dxa"/>
        <w:tblCellMar>
          <w:top w:w="0" w:type="dxa"/>
          <w:left w:w="0" w:type="dxa"/>
          <w:bottom w:w="0" w:type="dxa"/>
          <w:right w:w="0" w:type="dxa"/>
        </w:tblCellMar>
      </w:tblPr>
      <w:tblGrid>
        <w:gridCol w:w="275"/>
        <w:gridCol w:w="5315"/>
      </w:tblGrid>
      <w:tr>
        <w:trPr/>
        <w:tc>
          <w:tcPr>
            <w:tcW w:w="275" w:type="dxa"/>
            <w:tcBorders/>
            <w:shd w:fill="auto" w:val="clear"/>
            <w:vAlign w:val="center"/>
          </w:tcPr>
          <w:p>
            <w:pPr>
              <w:pStyle w:val="TableContents"/>
              <w:spacing w:before="0" w:after="283"/>
              <w:jc w:val="left"/>
              <w:rPr/>
            </w:pPr>
            <w:r>
              <w:rPr/>
              <w:t>**</w:t>
            </w:r>
          </w:p>
        </w:tc>
        <w:tc>
          <w:tcPr>
            <w:tcW w:w="5315" w:type="dxa"/>
            <w:tcBorders/>
            <w:shd w:fill="auto" w:val="clear"/>
            <w:vAlign w:val="center"/>
          </w:tcPr>
          <w:p>
            <w:pPr>
              <w:pStyle w:val="TableContents"/>
              <w:spacing w:before="0" w:after="283"/>
              <w:jc w:val="both"/>
              <w:rPr/>
            </w:pPr>
            <w:r>
              <w:rPr/>
              <w:t>Percentage over 100% or prior period amount was zero.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Interest income increased by approximately $6.7 million, or 68.1%, during the quarter ended March 31, 2023, compared to the quarter ended March 31, 2022. The increase was driven primarily by an increase in the Prime Rate from 3.50% as of March 31, 2022, to 8.00% as of March 31, 2023, impacting approximately 88.0% of the Company’s loans, which bear a floating rate as well as new fundings of approximately $278.1 million in loan principal.</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income increased approximately $5.1 million or 52.7% during the comparative period. The increase was primarily attributable to the increase in interest income described above, and was offset by a corresponding increase in interest expense. During the first quarter of 2023, we borrowed an additional $37.5 million on the revolving credit facility, which also bears interest at the Prime Rate plus an applicable margin and was subject to the Prime Rate increases during the quarter.</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incurred base management and incentive fees payable to our Manager of approximately $2.1 million for the three months ended March 31, 2023, as compared to approximately $0.7 million for the three months ended March 31, 2022. The increase was primarily attributable to greater assets under management, which was offset by less origination fee offsets in the three months ended March 31, 2023 of approximately $5,000, compared to approximately $0.7 million for the three months ended March 31, 2022 as well as an increase in weighted average equity as defined by the Management Agreement for the comparable period.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General and administrative expenses and professional fees increased by approximately $0.7 million for the three months ended March 31, 2023, as compared to the three months ended March 31, 2022. The increase was primarily due to an increase in overhead reimbursements for costs incurred by the Manager on behalf of the Company, offset in part by a decrease in audit, legal, investor relations and third-party consulting fees.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current expected credit losses increased in the three months ended March 31, 2023 as compared to the three months ended March 31, 2022, primarily due to declines in risk ratings (discussed below) from March 31, 2022 to March 31, 2023, which are not due to any borrower specific credit issues, but rather, are primarily due to our quarterly re-evaluations of overall current macroeconomic conditions affecting our borrowers. As interest rates have risen over the year ended December 31, 2022 and the quarter ended March 31, 2023, the ability of our borrowers to service their debt and fund operations has been reduced. The current expected credit loss reserve represents 126 basis points of our aggregate loan commitments held at carrying value of approximately $328.0 million and was bifurcated between (i) the current expected credit loss reserve (contra-asset) related to outstanding balances on loans held at carrying value of approximately $4.1 million and (ii) a liability for unfunded commitments of $79,539.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Portfolio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December 31, 2022, our portfolio included 24 and 22 loans held for investment of approximately $312.2 million and $335.3 million, respectively. The aggregate originated commitment under these loans was approximately $328.0 million and $351.4 million and outstanding principal was approximately $320.2 million and $343.0 million as of March 31, 2023 and December 31, 2022, respectively. As of March 31, 2023 and December 31, 2022, our loan portfolio had a weighted-average yield-to-maturity internal rate of return (“YTM IRR”) of 19.4% and 19.7%, respectively, and was substantially secured by real estate and, with respect to certain of our loans, substantially all assets of the borrowers and certain of their subsidiaries, including equipment, receivables, and licenses.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pStyle w:val="TextBody"/>
        <w:spacing w:before="0" w:after="0"/>
        <w:ind w:left="0" w:right="0" w:firstLine="45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5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December 31, 2022, approximately 88.0% and 83.1%, respectively, of our portfolio was comprised of floating rate loans that pay interest at the Prime Rate plus an applicable margin and were subject to a Prime Rate floor. The Prime Rate was 3.25% for the period from January 1, 2022 through March 16, 2022, increased to 3.50% effective March 17, 2022, increased to 4.00% effective May 5, 2022, increased to 4.75% effective June 16, 2022, increased to 5.50% effective July 28, 2022, increased to 6.25% effective September 22, 2022, increased to 7.00% effective November 3, 2022, increased to 7.50% effective December 15, 2022, increased to 7.75% effective February 2, 2023, and increased again to 8.00% effective March 23, 2023. The below summarizes our portfolio as of March 31, 2023:</w:t>
      </w:r>
    </w:p>
    <w:p>
      <w:pPr>
        <w:pStyle w:val="TextBody"/>
        <w:spacing w:before="0" w:after="0"/>
        <w:ind w:left="0" w:right="0" w:hanging="0"/>
        <w:rPr>
          <w:caps w:val="false"/>
          <w:smallCaps w:val="false"/>
        </w:rPr>
      </w:pPr>
      <w:r>
        <w:rPr>
          <w:caps w:val="false"/>
          <w:smallCaps w:val="false"/>
        </w:rPr>
        <w:t> </w:t>
      </w:r>
    </w:p>
    <w:tbl>
      <w:tblPr>
        <w:tblW w:w="12035" w:type="dxa"/>
        <w:jc w:val="left"/>
        <w:tblInd w:w="0" w:type="dxa"/>
        <w:tblCellMar>
          <w:top w:w="0" w:type="dxa"/>
          <w:left w:w="0" w:type="dxa"/>
          <w:bottom w:w="0" w:type="dxa"/>
          <w:right w:w="0" w:type="dxa"/>
        </w:tblCellMar>
      </w:tblPr>
      <w:tblGrid>
        <w:gridCol w:w="575"/>
        <w:gridCol w:w="60"/>
        <w:gridCol w:w="890"/>
        <w:gridCol w:w="60"/>
        <w:gridCol w:w="935"/>
        <w:gridCol w:w="60"/>
        <w:gridCol w:w="63"/>
        <w:gridCol w:w="1292"/>
        <w:gridCol w:w="60"/>
        <w:gridCol w:w="60"/>
        <w:gridCol w:w="60"/>
        <w:gridCol w:w="1220"/>
        <w:gridCol w:w="60"/>
        <w:gridCol w:w="60"/>
        <w:gridCol w:w="60"/>
        <w:gridCol w:w="1220"/>
        <w:gridCol w:w="60"/>
        <w:gridCol w:w="60"/>
        <w:gridCol w:w="153"/>
        <w:gridCol w:w="752"/>
        <w:gridCol w:w="215"/>
        <w:gridCol w:w="60"/>
        <w:gridCol w:w="60"/>
        <w:gridCol w:w="1100"/>
        <w:gridCol w:w="60"/>
        <w:gridCol w:w="60"/>
        <w:gridCol w:w="800"/>
        <w:gridCol w:w="60"/>
        <w:gridCol w:w="60"/>
        <w:gridCol w:w="860"/>
        <w:gridCol w:w="60"/>
        <w:gridCol w:w="60"/>
        <w:gridCol w:w="70"/>
        <w:gridCol w:w="520"/>
        <w:gridCol w:w="230"/>
      </w:tblGrid>
      <w:tr>
        <w:trPr/>
        <w:tc>
          <w:tcPr>
            <w:tcW w:w="57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b/>
              </w:rPr>
            </w:pPr>
            <w:r>
              <w:rPr>
                <w:b/>
              </w:rPr>
              <w:t xml:space="preserve">Initial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b/>
              </w:rPr>
            </w:pPr>
            <w:r>
              <w:rPr>
                <w:b/>
              </w:rPr>
              <w:t>Total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gridSpan w:val="2"/>
            <w:tcBorders/>
            <w:shd w:fill="auto" w:val="clear"/>
            <w:vAlign w:val="center"/>
          </w:tcPr>
          <w:p>
            <w:pPr>
              <w:pStyle w:val="TableContents"/>
              <w:spacing w:before="0" w:after="283"/>
              <w:jc w:val="center"/>
              <w:rPr>
                <w:b/>
              </w:rPr>
            </w:pPr>
            <w:r>
              <w:rPr>
                <w:b/>
              </w:rPr>
              <w:t xml:space="preserve">Percent of Our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283"/>
              <w:jc w:val="center"/>
              <w:rPr>
                <w:b/>
              </w:rPr>
            </w:pPr>
            <w:r>
              <w:rPr>
                <w:b/>
              </w:rPr>
              <w:t>Periodic</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90" w:type="dxa"/>
            <w:gridSpan w:val="2"/>
            <w:tcBorders/>
            <w:shd w:fill="auto" w:val="clear"/>
            <w:vAlign w:val="center"/>
          </w:tcPr>
          <w:p>
            <w:pPr>
              <w:pStyle w:val="TableContents"/>
              <w:spacing w:before="0" w:after="283"/>
              <w:jc w:val="center"/>
              <w:rPr>
                <w:b/>
              </w:rPr>
            </w:pPr>
            <w:r>
              <w:rPr>
                <w:b/>
              </w:rPr>
              <w:t>YTM</w:t>
            </w:r>
          </w:p>
        </w:tc>
        <w:tc>
          <w:tcPr>
            <w:tcW w:w="230" w:type="dxa"/>
            <w:tcBorders/>
            <w:shd w:fill="auto" w:val="clear"/>
            <w:vAlign w:val="center"/>
          </w:tcPr>
          <w:p>
            <w:pPr>
              <w:pStyle w:val="TableContents"/>
              <w:spacing w:before="0" w:after="283"/>
              <w:rPr/>
            </w:pPr>
            <w:r>
              <w:rPr/>
              <w:t> </w:t>
            </w:r>
          </w:p>
        </w:tc>
      </w:tr>
      <w:tr>
        <w:trPr/>
        <w:tc>
          <w:tcPr>
            <w:tcW w:w="575" w:type="dxa"/>
            <w:tcBorders>
              <w:bottom w:val="single" w:sz="12" w:space="0" w:color="000000"/>
            </w:tcBorders>
            <w:shd w:fill="auto" w:val="clear"/>
            <w:tcMar>
              <w:bottom w:w="28" w:type="dxa"/>
            </w:tcMar>
            <w:vAlign w:val="center"/>
          </w:tcPr>
          <w:p>
            <w:pPr>
              <w:pStyle w:val="TableContents"/>
              <w:spacing w:before="0" w:after="283"/>
              <w:jc w:val="left"/>
              <w:rPr>
                <w:b/>
              </w:rPr>
            </w:pPr>
            <w:r>
              <w:rPr>
                <w:b/>
              </w:rPr>
              <w:t>Loan</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890" w:type="dxa"/>
            <w:tcBorders>
              <w:bottom w:val="single" w:sz="12" w:space="0" w:color="000000"/>
            </w:tcBorders>
            <w:shd w:fill="auto" w:val="clear"/>
            <w:tcMar>
              <w:bottom w:w="28" w:type="dxa"/>
            </w:tcMar>
            <w:vAlign w:val="center"/>
          </w:tcPr>
          <w:p>
            <w:pPr>
              <w:pStyle w:val="TableContents"/>
              <w:spacing w:before="0" w:after="283"/>
              <w:jc w:val="center"/>
              <w:rPr>
                <w:b/>
              </w:rPr>
            </w:pPr>
            <w:r>
              <w:rPr>
                <w:b/>
              </w:rPr>
              <w:t>Funding</w:t>
              <w:br/>
              <w:t>Date (1)</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935" w:type="dxa"/>
            <w:tcBorders>
              <w:bottom w:val="single" w:sz="12" w:space="0" w:color="000000"/>
            </w:tcBorders>
            <w:shd w:fill="auto" w:val="clear"/>
            <w:tcMar>
              <w:bottom w:w="28" w:type="dxa"/>
            </w:tcMar>
            <w:vAlign w:val="center"/>
          </w:tcPr>
          <w:p>
            <w:pPr>
              <w:pStyle w:val="TableContents"/>
              <w:spacing w:before="0" w:after="283"/>
              <w:jc w:val="center"/>
              <w:rPr>
                <w:b/>
              </w:rPr>
            </w:pPr>
            <w:r>
              <w:rPr>
                <w:b/>
              </w:rPr>
              <w:t>Maturity</w:t>
              <w:br/>
              <w:t>Date (2)</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Commitment (3)</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Principal</w:t>
              <w:br/>
              <w:t>Balance</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Carrying</w:t>
              <w:br/>
              <w:t>Value</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Loan</w:t>
              <w:br/>
              <w:t>Portfolio</w:t>
            </w:r>
          </w:p>
        </w:tc>
        <w:tc>
          <w:tcPr>
            <w:tcW w:w="215"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Future</w:t>
              <w:br/>
              <w:t>Fundings</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800" w:type="dxa"/>
            <w:tcBorders>
              <w:bottom w:val="single" w:sz="12" w:space="0" w:color="000000"/>
            </w:tcBorders>
            <w:shd w:fill="auto" w:val="clear"/>
            <w:tcMar>
              <w:bottom w:w="28" w:type="dxa"/>
            </w:tcMar>
            <w:vAlign w:val="center"/>
          </w:tcPr>
          <w:p>
            <w:pPr>
              <w:pStyle w:val="TableContents"/>
              <w:spacing w:before="0" w:after="283"/>
              <w:jc w:val="center"/>
              <w:rPr>
                <w:b/>
              </w:rPr>
            </w:pPr>
            <w:r>
              <w:rPr>
                <w:b/>
              </w:rPr>
              <w:t>Interest Rate (4)</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Payment (5)</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5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IRR (6)</w:t>
            </w:r>
          </w:p>
        </w:tc>
        <w:tc>
          <w:tcPr>
            <w:tcW w:w="230" w:type="dxa"/>
            <w:tcBorders/>
            <w:shd w:fill="auto" w:val="clear"/>
            <w:vAlign w:val="center"/>
          </w:tcPr>
          <w:p>
            <w:pPr>
              <w:pStyle w:val="TableContents"/>
              <w:spacing w:before="0" w:after="283"/>
              <w:rPr/>
            </w:pPr>
            <w:r>
              <w:rPr/>
              <w:t> </w:t>
            </w:r>
          </w:p>
        </w:tc>
      </w:tr>
      <w:tr>
        <w:trPr/>
        <w:tc>
          <w:tcPr>
            <w:tcW w:w="575" w:type="dxa"/>
            <w:tcBorders/>
            <w:shd w:fill="CCEEFF" w:val="clear"/>
            <w:vAlign w:val="center"/>
          </w:tcPr>
          <w:p>
            <w:pPr>
              <w:pStyle w:val="TableContents"/>
              <w:spacing w:before="0" w:after="283"/>
              <w:jc w:val="left"/>
              <w:rPr>
                <w:b/>
              </w:rPr>
            </w:pPr>
            <w:r>
              <w:rPr>
                <w:b/>
              </w:rPr>
              <w:t>1</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10/27/2022</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10/30/2026</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30,000,000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30,000,000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29,195,836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9.2</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+ 6.50%</w:t>
            </w:r>
            <w:r>
              <w:rPr>
                <w:rFonts w:ascii="Times New Roman;Times;Serif" w:hAnsi="Times New Roman;Times;Serif"/>
                <w:position w:val="7"/>
                <w:sz w:val="16"/>
                <w:sz w:val="20"/>
              </w:rPr>
              <w:t>(7)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I/O</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16.8</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2</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3/5/2021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12/31/2024</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35,891,667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37,596,132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37,454,282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11.8</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+ 6.65%</w:t>
            </w:r>
            <w:r>
              <w:rPr>
                <w:rFonts w:ascii="Times New Roman;Times;Serif" w:hAnsi="Times New Roman;Times;Serif"/>
                <w:position w:val="7"/>
                <w:sz w:val="16"/>
                <w:sz w:val="20"/>
              </w:rPr>
              <w:t xml:space="preserve">(7)(8) </w:t>
            </w:r>
            <w:r>
              <w:rPr>
                <w:rFonts w:ascii="Times New Roman;Times;Serif" w:hAnsi="Times New Roman;Times;Serif"/>
                <w:sz w:val="20"/>
              </w:rPr>
              <w:t>Cash, 4.25%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18.0</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3</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3/25/2021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11/29/2024</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20,105,628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20,942,803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20,398,886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6.5</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13.91% Cash</w:t>
            </w:r>
            <w:r>
              <w:rPr>
                <w:rFonts w:ascii="Times New Roman;Times;Serif" w:hAnsi="Times New Roman;Times;Serif"/>
                <w:position w:val="7"/>
                <w:sz w:val="16"/>
                <w:sz w:val="20"/>
              </w:rPr>
              <w:t>(7)</w:t>
            </w:r>
            <w:r>
              <w:rPr>
                <w:rFonts w:ascii="Times New Roman;Times;Serif" w:hAnsi="Times New Roman;Times;Serif"/>
                <w:sz w:val="20"/>
              </w:rPr>
              <w:t>, 2.59% PIK</w:t>
            </w:r>
            <w:r>
              <w:rPr>
                <w:rFonts w:ascii="Times New Roman;Times;Serif" w:hAnsi="Times New Roman;Times;Serif"/>
                <w:position w:val="7"/>
                <w:sz w:val="16"/>
                <w:sz w:val="20"/>
              </w:rPr>
              <w:t>(10)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22.8</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4</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4/19/2021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12/31/2023</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12,900,000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12,075,490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12,075,490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3.8</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18.72%</w:t>
            </w:r>
            <w:r>
              <w:rPr>
                <w:rFonts w:ascii="Times New Roman;Times;Serif" w:hAnsi="Times New Roman;Times;Serif"/>
                <w:position w:val="7"/>
                <w:sz w:val="16"/>
                <w:sz w:val="20"/>
              </w:rPr>
              <w:t>(7)(9)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24.5</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5</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4/19/2021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4/30/2025</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3,500,000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2,666,000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2,666,000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0.8</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834,000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+ 12.25%</w:t>
            </w:r>
            <w:r>
              <w:rPr>
                <w:rFonts w:ascii="Times New Roman;Times;Serif" w:hAnsi="Times New Roman;Times;Serif"/>
                <w:position w:val="7"/>
                <w:sz w:val="16"/>
                <w:sz w:val="20"/>
              </w:rPr>
              <w:t>(7)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22.8</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6</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8/20/2021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2/20/2024</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6,000,000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4,275,000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4,271,433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1.4</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+ 9.00%</w:t>
            </w:r>
            <w:r>
              <w:rPr>
                <w:rFonts w:ascii="Times New Roman;Times;Serif" w:hAnsi="Times New Roman;Times;Serif"/>
                <w:position w:val="7"/>
                <w:sz w:val="16"/>
                <w:sz w:val="20"/>
              </w:rPr>
              <w:t>(7)</w:t>
            </w:r>
            <w:r>
              <w:rPr>
                <w:rFonts w:ascii="Times New Roman;Times;Serif" w:hAnsi="Times New Roman;Times;Serif"/>
                <w:sz w:val="20"/>
              </w:rPr>
              <w:t xml:space="preserve"> Cash, 12%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21.1</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7</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8/24/2021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6/30/2025</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25,000,000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25,623,762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25,402,772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8.0</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+ 6.00%</w:t>
            </w:r>
            <w:r>
              <w:rPr>
                <w:rFonts w:ascii="Times New Roman;Times;Serif" w:hAnsi="Times New Roman;Times;Serif"/>
                <w:position w:val="7"/>
                <w:sz w:val="16"/>
                <w:sz w:val="20"/>
              </w:rPr>
              <w:t xml:space="preserve">(7) </w:t>
            </w:r>
            <w:r>
              <w:rPr>
                <w:rFonts w:ascii="Times New Roman;Times;Serif" w:hAnsi="Times New Roman;Times;Serif"/>
                <w:sz w:val="20"/>
              </w:rPr>
              <w:t>Cash, 2.5%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18.1</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8</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9/1/2021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9/1/2024</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9,500,000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10,535,399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10,445,335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3.3</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19.25%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25.8</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9</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9/3/2021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6/30/2024</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15,000,000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16,013,359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16,013,359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5.1</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+ 10.75%</w:t>
            </w:r>
            <w:r>
              <w:rPr>
                <w:rFonts w:ascii="Times New Roman;Times;Serif" w:hAnsi="Times New Roman;Times;Serif"/>
                <w:position w:val="7"/>
                <w:sz w:val="16"/>
                <w:sz w:val="20"/>
              </w:rPr>
              <w:t xml:space="preserve">(7) </w:t>
            </w:r>
            <w:r>
              <w:rPr>
                <w:rFonts w:ascii="Times New Roman;Times;Serif" w:hAnsi="Times New Roman;Times;Serif"/>
                <w:sz w:val="20"/>
              </w:rPr>
              <w:t>Cash, 6.0%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19.0</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10</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9/20/2021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9/30/2024</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470,411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235,205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235,205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0.1</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11.00%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21.4</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11</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9/30/2021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9/30/2024</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32,000,000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32,809,285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32,272,326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10.2</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+ 8.75%</w:t>
            </w:r>
            <w:r>
              <w:rPr>
                <w:rFonts w:ascii="Times New Roman;Times;Serif" w:hAnsi="Times New Roman;Times;Serif"/>
                <w:position w:val="7"/>
                <w:sz w:val="16"/>
                <w:sz w:val="20"/>
              </w:rPr>
              <w:t xml:space="preserve">(7) </w:t>
            </w:r>
            <w:r>
              <w:rPr>
                <w:rFonts w:ascii="Times New Roman;Times;Serif" w:hAnsi="Times New Roman;Times;Serif"/>
                <w:sz w:val="20"/>
              </w:rPr>
              <w:t>Cash, 2%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I/O</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21.7</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12</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11/8/2021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10/31/2024</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13,574,667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13,038,000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12,930,501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4.1</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+ 9.25%</w:t>
            </w:r>
            <w:r>
              <w:rPr>
                <w:rFonts w:ascii="Times New Roman;Times;Serif" w:hAnsi="Times New Roman;Times;Serif"/>
                <w:position w:val="7"/>
                <w:sz w:val="16"/>
                <w:sz w:val="20"/>
              </w:rPr>
              <w:t xml:space="preserve">(7) </w:t>
            </w:r>
            <w:r>
              <w:rPr>
                <w:rFonts w:ascii="Times New Roman;Times;Serif" w:hAnsi="Times New Roman;Times;Serif"/>
                <w:sz w:val="20"/>
              </w:rPr>
              <w:t>Cash</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19.7</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13</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11/22/2021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11/1/2024</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13,100,000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13,166,720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13,058,608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4.1</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+ 6.00%</w:t>
            </w:r>
            <w:r>
              <w:rPr>
                <w:rFonts w:ascii="Times New Roman;Times;Serif" w:hAnsi="Times New Roman;Times;Serif"/>
                <w:position w:val="7"/>
                <w:sz w:val="16"/>
                <w:sz w:val="20"/>
              </w:rPr>
              <w:t xml:space="preserve">(7) </w:t>
            </w:r>
            <w:r>
              <w:rPr>
                <w:rFonts w:ascii="Times New Roman;Times;Serif" w:hAnsi="Times New Roman;Times;Serif"/>
                <w:sz w:val="20"/>
              </w:rPr>
              <w:t>Cash, 1.5%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I/O</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18.5</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14</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12/27/2021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12/27/2026</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5,000,000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5,194,514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5,194,514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1.6</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+ 12.25%</w:t>
            </w:r>
            <w:r>
              <w:rPr>
                <w:rFonts w:ascii="Times New Roman;Times;Serif" w:hAnsi="Times New Roman;Times;Serif"/>
                <w:position w:val="7"/>
                <w:sz w:val="16"/>
                <w:sz w:val="20"/>
              </w:rPr>
              <w:t xml:space="preserve">(7) </w:t>
            </w:r>
            <w:r>
              <w:rPr>
                <w:rFonts w:ascii="Times New Roman;Times;Serif" w:hAnsi="Times New Roman;Times;Serif"/>
                <w:sz w:val="20"/>
              </w:rPr>
              <w:t>Cash, 2.5%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23.5</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15</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12/29/2021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12/29/2023</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6,000,000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3,835,398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3,801,740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1.2</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2,400,000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+ 7.50%</w:t>
            </w:r>
            <w:r>
              <w:rPr>
                <w:rFonts w:ascii="Times New Roman;Times;Serif" w:hAnsi="Times New Roman;Times;Serif"/>
                <w:position w:val="7"/>
                <w:sz w:val="16"/>
                <w:sz w:val="20"/>
              </w:rPr>
              <w:t xml:space="preserve">(7) </w:t>
            </w:r>
            <w:r>
              <w:rPr>
                <w:rFonts w:ascii="Times New Roman;Times;Serif" w:hAnsi="Times New Roman;Times;Serif"/>
                <w:sz w:val="20"/>
              </w:rPr>
              <w:t>Cash, 5%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I/O</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26.9</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16</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12/30/2021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12/31/2024</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13,000,000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7,050,000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7,006,176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2.2</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5,500,000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+ 9.25%</w:t>
            </w:r>
            <w:r>
              <w:rPr>
                <w:rFonts w:ascii="Times New Roman;Times;Serif" w:hAnsi="Times New Roman;Times;Serif"/>
                <w:position w:val="7"/>
                <w:sz w:val="16"/>
                <w:sz w:val="20"/>
              </w:rPr>
              <w:t xml:space="preserve">(7)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I/O</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22.5</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17</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1/18/2022</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1/31/2025</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15,000,000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15,000,000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14,768,664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4.7</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+ 4.75%</w:t>
            </w:r>
            <w:r>
              <w:rPr>
                <w:rFonts w:ascii="Times New Roman;Times;Serif" w:hAnsi="Times New Roman;Times;Serif"/>
                <w:position w:val="7"/>
                <w:sz w:val="16"/>
                <w:sz w:val="20"/>
              </w:rPr>
              <w:t xml:space="preserve">(7)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14.1</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18</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2/3/2022</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2/28/2025</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11,662,050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12,677,075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12,525,206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4.0</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+ 6.00%</w:t>
            </w:r>
            <w:r>
              <w:rPr>
                <w:rFonts w:ascii="Times New Roman;Times;Serif" w:hAnsi="Times New Roman;Times;Serif"/>
                <w:position w:val="7"/>
                <w:sz w:val="16"/>
                <w:sz w:val="20"/>
              </w:rPr>
              <w:t xml:space="preserve">(7) </w:t>
            </w:r>
            <w:r>
              <w:rPr>
                <w:rFonts w:ascii="Times New Roman;Times;Serif" w:hAnsi="Times New Roman;Times;Serif"/>
                <w:sz w:val="20"/>
              </w:rPr>
              <w:t>Cash, 5%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21.5</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19</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3/11/2022</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8/29/2025</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20,000,000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20,637,961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20,567,900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6.5</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pPr>
            <w:r>
              <w:rPr/>
              <w:t>11.00% Cash, 3%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15.5</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20</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5/9/2022</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5/30/2025</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17,000,000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17,425,500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17,305,115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5.5</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11.00% Cash, 2%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14.7</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21</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7/1/2022</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6/30/2026</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9,000,000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5,114,907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5,041,408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1.6</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+ 8.50%</w:t>
            </w:r>
            <w:r>
              <w:rPr>
                <w:rFonts w:ascii="Times New Roman;Times;Serif" w:hAnsi="Times New Roman;Times;Serif"/>
                <w:position w:val="7"/>
                <w:sz w:val="16"/>
                <w:sz w:val="20"/>
              </w:rPr>
              <w:t xml:space="preserve">(7) </w:t>
            </w:r>
            <w:r>
              <w:rPr>
                <w:rFonts w:ascii="Times New Roman;Times;Serif" w:hAnsi="Times New Roman;Times;Serif"/>
                <w:sz w:val="20"/>
              </w:rPr>
              <w:t>Cash, 3%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26.4</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22</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1/24/2023</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1/24/2026</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11,250,000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11,278,897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10,645,161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3.4</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+ 5.75%</w:t>
            </w:r>
            <w:r>
              <w:rPr>
                <w:rFonts w:ascii="Times New Roman;Times;Serif" w:hAnsi="Times New Roman;Times;Serif"/>
                <w:position w:val="7"/>
                <w:sz w:val="16"/>
                <w:sz w:val="20"/>
              </w:rPr>
              <w:t xml:space="preserve">(7) </w:t>
            </w:r>
            <w:r>
              <w:rPr>
                <w:rFonts w:ascii="Times New Roman;Times;Serif" w:hAnsi="Times New Roman;Times;Serif"/>
                <w:sz w:val="20"/>
              </w:rPr>
              <w:t>Cash, 1.4%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19.9</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23</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3/27/2023</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3/31/2026</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2,000,000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1,950,227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shd w:fill="CCEEFF" w:val="clear"/>
            <w:vAlign w:val="center"/>
          </w:tcPr>
          <w:p>
            <w:pPr>
              <w:pStyle w:val="TableContents"/>
              <w:spacing w:before="0" w:after="283"/>
              <w:jc w:val="left"/>
              <w:rPr/>
            </w:pPr>
            <w:r>
              <w:rPr/>
              <w:t> </w:t>
            </w:r>
          </w:p>
        </w:tc>
        <w:tc>
          <w:tcPr>
            <w:tcW w:w="752" w:type="dxa"/>
            <w:tcBorders/>
            <w:shd w:fill="CCEEFF" w:val="clear"/>
            <w:vAlign w:val="center"/>
          </w:tcPr>
          <w:p>
            <w:pPr>
              <w:pStyle w:val="TableContents"/>
              <w:spacing w:before="0" w:after="283"/>
              <w:jc w:val="right"/>
              <w:rPr/>
            </w:pPr>
            <w:r>
              <w:rPr/>
              <w:t>0.6</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+ 7.50%</w:t>
            </w:r>
            <w:r>
              <w:rPr>
                <w:rFonts w:ascii="Times New Roman;Times;Serif" w:hAnsi="Times New Roman;Times;Serif"/>
                <w:position w:val="7"/>
                <w:sz w:val="16"/>
                <w:sz w:val="20"/>
              </w:rPr>
              <w:t>(7)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18.3</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24</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3/31/2023</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9/27/2026</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shd w:fill="auto" w:val="clear"/>
            <w:vAlign w:val="center"/>
          </w:tcPr>
          <w:p>
            <w:pPr>
              <w:pStyle w:val="TableContents"/>
              <w:spacing w:before="0" w:after="283"/>
              <w:jc w:val="left"/>
              <w:rPr/>
            </w:pPr>
            <w:r>
              <w:rPr/>
              <w:t> </w:t>
            </w:r>
          </w:p>
        </w:tc>
        <w:tc>
          <w:tcPr>
            <w:tcW w:w="752" w:type="dxa"/>
            <w:tcBorders/>
            <w:shd w:fill="auto" w:val="clear"/>
            <w:vAlign w:val="center"/>
          </w:tcPr>
          <w:p>
            <w:pPr>
              <w:pStyle w:val="TableContents"/>
              <w:spacing w:before="0" w:after="283"/>
              <w:jc w:val="right"/>
              <w:rPr/>
            </w:pPr>
            <w:r>
              <w:rPr/>
              <w:t>0.3</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 + 10.50%</w:t>
            </w:r>
            <w:r>
              <w:rPr>
                <w:rFonts w:ascii="Times New Roman;Times;Serif" w:hAnsi="Times New Roman;Times;Serif"/>
                <w:position w:val="7"/>
                <w:sz w:val="16"/>
                <w:sz w:val="20"/>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21.2</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92"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2"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2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7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Subtotal</w:t>
            </w:r>
          </w:p>
        </w:tc>
        <w:tc>
          <w:tcPr>
            <w:tcW w:w="60" w:type="dxa"/>
            <w:tcBorders/>
            <w:shd w:fill="auto" w:val="clear"/>
            <w:vAlign w:val="center"/>
          </w:tcPr>
          <w:p>
            <w:pPr>
              <w:pStyle w:val="TableContents"/>
              <w:spacing w:before="0" w:after="283"/>
              <w:rPr/>
            </w:pPr>
            <w:r>
              <w:rPr/>
              <w:t> </w:t>
            </w:r>
          </w:p>
        </w:tc>
        <w:tc>
          <w:tcPr>
            <w:tcW w:w="63"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92" w:type="dxa"/>
            <w:tcBorders>
              <w:bottom w:val="double" w:sz="10" w:space="0" w:color="000000"/>
            </w:tcBorders>
            <w:shd w:fill="auto" w:val="clear"/>
            <w:tcMar>
              <w:bottom w:w="28" w:type="dxa"/>
            </w:tcMar>
            <w:vAlign w:val="center"/>
          </w:tcPr>
          <w:p>
            <w:pPr>
              <w:pStyle w:val="TableContents"/>
              <w:spacing w:before="0" w:after="283"/>
              <w:jc w:val="right"/>
              <w:rPr/>
            </w:pPr>
            <w:r>
              <w:rPr/>
              <w:t>327,954,423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pPr>
            <w:r>
              <w:rPr/>
              <w:t>320,191,407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pPr>
            <w:r>
              <w:rPr/>
              <w:t>316,226,144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3"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752" w:type="dxa"/>
            <w:tcBorders>
              <w:bottom w:val="double" w:sz="10" w:space="0" w:color="000000"/>
            </w:tcBorders>
            <w:shd w:fill="auto" w:val="clear"/>
            <w:tcMar>
              <w:bottom w:w="28" w:type="dxa"/>
            </w:tcMar>
            <w:vAlign w:val="center"/>
          </w:tcPr>
          <w:p>
            <w:pPr>
              <w:pStyle w:val="TableContents"/>
              <w:spacing w:before="0" w:after="283"/>
              <w:jc w:val="right"/>
              <w:rPr/>
            </w:pPr>
            <w:r>
              <w:rPr/>
              <w:t>100.0</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14,234,000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pPr>
            <w:r>
              <w:rPr/>
              <w:t>17.6%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Wtd Average</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520" w:type="dxa"/>
            <w:tcBorders>
              <w:bottom w:val="double" w:sz="10" w:space="0" w:color="000000"/>
            </w:tcBorders>
            <w:shd w:fill="auto" w:val="clear"/>
            <w:tcMar>
              <w:bottom w:w="28" w:type="dxa"/>
            </w:tcMar>
            <w:vAlign w:val="center"/>
          </w:tcPr>
          <w:p>
            <w:pPr>
              <w:pStyle w:val="TableContents"/>
              <w:spacing w:before="0" w:after="283"/>
              <w:jc w:val="right"/>
              <w:rPr/>
            </w:pPr>
            <w:r>
              <w:rPr/>
              <w:t>19.4</w:t>
            </w:r>
          </w:p>
        </w:tc>
        <w:tc>
          <w:tcPr>
            <w:tcW w:w="230" w:type="dxa"/>
            <w:tcBorders/>
            <w:shd w:fill="auto"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All loans originated prior to April 1, 2021 were purchased from affiliated entities at fair value plus accrued interest on or subsequent to April 1, 2021.</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Certain loans are subject to contractual extension options and may be subject to performance based on other conditions as stipulated in the loan agreement. Actual maturities may differ from contractual maturities stated herein as certain borrowers may have the right to prepay with or without a contractual prepayment penalty. The Company may also extend contractual maturities and amend other terms of the loans in connection with loan modifications.</w:t>
            </w:r>
          </w:p>
        </w:tc>
      </w:tr>
      <w:tr>
        <w:trPr/>
        <w:tc>
          <w:tcPr>
            <w:tcW w:w="2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Total Commitment excludes future amounts to be advanced at sole discretion of the lender.</w:t>
            </w:r>
          </w:p>
        </w:tc>
      </w:tr>
      <w:tr>
        <w:trPr/>
        <w:tc>
          <w:tcPr>
            <w:tcW w:w="2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98" w:type="dxa"/>
            <w:tcBorders/>
            <w:shd w:fill="auto" w:val="clear"/>
            <w:vAlign w:val="center"/>
          </w:tcPr>
          <w:p>
            <w:pPr>
              <w:pStyle w:val="TableContents"/>
              <w:spacing w:before="0" w:after="283"/>
              <w:rPr/>
            </w:pPr>
            <w:r>
              <w:rPr/>
              <w:t>“</w:t>
            </w:r>
            <w:r>
              <w:rPr>
                <w:rFonts w:ascii="Times New Roman;Times;Serif" w:hAnsi="Times New Roman;Times;Serif"/>
                <w:sz w:val="20"/>
              </w:rPr>
              <w:t>P” = Prime Rate and depicts floating rate loans that pay interest at the Prime Rate plus a specific percentage; “PIK” = paid in kind interest; subtotal represents weighted average interest rate.</w:t>
            </w:r>
          </w:p>
        </w:tc>
      </w:tr>
      <w:tr>
        <w:trPr/>
        <w:tc>
          <w:tcPr>
            <w:tcW w:w="2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9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P&amp;I = principal and interest. I/O = interest only. P&amp;I loans may include interest only periods for a portion of the loan term.</w:t>
            </w:r>
          </w:p>
        </w:tc>
      </w:tr>
      <w:tr>
        <w:trPr/>
        <w:tc>
          <w:tcPr>
            <w:tcW w:w="2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(6)</w:t>
            </w:r>
          </w:p>
        </w:tc>
        <w:tc>
          <w:tcPr>
            <w:tcW w:w="9998"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tc>
      </w:tr>
      <w:tr>
        <w:trPr/>
        <w:tc>
          <w:tcPr>
            <w:tcW w:w="20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(7)</w:t>
            </w:r>
          </w:p>
        </w:tc>
        <w:tc>
          <w:tcPr>
            <w:tcW w:w="999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This Loan is subject to Prime Rate floor.</w:t>
            </w:r>
          </w:p>
        </w:tc>
      </w:tr>
    </w:tbl>
    <w:tbl>
      <w:tblPr>
        <w:tblW w:w="10205" w:type="dxa"/>
        <w:jc w:val="left"/>
        <w:tblInd w:w="0" w:type="dxa"/>
        <w:tblCellMar>
          <w:top w:w="0" w:type="dxa"/>
          <w:left w:w="0" w:type="dxa"/>
          <w:bottom w:w="0" w:type="dxa"/>
          <w:right w:w="0" w:type="dxa"/>
        </w:tblCellMar>
      </w:tblPr>
      <w:tblGrid>
        <w:gridCol w:w="321"/>
        <w:gridCol w:w="9884"/>
      </w:tblGrid>
      <w:tr>
        <w:trPr/>
        <w:tc>
          <w:tcPr>
            <w:tcW w:w="32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w:t>
            </w:r>
          </w:p>
        </w:tc>
        <w:tc>
          <w:tcPr>
            <w:tcW w:w="988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This Loan is subject to an interest rate cap.</w:t>
            </w:r>
          </w:p>
        </w:tc>
      </w:tr>
      <w:tr>
        <w:trPr/>
        <w:tc>
          <w:tcPr>
            <w:tcW w:w="32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w:t>
            </w:r>
          </w:p>
        </w:tc>
        <w:tc>
          <w:tcPr>
            <w:tcW w:w="988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aggregate loan commitment to Loan #4 includes a $10.9 million advance, which has a base interest rate of 15.00%, and a second advance of $2.0 million, which has an interest rate of 39.00%. The statistics presented reflect the weighted average of the terms under both advances for the total aggregate loan commitment.</w:t>
            </w:r>
          </w:p>
        </w:tc>
      </w:tr>
      <w:tr>
        <w:trPr/>
        <w:tc>
          <w:tcPr>
            <w:tcW w:w="32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w:t>
            </w:r>
          </w:p>
        </w:tc>
        <w:tc>
          <w:tcPr>
            <w:tcW w:w="9884" w:type="dxa"/>
            <w:tcBorders/>
            <w:shd w:fill="auto" w:val="clear"/>
            <w:vAlign w:val="center"/>
          </w:tcPr>
          <w:p>
            <w:pPr>
              <w:pStyle w:val="TableContents"/>
              <w:spacing w:before="0" w:after="283"/>
              <w:rPr/>
            </w:pPr>
            <w:r>
              <w:rPr/>
              <w:t>The aggregate loan commitment to Loan #3 includes a $15.9 million initial advance, which has a base interest rate of 13.625%, 2.75% PIK and a second advance of $4.2 million, which has an interest rate of 15.00%, 2.00% PIK. The statistics presented reflect the weighted average of the terms under both advances for the total aggregate loan commitment.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our loans held for investment as of March 31, 2023 and December 31, 2022:</w:t>
      </w:r>
    </w:p>
    <w:p>
      <w:pPr>
        <w:pStyle w:val="TextBody"/>
        <w:spacing w:before="0" w:after="0"/>
        <w:ind w:left="0" w:right="0" w:hanging="0"/>
        <w:rPr>
          <w:caps w:val="false"/>
          <w:smallCaps w:val="false"/>
        </w:rPr>
      </w:pPr>
      <w:r>
        <w:rPr>
          <w:caps w:val="false"/>
          <w:smallCaps w:val="false"/>
        </w:rPr>
        <w:t> </w:t>
      </w:r>
    </w:p>
    <w:tbl>
      <w:tblPr>
        <w:tblW w:w="9485" w:type="dxa"/>
        <w:jc w:val="left"/>
        <w:tblInd w:w="0" w:type="dxa"/>
        <w:tblCellMar>
          <w:top w:w="0" w:type="dxa"/>
          <w:left w:w="0" w:type="dxa"/>
          <w:bottom w:w="0" w:type="dxa"/>
          <w:right w:w="0" w:type="dxa"/>
        </w:tblCellMar>
      </w:tblPr>
      <w:tblGrid>
        <w:gridCol w:w="3875"/>
        <w:gridCol w:w="60"/>
        <w:gridCol w:w="140"/>
        <w:gridCol w:w="1220"/>
        <w:gridCol w:w="60"/>
        <w:gridCol w:w="60"/>
        <w:gridCol w:w="140"/>
        <w:gridCol w:w="1055"/>
        <w:gridCol w:w="95"/>
        <w:gridCol w:w="60"/>
        <w:gridCol w:w="140"/>
        <w:gridCol w:w="1220"/>
        <w:gridCol w:w="95"/>
        <w:gridCol w:w="60"/>
        <w:gridCol w:w="178"/>
        <w:gridCol w:w="952"/>
        <w:gridCol w:w="75"/>
      </w:tblGrid>
      <w:tr>
        <w:trPr/>
        <w:tc>
          <w:tcPr>
            <w:tcW w:w="38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75"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As of March 31, 2023</w:t>
            </w:r>
          </w:p>
        </w:tc>
        <w:tc>
          <w:tcPr>
            <w:tcW w:w="75"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Outstanding</w:t>
              <w:br/>
              <w:t>Principal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Original</w:t>
              <w:br/>
              <w:t>Issue</w:t>
              <w:br/>
              <w:t>Discount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Carrying</w:t>
              <w:br/>
              <w:t>Value (1)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Weighted</w:t>
              <w:br/>
              <w:t>Average</w:t>
              <w:br/>
              <w:t>Remaining</w:t>
              <w:br/>
              <w:t xml:space="preserve">Life </w:t>
              <w:br/>
              <w:t>(Years) (2)</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283"/>
              <w:jc w:val="left"/>
              <w:rPr/>
            </w:pPr>
            <w:r>
              <w:rPr/>
              <w:t>Senior Term Loans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320,191,407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(3,965,263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316,226,144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 </w:t>
            </w:r>
          </w:p>
        </w:tc>
        <w:tc>
          <w:tcPr>
            <w:tcW w:w="952" w:type="dxa"/>
            <w:tcBorders/>
            <w:shd w:fill="CCEEFF" w:val="clear"/>
            <w:vAlign w:val="center"/>
          </w:tcPr>
          <w:p>
            <w:pPr>
              <w:pStyle w:val="TableContents"/>
              <w:spacing w:before="0" w:after="283"/>
              <w:jc w:val="center"/>
              <w:rPr/>
            </w:pPr>
            <w:r>
              <w:rPr/>
              <w:t>2.0</w:t>
            </w:r>
          </w:p>
        </w:tc>
        <w:tc>
          <w:tcPr>
            <w:tcW w:w="75" w:type="dxa"/>
            <w:tcBorders/>
            <w:shd w:fill="CCEEFF" w:val="clear"/>
            <w:vAlign w:val="center"/>
          </w:tcPr>
          <w:p>
            <w:pPr>
              <w:pStyle w:val="TableContents"/>
              <w:spacing w:before="0" w:after="283"/>
              <w:jc w:val="left"/>
              <w:rPr/>
            </w:pPr>
            <w:r>
              <w:rPr/>
              <w:t> </w:t>
            </w:r>
          </w:p>
        </w:tc>
      </w:tr>
      <w:tr>
        <w:trPr/>
        <w:tc>
          <w:tcPr>
            <w:tcW w:w="3875" w:type="dxa"/>
            <w:tcBorders/>
            <w:shd w:fill="auto" w:val="clear"/>
            <w:vAlign w:val="center"/>
          </w:tcPr>
          <w:p>
            <w:pPr>
              <w:pStyle w:val="TableContents"/>
              <w:spacing w:before="0" w:after="283"/>
              <w:jc w:val="left"/>
              <w:rPr/>
            </w:pPr>
            <w:r>
              <w:rPr/>
              <w:t>Current expected credit loss reserve</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(4,051,934</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jc w:val="left"/>
              <w:rPr/>
            </w:pPr>
            <w:r>
              <w:rPr/>
              <w:t> </w:t>
            </w:r>
          </w:p>
        </w:tc>
        <w:tc>
          <w:tcPr>
            <w:tcW w:w="95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3875" w:type="dxa"/>
            <w:tcBorders/>
            <w:shd w:fill="CCEEFF" w:val="clear"/>
            <w:vAlign w:val="center"/>
          </w:tcPr>
          <w:p>
            <w:pPr>
              <w:pStyle w:val="TableContents"/>
              <w:spacing w:before="0" w:after="283"/>
              <w:jc w:val="left"/>
              <w:rPr>
                <w:b/>
              </w:rPr>
            </w:pPr>
            <w:r>
              <w:rPr>
                <w:b/>
              </w:rPr>
              <w:t>Total loans held at carrying value, net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b/>
              </w:rPr>
            </w:pPr>
            <w:r>
              <w:rPr>
                <w:b/>
              </w:rPr>
              <w:t>320,191,407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b/>
              </w:rPr>
            </w:pPr>
            <w:r>
              <w:rPr>
                <w:b/>
              </w:rPr>
              <w:t>(3,965,263</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b/>
              </w:rPr>
            </w:pPr>
            <w:r>
              <w:rPr>
                <w:b/>
              </w:rPr>
              <w:t>312,174,210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 </w:t>
            </w:r>
          </w:p>
        </w:tc>
        <w:tc>
          <w:tcPr>
            <w:tcW w:w="95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9485" w:type="dxa"/>
        <w:jc w:val="left"/>
        <w:tblInd w:w="0" w:type="dxa"/>
        <w:tblCellMar>
          <w:top w:w="0" w:type="dxa"/>
          <w:left w:w="0" w:type="dxa"/>
          <w:bottom w:w="0" w:type="dxa"/>
          <w:right w:w="0" w:type="dxa"/>
        </w:tblCellMar>
      </w:tblPr>
      <w:tblGrid>
        <w:gridCol w:w="3875"/>
        <w:gridCol w:w="60"/>
        <w:gridCol w:w="140"/>
        <w:gridCol w:w="1220"/>
        <w:gridCol w:w="60"/>
        <w:gridCol w:w="60"/>
        <w:gridCol w:w="140"/>
        <w:gridCol w:w="1055"/>
        <w:gridCol w:w="95"/>
        <w:gridCol w:w="60"/>
        <w:gridCol w:w="140"/>
        <w:gridCol w:w="1220"/>
        <w:gridCol w:w="95"/>
        <w:gridCol w:w="60"/>
        <w:gridCol w:w="178"/>
        <w:gridCol w:w="952"/>
        <w:gridCol w:w="75"/>
      </w:tblGrid>
      <w:tr>
        <w:trPr/>
        <w:tc>
          <w:tcPr>
            <w:tcW w:w="38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475"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As of December 31, 2022</w:t>
            </w:r>
          </w:p>
        </w:tc>
        <w:tc>
          <w:tcPr>
            <w:tcW w:w="75" w:type="dxa"/>
            <w:tcBorders/>
            <w:shd w:fill="auto" w:val="clear"/>
            <w:vAlign w:val="center"/>
          </w:tcPr>
          <w:p>
            <w:pPr>
              <w:pStyle w:val="TableContents"/>
              <w:spacing w:before="0" w:after="283"/>
              <w:rPr/>
            </w:pPr>
            <w:r>
              <w:rPr/>
              <w:t> </w:t>
            </w:r>
          </w:p>
        </w:tc>
      </w:tr>
      <w:tr>
        <w:trPr/>
        <w:tc>
          <w:tcPr>
            <w:tcW w:w="38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Outstanding</w:t>
              <w:br/>
              <w:t>Principal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Original</w:t>
              <w:br/>
              <w:t>Issue</w:t>
              <w:br/>
              <w:t>Discount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Carrying</w:t>
              <w:br/>
              <w:t>Value (1)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Weighted</w:t>
              <w:br/>
              <w:t>Average</w:t>
              <w:br/>
              <w:t>Remaining</w:t>
              <w:br/>
              <w:t>Life</w:t>
              <w:br/>
              <w:t>(Years) (2)</w:t>
            </w:r>
          </w:p>
        </w:tc>
        <w:tc>
          <w:tcPr>
            <w:tcW w:w="75" w:type="dxa"/>
            <w:tcBorders/>
            <w:shd w:fill="auto" w:val="clear"/>
            <w:vAlign w:val="center"/>
          </w:tcPr>
          <w:p>
            <w:pPr>
              <w:pStyle w:val="TableContents"/>
              <w:spacing w:before="0" w:after="283"/>
              <w:rPr/>
            </w:pPr>
            <w:r>
              <w:rPr/>
              <w:t> </w:t>
            </w:r>
          </w:p>
        </w:tc>
      </w:tr>
      <w:tr>
        <w:trPr/>
        <w:tc>
          <w:tcPr>
            <w:tcW w:w="3875" w:type="dxa"/>
            <w:tcBorders/>
            <w:shd w:fill="CCEEFF" w:val="clear"/>
            <w:vAlign w:val="center"/>
          </w:tcPr>
          <w:p>
            <w:pPr>
              <w:pStyle w:val="TableContents"/>
              <w:spacing w:before="0" w:after="283"/>
              <w:jc w:val="left"/>
              <w:rPr/>
            </w:pPr>
            <w:r>
              <w:rPr/>
              <w:t>Senior Term Loans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343,029,334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(3,755,796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339,273,538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 </w:t>
            </w:r>
          </w:p>
        </w:tc>
        <w:tc>
          <w:tcPr>
            <w:tcW w:w="952" w:type="dxa"/>
            <w:tcBorders/>
            <w:shd w:fill="CCEEFF" w:val="clear"/>
            <w:vAlign w:val="center"/>
          </w:tcPr>
          <w:p>
            <w:pPr>
              <w:pStyle w:val="TableContents"/>
              <w:spacing w:before="0" w:after="283"/>
              <w:jc w:val="center"/>
              <w:rPr/>
            </w:pPr>
            <w:r>
              <w:rPr/>
              <w:t>2.2</w:t>
            </w:r>
          </w:p>
        </w:tc>
        <w:tc>
          <w:tcPr>
            <w:tcW w:w="75" w:type="dxa"/>
            <w:tcBorders/>
            <w:shd w:fill="CCEEFF" w:val="clear"/>
            <w:vAlign w:val="center"/>
          </w:tcPr>
          <w:p>
            <w:pPr>
              <w:pStyle w:val="TableContents"/>
              <w:spacing w:before="0" w:after="283"/>
              <w:jc w:val="left"/>
              <w:rPr/>
            </w:pPr>
            <w:r>
              <w:rPr/>
              <w:t> </w:t>
            </w:r>
          </w:p>
        </w:tc>
      </w:tr>
      <w:tr>
        <w:trPr/>
        <w:tc>
          <w:tcPr>
            <w:tcW w:w="3875" w:type="dxa"/>
            <w:tcBorders/>
            <w:shd w:fill="auto" w:val="clear"/>
            <w:vAlign w:val="center"/>
          </w:tcPr>
          <w:p>
            <w:pPr>
              <w:pStyle w:val="TableContents"/>
              <w:spacing w:before="0" w:after="283"/>
              <w:jc w:val="left"/>
              <w:rPr/>
            </w:pPr>
            <w:r>
              <w:rPr/>
              <w:t>Current expected credit loss reserve</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(3,940,939</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jc w:val="left"/>
              <w:rPr/>
            </w:pPr>
            <w:r>
              <w:rPr/>
              <w:t> </w:t>
            </w:r>
          </w:p>
        </w:tc>
        <w:tc>
          <w:tcPr>
            <w:tcW w:w="95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3875" w:type="dxa"/>
            <w:tcBorders/>
            <w:shd w:fill="CCEEFF" w:val="clear"/>
            <w:vAlign w:val="center"/>
          </w:tcPr>
          <w:p>
            <w:pPr>
              <w:pStyle w:val="TableContents"/>
              <w:spacing w:before="0" w:after="283"/>
              <w:jc w:val="left"/>
              <w:rPr>
                <w:b/>
              </w:rPr>
            </w:pPr>
            <w:r>
              <w:rPr>
                <w:b/>
              </w:rPr>
              <w:t>Total loans held at carrying value, net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b/>
              </w:rPr>
            </w:pPr>
            <w:r>
              <w:rPr>
                <w:b/>
              </w:rPr>
              <w:t>343,029,334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b/>
              </w:rPr>
            </w:pPr>
            <w:r>
              <w:rPr>
                <w:b/>
              </w:rPr>
              <w:t>(3,755,796</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b/>
              </w:rPr>
            </w:pPr>
            <w:r>
              <w:rPr>
                <w:b/>
              </w:rPr>
              <w:t>335,332,599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jc w:val="left"/>
              <w:rPr/>
            </w:pPr>
            <w:r>
              <w:rPr/>
              <w:t> </w:t>
            </w:r>
          </w:p>
        </w:tc>
        <w:tc>
          <w:tcPr>
            <w:tcW w:w="952"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8"/>
        <w:gridCol w:w="9947"/>
      </w:tblGrid>
      <w:tr>
        <w:trPr/>
        <w:tc>
          <w:tcPr>
            <w:tcW w:w="258" w:type="dxa"/>
            <w:tcBorders/>
            <w:shd w:fill="auto" w:val="clear"/>
            <w:vAlign w:val="center"/>
          </w:tcPr>
          <w:p>
            <w:pPr>
              <w:pStyle w:val="TableContents"/>
              <w:spacing w:before="0" w:after="283"/>
              <w:jc w:val="left"/>
              <w:rPr/>
            </w:pPr>
            <w:r>
              <w:rPr/>
              <w:t>(1)</w:t>
            </w:r>
          </w:p>
        </w:tc>
        <w:tc>
          <w:tcPr>
            <w:tcW w:w="9947" w:type="dxa"/>
            <w:tcBorders/>
            <w:shd w:fill="auto" w:val="clear"/>
            <w:vAlign w:val="center"/>
          </w:tcPr>
          <w:p>
            <w:pPr>
              <w:pStyle w:val="TableContents"/>
              <w:spacing w:before="0" w:after="283"/>
              <w:jc w:val="left"/>
              <w:rPr/>
            </w:pPr>
            <w:r>
              <w:rPr/>
              <w:t>The difference between the Carrying Value and the Outstanding Principal amount of the loans consists of unaccreted original issue discount, deferred loan fees and other upfront fees. Outstanding principal balance includes capitalized PIK interest, if applicable.</w:t>
            </w:r>
          </w:p>
        </w:tc>
      </w:tr>
    </w:tbl>
    <w:p>
      <w:pPr>
        <w:pStyle w:val="TextBody"/>
        <w:spacing w:before="0" w:after="0"/>
        <w:ind w:left="108"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(2)</w:t>
            </w:r>
          </w:p>
        </w:tc>
        <w:tc>
          <w:tcPr>
            <w:tcW w:w="9923" w:type="dxa"/>
            <w:tcBorders/>
            <w:shd w:fill="auto" w:val="clear"/>
            <w:vAlign w:val="center"/>
          </w:tcPr>
          <w:p>
            <w:pPr>
              <w:pStyle w:val="TableContents"/>
              <w:spacing w:before="0" w:after="283"/>
              <w:jc w:val="left"/>
              <w:rPr/>
            </w:pPr>
            <w:r>
              <w:rPr/>
              <w:t>Weighted average remaining life is calculated based on the carrying value of the loans as of March 31, 2023 and December 31, 2022, respectively.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changes in loans held for investment at carrying value as of and for the three months ended March 31, 2023 and 2022:</w:t>
      </w:r>
    </w:p>
    <w:p>
      <w:pPr>
        <w:pStyle w:val="TextBody"/>
        <w:spacing w:before="0" w:after="0"/>
        <w:ind w:left="0" w:right="0" w:hanging="0"/>
        <w:rPr>
          <w:caps w:val="false"/>
          <w:smallCaps w:val="false"/>
        </w:rPr>
      </w:pPr>
      <w:r>
        <w:rPr>
          <w:caps w:val="false"/>
          <w:smallCaps w:val="false"/>
        </w:rPr>
        <w:t> </w:t>
      </w:r>
    </w:p>
    <w:tbl>
      <w:tblPr>
        <w:tblW w:w="9149" w:type="dxa"/>
        <w:jc w:val="left"/>
        <w:tblInd w:w="0" w:type="dxa"/>
        <w:tblCellMar>
          <w:top w:w="0" w:type="dxa"/>
          <w:left w:w="0" w:type="dxa"/>
          <w:bottom w:w="0" w:type="dxa"/>
          <w:right w:w="0" w:type="dxa"/>
        </w:tblCellMar>
      </w:tblPr>
      <w:tblGrid>
        <w:gridCol w:w="3395"/>
        <w:gridCol w:w="60"/>
        <w:gridCol w:w="140"/>
        <w:gridCol w:w="1220"/>
        <w:gridCol w:w="95"/>
        <w:gridCol w:w="60"/>
        <w:gridCol w:w="140"/>
        <w:gridCol w:w="1055"/>
        <w:gridCol w:w="95"/>
        <w:gridCol w:w="60"/>
        <w:gridCol w:w="141"/>
        <w:gridCol w:w="1063"/>
        <w:gridCol w:w="95"/>
        <w:gridCol w:w="60"/>
        <w:gridCol w:w="140"/>
        <w:gridCol w:w="1220"/>
        <w:gridCol w:w="110"/>
      </w:tblGrid>
      <w:tr>
        <w:trPr/>
        <w:tc>
          <w:tcPr>
            <w:tcW w:w="33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Principal</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Original</w:t>
              <w:br/>
              <w:t>Issue</w:t>
              <w:br/>
              <w:t>Discount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Current</w:t>
              <w:br/>
              <w:t>Expected</w:t>
              <w:br/>
              <w:t>Credit Loss</w:t>
              <w:br/>
              <w:t>Reserve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Carrying</w:t>
              <w:br/>
              <w:t>Value (1)</w:t>
            </w:r>
          </w:p>
        </w:tc>
        <w:tc>
          <w:tcPr>
            <w:tcW w:w="110" w:type="dxa"/>
            <w:tcBorders/>
            <w:shd w:fill="auto" w:val="clear"/>
            <w:vAlign w:val="center"/>
          </w:tcPr>
          <w:p>
            <w:pPr>
              <w:pStyle w:val="TableContents"/>
              <w:spacing w:before="0" w:after="283"/>
              <w:rPr/>
            </w:pPr>
            <w:r>
              <w:rPr/>
              <w:t> </w:t>
            </w:r>
          </w:p>
        </w:tc>
      </w:tr>
      <w:tr>
        <w:trPr/>
        <w:tc>
          <w:tcPr>
            <w:tcW w:w="3395" w:type="dxa"/>
            <w:tcBorders/>
            <w:shd w:fill="CCEEFF" w:val="clear"/>
            <w:vAlign w:val="center"/>
          </w:tcPr>
          <w:p>
            <w:pPr>
              <w:pStyle w:val="TableContents"/>
              <w:spacing w:before="0" w:after="283"/>
              <w:rPr>
                <w:b/>
              </w:rPr>
            </w:pPr>
            <w:r>
              <w:rPr>
                <w:b/>
              </w:rPr>
              <w:t>Balance at December 31, 2022</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220" w:type="dxa"/>
            <w:tcBorders/>
            <w:shd w:fill="CCEEFF" w:val="clear"/>
            <w:vAlign w:val="center"/>
          </w:tcPr>
          <w:p>
            <w:pPr>
              <w:pStyle w:val="TableContents"/>
              <w:spacing w:before="0" w:after="283"/>
              <w:jc w:val="right"/>
              <w:rPr>
                <w:b/>
              </w:rPr>
            </w:pPr>
            <w:r>
              <w:rPr>
                <w:b/>
              </w:rPr>
              <w:t>343,029,334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055" w:type="dxa"/>
            <w:tcBorders/>
            <w:shd w:fill="CCEEFF" w:val="clear"/>
            <w:vAlign w:val="center"/>
          </w:tcPr>
          <w:p>
            <w:pPr>
              <w:pStyle w:val="TableContents"/>
              <w:spacing w:before="0" w:after="283"/>
              <w:jc w:val="right"/>
              <w:rPr>
                <w:b/>
              </w:rPr>
            </w:pPr>
            <w:r>
              <w:rPr>
                <w:b/>
              </w:rPr>
              <w:t>(3,755,796</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b/>
              </w:rPr>
            </w:pPr>
            <w:r>
              <w:rPr>
                <w:b/>
              </w:rPr>
              <w:t>$</w:t>
            </w:r>
          </w:p>
        </w:tc>
        <w:tc>
          <w:tcPr>
            <w:tcW w:w="1063" w:type="dxa"/>
            <w:tcBorders/>
            <w:shd w:fill="CCEEFF" w:val="clear"/>
            <w:vAlign w:val="center"/>
          </w:tcPr>
          <w:p>
            <w:pPr>
              <w:pStyle w:val="TableContents"/>
              <w:spacing w:before="0" w:after="283"/>
              <w:jc w:val="right"/>
              <w:rPr>
                <w:b/>
              </w:rPr>
            </w:pPr>
            <w:r>
              <w:rPr>
                <w:b/>
              </w:rPr>
              <w:t>(3,940,939</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220" w:type="dxa"/>
            <w:tcBorders/>
            <w:shd w:fill="CCEEFF" w:val="clear"/>
            <w:vAlign w:val="center"/>
          </w:tcPr>
          <w:p>
            <w:pPr>
              <w:pStyle w:val="TableContents"/>
              <w:spacing w:before="0" w:after="283"/>
              <w:jc w:val="right"/>
              <w:rPr>
                <w:b/>
              </w:rPr>
            </w:pPr>
            <w:r>
              <w:rPr>
                <w:b/>
              </w:rPr>
              <w:t>335,332,599</w:t>
            </w:r>
          </w:p>
        </w:tc>
        <w:tc>
          <w:tcPr>
            <w:tcW w:w="110" w:type="dxa"/>
            <w:tcBorders/>
            <w:shd w:fill="CCEEFF" w:val="clear"/>
            <w:vAlign w:val="center"/>
          </w:tcPr>
          <w:p>
            <w:pPr>
              <w:pStyle w:val="TableContents"/>
              <w:spacing w:before="0" w:after="283"/>
              <w:jc w:val="left"/>
              <w:rPr/>
            </w:pPr>
            <w:r>
              <w:rPr/>
              <w:t> </w:t>
            </w:r>
          </w:p>
        </w:tc>
      </w:tr>
      <w:tr>
        <w:trPr/>
        <w:tc>
          <w:tcPr>
            <w:tcW w:w="3395" w:type="dxa"/>
            <w:tcBorders/>
            <w:shd w:fill="auto" w:val="clear"/>
            <w:vAlign w:val="center"/>
          </w:tcPr>
          <w:p>
            <w:pPr>
              <w:pStyle w:val="TableContents"/>
              <w:spacing w:before="0" w:after="283"/>
              <w:jc w:val="left"/>
              <w:rPr/>
            </w:pPr>
            <w:r>
              <w:rPr/>
              <w:t>New fundings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34,060,000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(1,118,340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063"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32,941,660</w:t>
            </w:r>
          </w:p>
        </w:tc>
        <w:tc>
          <w:tcPr>
            <w:tcW w:w="110" w:type="dxa"/>
            <w:tcBorders/>
            <w:shd w:fill="auto" w:val="clear"/>
            <w:vAlign w:val="center"/>
          </w:tcPr>
          <w:p>
            <w:pPr>
              <w:pStyle w:val="TableContents"/>
              <w:spacing w:before="0" w:after="283"/>
              <w:jc w:val="left"/>
              <w:rPr/>
            </w:pPr>
            <w:r>
              <w:rPr/>
              <w:t> </w:t>
            </w:r>
          </w:p>
        </w:tc>
      </w:tr>
      <w:tr>
        <w:trPr/>
        <w:tc>
          <w:tcPr>
            <w:tcW w:w="3395" w:type="dxa"/>
            <w:tcBorders/>
            <w:shd w:fill="CCEEFF" w:val="clear"/>
            <w:vAlign w:val="center"/>
          </w:tcPr>
          <w:p>
            <w:pPr>
              <w:pStyle w:val="TableContents"/>
              <w:spacing w:before="0" w:after="283"/>
              <w:jc w:val="left"/>
              <w:rPr/>
            </w:pPr>
            <w:r>
              <w:rPr/>
              <w:t>Principal repayment of loans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(45,754,443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(45,754,443</w:t>
            </w:r>
          </w:p>
        </w:tc>
        <w:tc>
          <w:tcPr>
            <w:tcW w:w="110" w:type="dxa"/>
            <w:tcBorders/>
            <w:shd w:fill="CCEEFF" w:val="clear"/>
            <w:vAlign w:val="center"/>
          </w:tcPr>
          <w:p>
            <w:pPr>
              <w:pStyle w:val="TableContents"/>
              <w:spacing w:before="0" w:after="283"/>
              <w:jc w:val="left"/>
              <w:rPr/>
            </w:pPr>
            <w:r>
              <w:rPr/>
              <w:t>)</w:t>
            </w:r>
          </w:p>
        </w:tc>
      </w:tr>
      <w:tr>
        <w:trPr/>
        <w:tc>
          <w:tcPr>
            <w:tcW w:w="3395" w:type="dxa"/>
            <w:tcBorders/>
            <w:shd w:fill="auto" w:val="clear"/>
            <w:vAlign w:val="center"/>
          </w:tcPr>
          <w:p>
            <w:pPr>
              <w:pStyle w:val="TableContents"/>
              <w:spacing w:before="0" w:after="283"/>
              <w:jc w:val="left"/>
              <w:rPr/>
            </w:pPr>
            <w:r>
              <w:rPr/>
              <w:t>Accretion of original issue discount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908,873</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063"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908,873</w:t>
            </w:r>
          </w:p>
        </w:tc>
        <w:tc>
          <w:tcPr>
            <w:tcW w:w="110" w:type="dxa"/>
            <w:tcBorders/>
            <w:shd w:fill="auto" w:val="clear"/>
            <w:vAlign w:val="center"/>
          </w:tcPr>
          <w:p>
            <w:pPr>
              <w:pStyle w:val="TableContents"/>
              <w:spacing w:before="0" w:after="283"/>
              <w:jc w:val="left"/>
              <w:rPr/>
            </w:pPr>
            <w:r>
              <w:rPr/>
              <w:t> </w:t>
            </w:r>
          </w:p>
        </w:tc>
      </w:tr>
      <w:tr>
        <w:trPr/>
        <w:tc>
          <w:tcPr>
            <w:tcW w:w="3395" w:type="dxa"/>
            <w:tcBorders/>
            <w:shd w:fill="CCEEFF" w:val="clear"/>
            <w:vAlign w:val="center"/>
          </w:tcPr>
          <w:p>
            <w:pPr>
              <w:pStyle w:val="TableContents"/>
              <w:spacing w:before="0" w:after="283"/>
              <w:rPr/>
            </w:pPr>
            <w:r>
              <w:rPr/>
              <w:t>Sale of loans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(13,399,712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063"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(13,399,712</w:t>
            </w:r>
          </w:p>
        </w:tc>
        <w:tc>
          <w:tcPr>
            <w:tcW w:w="110" w:type="dxa"/>
            <w:tcBorders/>
            <w:shd w:fill="CCEEFF" w:val="clear"/>
            <w:vAlign w:val="center"/>
          </w:tcPr>
          <w:p>
            <w:pPr>
              <w:pStyle w:val="TableContents"/>
              <w:spacing w:before="0" w:after="283"/>
              <w:jc w:val="left"/>
              <w:rPr/>
            </w:pPr>
            <w:r>
              <w:rPr/>
              <w:t>)</w:t>
            </w:r>
          </w:p>
        </w:tc>
      </w:tr>
      <w:tr>
        <w:trPr/>
        <w:tc>
          <w:tcPr>
            <w:tcW w:w="3395" w:type="dxa"/>
            <w:tcBorders/>
            <w:shd w:fill="auto" w:val="clear"/>
            <w:vAlign w:val="center"/>
          </w:tcPr>
          <w:p>
            <w:pPr>
              <w:pStyle w:val="TableContents"/>
              <w:spacing w:before="0" w:after="283"/>
              <w:jc w:val="left"/>
              <w:rPr/>
            </w:pPr>
            <w:r>
              <w:rPr/>
              <w:t>PIK Interest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2,256,228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063"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2,256,228</w:t>
            </w:r>
          </w:p>
        </w:tc>
        <w:tc>
          <w:tcPr>
            <w:tcW w:w="110" w:type="dxa"/>
            <w:tcBorders/>
            <w:shd w:fill="auto" w:val="clear"/>
            <w:vAlign w:val="center"/>
          </w:tcPr>
          <w:p>
            <w:pPr>
              <w:pStyle w:val="TableContents"/>
              <w:spacing w:before="0" w:after="283"/>
              <w:jc w:val="left"/>
              <w:rPr/>
            </w:pPr>
            <w:r>
              <w:rPr/>
              <w:t> </w:t>
            </w:r>
          </w:p>
        </w:tc>
      </w:tr>
      <w:tr>
        <w:trPr/>
        <w:tc>
          <w:tcPr>
            <w:tcW w:w="3395" w:type="dxa"/>
            <w:tcBorders/>
            <w:shd w:fill="CCEEFF" w:val="clear"/>
            <w:vAlign w:val="center"/>
          </w:tcPr>
          <w:p>
            <w:pPr>
              <w:pStyle w:val="TableContents"/>
              <w:spacing w:before="0" w:after="283"/>
              <w:jc w:val="left"/>
              <w:rPr/>
            </w:pPr>
            <w:r>
              <w:rPr/>
              <w:t>Current expected credit loss reserve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63" w:type="dxa"/>
            <w:tcBorders>
              <w:bottom w:val="single" w:sz="12" w:space="0" w:color="000000"/>
            </w:tcBorders>
            <w:shd w:fill="CCEEFF" w:val="clear"/>
            <w:tcMar>
              <w:bottom w:w="28" w:type="dxa"/>
            </w:tcMar>
            <w:vAlign w:val="center"/>
          </w:tcPr>
          <w:p>
            <w:pPr>
              <w:pStyle w:val="TableContents"/>
              <w:spacing w:before="0" w:after="283"/>
              <w:jc w:val="right"/>
              <w:rPr/>
            </w:pPr>
            <w:r>
              <w:rPr/>
              <w:t>(110,995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(110,995</w:t>
            </w:r>
          </w:p>
        </w:tc>
        <w:tc>
          <w:tcPr>
            <w:tcW w:w="110" w:type="dxa"/>
            <w:tcBorders/>
            <w:shd w:fill="CCEEFF" w:val="clear"/>
            <w:vAlign w:val="center"/>
          </w:tcPr>
          <w:p>
            <w:pPr>
              <w:pStyle w:val="TableContents"/>
              <w:spacing w:before="0" w:after="283"/>
              <w:jc w:val="left"/>
              <w:rPr/>
            </w:pPr>
            <w:r>
              <w:rPr/>
              <w:t>)</w:t>
            </w:r>
          </w:p>
        </w:tc>
      </w:tr>
      <w:tr>
        <w:trPr/>
        <w:tc>
          <w:tcPr>
            <w:tcW w:w="3395" w:type="dxa"/>
            <w:tcBorders/>
            <w:shd w:fill="auto" w:val="clear"/>
            <w:vAlign w:val="center"/>
          </w:tcPr>
          <w:p>
            <w:pPr>
              <w:pStyle w:val="TableContents"/>
              <w:spacing w:before="0" w:after="283"/>
              <w:rPr>
                <w:b/>
              </w:rPr>
            </w:pPr>
            <w:r>
              <w:rPr>
                <w:b/>
              </w:rPr>
              <w:t>Balance at March 31, 2023</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b/>
              </w:rPr>
            </w:pPr>
            <w:r>
              <w:rPr>
                <w:b/>
              </w:rPr>
              <w:t>320,191,407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b/>
              </w:rPr>
            </w:pPr>
            <w:r>
              <w:rPr>
                <w:b/>
              </w:rPr>
              <w:t>(3,965,263</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141"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063" w:type="dxa"/>
            <w:tcBorders>
              <w:bottom w:val="double" w:sz="10" w:space="0" w:color="000000"/>
            </w:tcBorders>
            <w:shd w:fill="auto" w:val="clear"/>
            <w:tcMar>
              <w:bottom w:w="28" w:type="dxa"/>
            </w:tcMar>
            <w:vAlign w:val="center"/>
          </w:tcPr>
          <w:p>
            <w:pPr>
              <w:pStyle w:val="TableContents"/>
              <w:spacing w:before="0" w:after="283"/>
              <w:jc w:val="right"/>
              <w:rPr>
                <w:b/>
              </w:rPr>
            </w:pPr>
            <w:r>
              <w:rPr>
                <w:b/>
              </w:rPr>
              <w:t>(4,051,934</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b/>
              </w:rPr>
            </w:pPr>
            <w:r>
              <w:rPr>
                <w:b/>
              </w:rPr>
              <w:t>312,174,210</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7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difference between the Carrying Value and the Outstanding Principal amount of the loans consists of unaccreted original issue discount, deferred loan fees and loan origination costs. Outstanding principal balance includes capitalized PIK interest, if applicable.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134" w:type="dxa"/>
        <w:jc w:val="left"/>
        <w:tblInd w:w="0" w:type="dxa"/>
        <w:tblCellMar>
          <w:top w:w="0" w:type="dxa"/>
          <w:left w:w="0" w:type="dxa"/>
          <w:bottom w:w="0" w:type="dxa"/>
          <w:right w:w="0" w:type="dxa"/>
        </w:tblCellMar>
      </w:tblPr>
      <w:tblGrid>
        <w:gridCol w:w="3380"/>
        <w:gridCol w:w="60"/>
        <w:gridCol w:w="140"/>
        <w:gridCol w:w="1220"/>
        <w:gridCol w:w="95"/>
        <w:gridCol w:w="60"/>
        <w:gridCol w:w="140"/>
        <w:gridCol w:w="1055"/>
        <w:gridCol w:w="95"/>
        <w:gridCol w:w="60"/>
        <w:gridCol w:w="166"/>
        <w:gridCol w:w="1038"/>
        <w:gridCol w:w="95"/>
        <w:gridCol w:w="60"/>
        <w:gridCol w:w="140"/>
        <w:gridCol w:w="1220"/>
        <w:gridCol w:w="110"/>
      </w:tblGrid>
      <w:tr>
        <w:trPr/>
        <w:tc>
          <w:tcPr>
            <w:tcW w:w="33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Principal</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Original</w:t>
              <w:br/>
              <w:t>Issue</w:t>
              <w:br/>
              <w:t>Discount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Current</w:t>
              <w:br/>
              <w:t>Expected</w:t>
              <w:br/>
              <w:t>Credit Loss</w:t>
              <w:br/>
              <w:t>Reserve</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Carrying</w:t>
              <w:br/>
              <w:t>Value (1)</w:t>
            </w:r>
          </w:p>
        </w:tc>
        <w:tc>
          <w:tcPr>
            <w:tcW w:w="110" w:type="dxa"/>
            <w:tcBorders/>
            <w:shd w:fill="auto" w:val="clear"/>
            <w:vAlign w:val="center"/>
          </w:tcPr>
          <w:p>
            <w:pPr>
              <w:pStyle w:val="TableContents"/>
              <w:spacing w:before="0" w:after="283"/>
              <w:rPr/>
            </w:pPr>
            <w:r>
              <w:rPr/>
              <w:t> </w:t>
            </w:r>
          </w:p>
        </w:tc>
      </w:tr>
      <w:tr>
        <w:trPr/>
        <w:tc>
          <w:tcPr>
            <w:tcW w:w="3380" w:type="dxa"/>
            <w:tcBorders/>
            <w:shd w:fill="CCEEFF" w:val="clear"/>
            <w:vAlign w:val="center"/>
          </w:tcPr>
          <w:p>
            <w:pPr>
              <w:pStyle w:val="TableContents"/>
              <w:spacing w:before="0" w:after="283"/>
              <w:rPr>
                <w:b/>
              </w:rPr>
            </w:pPr>
            <w:r>
              <w:rPr>
                <w:b/>
              </w:rPr>
              <w:t>Balance at December 31, 2021</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220" w:type="dxa"/>
            <w:tcBorders/>
            <w:shd w:fill="CCEEFF" w:val="clear"/>
            <w:vAlign w:val="center"/>
          </w:tcPr>
          <w:p>
            <w:pPr>
              <w:pStyle w:val="TableContents"/>
              <w:spacing w:before="0" w:after="283"/>
              <w:jc w:val="right"/>
              <w:rPr>
                <w:b/>
              </w:rPr>
            </w:pPr>
            <w:r>
              <w:rPr>
                <w:b/>
              </w:rPr>
              <w:t>200,632,056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055" w:type="dxa"/>
            <w:tcBorders/>
            <w:shd w:fill="CCEEFF" w:val="clear"/>
            <w:vAlign w:val="center"/>
          </w:tcPr>
          <w:p>
            <w:pPr>
              <w:pStyle w:val="TableContents"/>
              <w:spacing w:before="0" w:after="283"/>
              <w:jc w:val="right"/>
              <w:rPr>
                <w:b/>
              </w:rPr>
            </w:pPr>
            <w:r>
              <w:rPr>
                <w:b/>
              </w:rPr>
              <w:t>(3,647,490</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b/>
              </w:rPr>
            </w:pPr>
            <w:r>
              <w:rPr>
                <w:b/>
              </w:rPr>
              <w:t>$</w:t>
            </w:r>
          </w:p>
        </w:tc>
        <w:tc>
          <w:tcPr>
            <w:tcW w:w="1038" w:type="dxa"/>
            <w:tcBorders/>
            <w:shd w:fill="CCEEFF" w:val="clear"/>
            <w:vAlign w:val="center"/>
          </w:tcPr>
          <w:p>
            <w:pPr>
              <w:pStyle w:val="TableContents"/>
              <w:spacing w:before="0" w:after="283"/>
              <w:jc w:val="right"/>
              <w:rPr>
                <w:b/>
              </w:rPr>
            </w:pPr>
            <w:r>
              <w:rPr>
                <w:b/>
              </w:rPr>
              <w:t>(134,542</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220" w:type="dxa"/>
            <w:tcBorders/>
            <w:shd w:fill="CCEEFF" w:val="clear"/>
            <w:vAlign w:val="center"/>
          </w:tcPr>
          <w:p>
            <w:pPr>
              <w:pStyle w:val="TableContents"/>
              <w:spacing w:before="0" w:after="283"/>
              <w:jc w:val="right"/>
              <w:rPr>
                <w:b/>
              </w:rPr>
            </w:pPr>
            <w:r>
              <w:rPr>
                <w:b/>
              </w:rPr>
              <w:t>196,850,024</w:t>
            </w:r>
          </w:p>
        </w:tc>
        <w:tc>
          <w:tcPr>
            <w:tcW w:w="110" w:type="dxa"/>
            <w:tcBorders/>
            <w:shd w:fill="CCEEFF" w:val="clear"/>
            <w:vAlign w:val="center"/>
          </w:tcPr>
          <w:p>
            <w:pPr>
              <w:pStyle w:val="TableContents"/>
              <w:spacing w:before="0" w:after="283"/>
              <w:jc w:val="left"/>
              <w:rPr/>
            </w:pPr>
            <w:r>
              <w:rPr/>
              <w:t> </w:t>
            </w:r>
          </w:p>
        </w:tc>
      </w:tr>
      <w:tr>
        <w:trPr/>
        <w:tc>
          <w:tcPr>
            <w:tcW w:w="3380" w:type="dxa"/>
            <w:tcBorders/>
            <w:shd w:fill="auto" w:val="clear"/>
            <w:vAlign w:val="center"/>
          </w:tcPr>
          <w:p>
            <w:pPr>
              <w:pStyle w:val="TableContents"/>
              <w:spacing w:before="0" w:after="283"/>
              <w:jc w:val="left"/>
              <w:rPr/>
            </w:pPr>
            <w:r>
              <w:rPr/>
              <w:t>New fundings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86,725,308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(1,128,415</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jc w:val="left"/>
              <w:rPr/>
            </w:pPr>
            <w:r>
              <w:rPr/>
              <w:t> </w:t>
            </w:r>
          </w:p>
        </w:tc>
        <w:tc>
          <w:tcPr>
            <w:tcW w:w="1038"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85,596,893</w:t>
            </w:r>
          </w:p>
        </w:tc>
        <w:tc>
          <w:tcPr>
            <w:tcW w:w="110" w:type="dxa"/>
            <w:tcBorders/>
            <w:shd w:fill="auto" w:val="clear"/>
            <w:vAlign w:val="center"/>
          </w:tcPr>
          <w:p>
            <w:pPr>
              <w:pStyle w:val="TableContents"/>
              <w:spacing w:before="0" w:after="283"/>
              <w:jc w:val="left"/>
              <w:rPr/>
            </w:pPr>
            <w:r>
              <w:rPr/>
              <w:t> </w:t>
            </w:r>
          </w:p>
        </w:tc>
      </w:tr>
      <w:tr>
        <w:trPr/>
        <w:tc>
          <w:tcPr>
            <w:tcW w:w="3380" w:type="dxa"/>
            <w:tcBorders/>
            <w:shd w:fill="CCEEFF" w:val="clear"/>
            <w:vAlign w:val="center"/>
          </w:tcPr>
          <w:p>
            <w:pPr>
              <w:pStyle w:val="TableContents"/>
              <w:spacing w:before="0" w:after="283"/>
              <w:jc w:val="left"/>
              <w:rPr/>
            </w:pPr>
            <w:r>
              <w:rPr/>
              <w:t>Principal repayment of loans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(5,619,201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1038"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(5,619,201</w:t>
            </w:r>
          </w:p>
        </w:tc>
        <w:tc>
          <w:tcPr>
            <w:tcW w:w="110" w:type="dxa"/>
            <w:tcBorders/>
            <w:shd w:fill="CCEEFF" w:val="clear"/>
            <w:vAlign w:val="center"/>
          </w:tcPr>
          <w:p>
            <w:pPr>
              <w:pStyle w:val="TableContents"/>
              <w:spacing w:before="0" w:after="283"/>
              <w:jc w:val="left"/>
              <w:rPr/>
            </w:pPr>
            <w:r>
              <w:rPr/>
              <w:t>)</w:t>
            </w:r>
          </w:p>
        </w:tc>
      </w:tr>
      <w:tr>
        <w:trPr/>
        <w:tc>
          <w:tcPr>
            <w:tcW w:w="3380" w:type="dxa"/>
            <w:tcBorders/>
            <w:shd w:fill="auto" w:val="clear"/>
            <w:vAlign w:val="center"/>
          </w:tcPr>
          <w:p>
            <w:pPr>
              <w:pStyle w:val="TableContents"/>
              <w:spacing w:before="0" w:after="283"/>
              <w:jc w:val="left"/>
              <w:rPr/>
            </w:pPr>
            <w:r>
              <w:rPr/>
              <w:t>Accretion of original issue discount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055" w:type="dxa"/>
            <w:tcBorders/>
            <w:shd w:fill="auto" w:val="clear"/>
            <w:vAlign w:val="center"/>
          </w:tcPr>
          <w:p>
            <w:pPr>
              <w:pStyle w:val="TableContents"/>
              <w:spacing w:before="0" w:after="283"/>
              <w:jc w:val="right"/>
              <w:rPr/>
            </w:pPr>
            <w:r>
              <w:rPr/>
              <w:t>894,087</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jc w:val="left"/>
              <w:rPr/>
            </w:pPr>
            <w:r>
              <w:rPr/>
              <w:t> </w:t>
            </w:r>
          </w:p>
        </w:tc>
        <w:tc>
          <w:tcPr>
            <w:tcW w:w="1038" w:type="dxa"/>
            <w:tcBorders/>
            <w:shd w:fill="auto" w:val="cle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894,087</w:t>
            </w:r>
          </w:p>
        </w:tc>
        <w:tc>
          <w:tcPr>
            <w:tcW w:w="110" w:type="dxa"/>
            <w:tcBorders/>
            <w:shd w:fill="auto" w:val="clear"/>
            <w:vAlign w:val="center"/>
          </w:tcPr>
          <w:p>
            <w:pPr>
              <w:pStyle w:val="TableContents"/>
              <w:spacing w:before="0" w:after="283"/>
              <w:jc w:val="left"/>
              <w:rPr/>
            </w:pPr>
            <w:r>
              <w:rPr/>
              <w:t> </w:t>
            </w:r>
          </w:p>
        </w:tc>
      </w:tr>
      <w:tr>
        <w:trPr/>
        <w:tc>
          <w:tcPr>
            <w:tcW w:w="3380" w:type="dxa"/>
            <w:tcBorders/>
            <w:shd w:fill="CCEEFF" w:val="clear"/>
            <w:vAlign w:val="center"/>
          </w:tcPr>
          <w:p>
            <w:pPr>
              <w:pStyle w:val="TableContents"/>
              <w:spacing w:before="0" w:after="283"/>
              <w:jc w:val="left"/>
              <w:rPr/>
            </w:pPr>
            <w:r>
              <w:rPr/>
              <w:t>PIK Interest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970,569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0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jc w:val="left"/>
              <w:rPr/>
            </w:pPr>
            <w:r>
              <w:rPr/>
              <w:t> </w:t>
            </w:r>
          </w:p>
        </w:tc>
        <w:tc>
          <w:tcPr>
            <w:tcW w:w="1038"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970,569</w:t>
            </w:r>
          </w:p>
        </w:tc>
        <w:tc>
          <w:tcPr>
            <w:tcW w:w="110" w:type="dxa"/>
            <w:tcBorders/>
            <w:shd w:fill="CCEEFF" w:val="clear"/>
            <w:vAlign w:val="center"/>
          </w:tcPr>
          <w:p>
            <w:pPr>
              <w:pStyle w:val="TableContents"/>
              <w:spacing w:before="0" w:after="283"/>
              <w:jc w:val="left"/>
              <w:rPr/>
            </w:pPr>
            <w:r>
              <w:rPr/>
              <w:t> </w:t>
            </w:r>
          </w:p>
        </w:tc>
      </w:tr>
      <w:tr>
        <w:trPr/>
        <w:tc>
          <w:tcPr>
            <w:tcW w:w="3380" w:type="dxa"/>
            <w:tcBorders/>
            <w:shd w:fill="auto" w:val="clear"/>
            <w:vAlign w:val="center"/>
          </w:tcPr>
          <w:p>
            <w:pPr>
              <w:pStyle w:val="TableContents"/>
              <w:spacing w:before="0" w:after="283"/>
              <w:jc w:val="left"/>
              <w:rPr/>
            </w:pPr>
            <w:r>
              <w:rPr/>
              <w:t>Provision for credit losses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66"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38" w:type="dxa"/>
            <w:tcBorders>
              <w:bottom w:val="single" w:sz="12" w:space="0" w:color="000000"/>
            </w:tcBorders>
            <w:shd w:fill="auto" w:val="clear"/>
            <w:tcMar>
              <w:bottom w:w="28" w:type="dxa"/>
            </w:tcMar>
            <w:vAlign w:val="center"/>
          </w:tcPr>
          <w:p>
            <w:pPr>
              <w:pStyle w:val="TableContents"/>
              <w:spacing w:before="0" w:after="283"/>
              <w:jc w:val="right"/>
              <w:rPr/>
            </w:pPr>
            <w:r>
              <w:rPr/>
              <w:t>(48,296</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(48,296</w:t>
            </w:r>
          </w:p>
        </w:tc>
        <w:tc>
          <w:tcPr>
            <w:tcW w:w="110" w:type="dxa"/>
            <w:tcBorders/>
            <w:shd w:fill="auto" w:val="clear"/>
            <w:vAlign w:val="center"/>
          </w:tcPr>
          <w:p>
            <w:pPr>
              <w:pStyle w:val="TableContents"/>
              <w:spacing w:before="0" w:after="283"/>
              <w:jc w:val="left"/>
              <w:rPr/>
            </w:pPr>
            <w:r>
              <w:rPr/>
              <w:t>)</w:t>
            </w:r>
          </w:p>
        </w:tc>
      </w:tr>
      <w:tr>
        <w:trPr/>
        <w:tc>
          <w:tcPr>
            <w:tcW w:w="3380" w:type="dxa"/>
            <w:tcBorders/>
            <w:shd w:fill="CCEEFF" w:val="clear"/>
            <w:vAlign w:val="center"/>
          </w:tcPr>
          <w:p>
            <w:pPr>
              <w:pStyle w:val="TableContents"/>
              <w:spacing w:before="0" w:after="283"/>
              <w:rPr>
                <w:b/>
              </w:rPr>
            </w:pPr>
            <w:r>
              <w:rPr>
                <w:b/>
              </w:rPr>
              <w:t>Balance at March 31, 2022</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b/>
              </w:rPr>
            </w:pPr>
            <w:r>
              <w:rPr>
                <w:b/>
              </w:rPr>
              <w:t>282,708,732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b/>
              </w:rPr>
            </w:pPr>
            <w:r>
              <w:rPr>
                <w:b/>
              </w:rPr>
              <w:t>(3,881,818</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66"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038" w:type="dxa"/>
            <w:tcBorders>
              <w:bottom w:val="double" w:sz="10" w:space="0" w:color="000000"/>
            </w:tcBorders>
            <w:shd w:fill="CCEEFF" w:val="clear"/>
            <w:tcMar>
              <w:bottom w:w="28" w:type="dxa"/>
            </w:tcMar>
            <w:vAlign w:val="center"/>
          </w:tcPr>
          <w:p>
            <w:pPr>
              <w:pStyle w:val="TableContents"/>
              <w:spacing w:before="0" w:after="283"/>
              <w:jc w:val="right"/>
              <w:rPr>
                <w:b/>
              </w:rPr>
            </w:pPr>
            <w:r>
              <w:rPr>
                <w:b/>
              </w:rPr>
              <w:t>(182,838</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b/>
              </w:rPr>
            </w:pPr>
            <w:r>
              <w:rPr>
                <w:b/>
              </w:rPr>
              <w:t>278,644,076</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7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difference between the Carrying Value and the Outstanding Principal amount of the loans consists of unaccreted original issue discount, deferred loan fees and loan origination costs. Outstanding principal balance includes capitalized PIK interest, if applicable.</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potential impacts on our loans.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Measures and Key Financial Measures and Indicators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commercial real estate finance company, we believe the key financial measures and indicators for our business are Distributable Earnings, Adjusted Distributable Earnings, book value per share, and dividends declared per share.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Distributable Earnings and Adjusted Distributable Earnings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GAAP net income to Distributable Earnings and Adjusted Distributable Earnings (in thousands, except per share data):</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144"/>
        <w:gridCol w:w="60"/>
        <w:gridCol w:w="260"/>
        <w:gridCol w:w="2052"/>
        <w:gridCol w:w="60"/>
        <w:gridCol w:w="60"/>
        <w:gridCol w:w="260"/>
        <w:gridCol w:w="2052"/>
        <w:gridCol w:w="257"/>
      </w:tblGrid>
      <w:tr>
        <w:trPr/>
        <w:tc>
          <w:tcPr>
            <w:tcW w:w="514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2" w:type="dxa"/>
            <w:gridSpan w:val="2"/>
            <w:tcBorders/>
            <w:shd w:fill="auto" w:val="clear"/>
            <w:vAlign w:val="center"/>
          </w:tcPr>
          <w:p>
            <w:pPr>
              <w:pStyle w:val="TableContents"/>
              <w:spacing w:before="0" w:after="283"/>
              <w:jc w:val="center"/>
              <w:rPr>
                <w:b/>
              </w:rPr>
            </w:pPr>
            <w:r>
              <w:rPr>
                <w:b/>
              </w:rPr>
              <w:t>For the three months ended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2" w:type="dxa"/>
            <w:gridSpan w:val="2"/>
            <w:tcBorders/>
            <w:shd w:fill="auto" w:val="clear"/>
            <w:vAlign w:val="center"/>
          </w:tcPr>
          <w:p>
            <w:pPr>
              <w:pStyle w:val="TableContents"/>
              <w:spacing w:before="0" w:after="283"/>
              <w:jc w:val="center"/>
              <w:rPr>
                <w:b/>
              </w:rPr>
            </w:pPr>
            <w:r>
              <w:rPr>
                <w:b/>
              </w:rPr>
              <w:t>For the three months ended</w:t>
            </w:r>
          </w:p>
        </w:tc>
        <w:tc>
          <w:tcPr>
            <w:tcW w:w="257" w:type="dxa"/>
            <w:tcBorders/>
            <w:shd w:fill="auto" w:val="clear"/>
            <w:vAlign w:val="center"/>
          </w:tcPr>
          <w:p>
            <w:pPr>
              <w:pStyle w:val="TableContents"/>
              <w:spacing w:before="0" w:after="283"/>
              <w:rPr/>
            </w:pPr>
            <w:r>
              <w:rPr/>
              <w:t> </w:t>
            </w:r>
          </w:p>
        </w:tc>
      </w:tr>
      <w:tr>
        <w:trPr/>
        <w:tc>
          <w:tcPr>
            <w:tcW w:w="514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2"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12"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2022</w:t>
            </w:r>
          </w:p>
        </w:tc>
        <w:tc>
          <w:tcPr>
            <w:tcW w:w="257" w:type="dxa"/>
            <w:tcBorders/>
            <w:shd w:fill="auto" w:val="clear"/>
            <w:vAlign w:val="center"/>
          </w:tcPr>
          <w:p>
            <w:pPr>
              <w:pStyle w:val="TableContents"/>
              <w:spacing w:before="0" w:after="283"/>
              <w:rPr/>
            </w:pPr>
            <w:r>
              <w:rPr/>
              <w:t> </w:t>
            </w:r>
          </w:p>
        </w:tc>
      </w:tr>
      <w:tr>
        <w:trPr/>
        <w:tc>
          <w:tcPr>
            <w:tcW w:w="5144" w:type="dxa"/>
            <w:tcBorders/>
            <w:shd w:fill="CCEEFF" w:val="clear"/>
            <w:vAlign w:val="center"/>
          </w:tcPr>
          <w:p>
            <w:pPr>
              <w:pStyle w:val="TableContents"/>
              <w:spacing w:before="0" w:after="283"/>
              <w:jc w:val="left"/>
              <w:rPr>
                <w:b/>
              </w:rPr>
            </w:pPr>
            <w:r>
              <w:rPr>
                <w:b/>
              </w:rPr>
              <w:t>Net Income</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w:t>
            </w:r>
          </w:p>
        </w:tc>
        <w:tc>
          <w:tcPr>
            <w:tcW w:w="2052" w:type="dxa"/>
            <w:tcBorders/>
            <w:shd w:fill="CCEEFF" w:val="clear"/>
            <w:vAlign w:val="center"/>
          </w:tcPr>
          <w:p>
            <w:pPr>
              <w:pStyle w:val="TableContents"/>
              <w:spacing w:before="0" w:after="283"/>
              <w:jc w:val="right"/>
              <w:rPr/>
            </w:pPr>
            <w:r>
              <w:rPr/>
              <w:t>10,692,349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w:t>
            </w:r>
          </w:p>
        </w:tc>
        <w:tc>
          <w:tcPr>
            <w:tcW w:w="2052" w:type="dxa"/>
            <w:tcBorders/>
            <w:shd w:fill="CCEEFF" w:val="clear"/>
            <w:vAlign w:val="center"/>
          </w:tcPr>
          <w:p>
            <w:pPr>
              <w:pStyle w:val="TableContents"/>
              <w:spacing w:before="0" w:after="283"/>
              <w:jc w:val="right"/>
              <w:rPr/>
            </w:pPr>
            <w:r>
              <w:rPr/>
              <w:t>7,803,952</w:t>
            </w:r>
          </w:p>
        </w:tc>
        <w:tc>
          <w:tcPr>
            <w:tcW w:w="257" w:type="dxa"/>
            <w:tcBorders/>
            <w:shd w:fill="CCEEFF" w:val="clear"/>
            <w:vAlign w:val="center"/>
          </w:tcPr>
          <w:p>
            <w:pPr>
              <w:pStyle w:val="TableContents"/>
              <w:spacing w:before="0" w:after="283"/>
              <w:jc w:val="left"/>
              <w:rPr/>
            </w:pPr>
            <w:r>
              <w:rPr/>
              <w:t> </w:t>
            </w:r>
          </w:p>
        </w:tc>
      </w:tr>
      <w:tr>
        <w:trPr/>
        <w:tc>
          <w:tcPr>
            <w:tcW w:w="5144" w:type="dxa"/>
            <w:tcBorders/>
            <w:shd w:fill="auto" w:val="clear"/>
            <w:vAlign w:val="center"/>
          </w:tcPr>
          <w:p>
            <w:pPr>
              <w:pStyle w:val="TableContents"/>
              <w:spacing w:before="0" w:after="283"/>
              <w:jc w:val="left"/>
              <w:rPr>
                <w:b/>
              </w:rPr>
            </w:pPr>
            <w:r>
              <w:rPr>
                <w:b/>
              </w:rPr>
              <w:t>Adjustments to net income</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 </w:t>
            </w:r>
          </w:p>
        </w:tc>
        <w:tc>
          <w:tcPr>
            <w:tcW w:w="205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 </w:t>
            </w:r>
          </w:p>
        </w:tc>
        <w:tc>
          <w:tcPr>
            <w:tcW w:w="2052" w:type="dxa"/>
            <w:tcBorders/>
            <w:shd w:fill="auto" w:val="clear"/>
            <w:vAlign w:val="center"/>
          </w:tcPr>
          <w:p>
            <w:pPr>
              <w:pStyle w:val="TableContents"/>
              <w:spacing w:before="0" w:after="283"/>
              <w:jc w:val="right"/>
              <w:rPr/>
            </w:pPr>
            <w:r>
              <w:rPr/>
              <w:t> </w:t>
            </w:r>
          </w:p>
        </w:tc>
        <w:tc>
          <w:tcPr>
            <w:tcW w:w="257" w:type="dxa"/>
            <w:tcBorders/>
            <w:shd w:fill="auto" w:val="clear"/>
            <w:vAlign w:val="center"/>
          </w:tcPr>
          <w:p>
            <w:pPr>
              <w:pStyle w:val="TableContents"/>
              <w:spacing w:before="0" w:after="283"/>
              <w:ind w:left="0" w:right="0" w:firstLine="180"/>
              <w:jc w:val="left"/>
              <w:rPr/>
            </w:pPr>
            <w:r>
              <w:rPr/>
              <w:t> </w:t>
            </w:r>
          </w:p>
        </w:tc>
      </w:tr>
      <w:tr>
        <w:trPr/>
        <w:tc>
          <w:tcPr>
            <w:tcW w:w="5144" w:type="dxa"/>
            <w:tcBorders/>
            <w:shd w:fill="CCEEFF" w:val="clear"/>
            <w:vAlign w:val="center"/>
          </w:tcPr>
          <w:p>
            <w:pPr>
              <w:pStyle w:val="TableContents"/>
              <w:spacing w:before="0" w:after="283"/>
              <w:jc w:val="left"/>
              <w:rPr/>
            </w:pPr>
            <w:r>
              <w:rPr/>
              <w:t>Non-cash equity compensation expense</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 </w:t>
            </w:r>
          </w:p>
        </w:tc>
        <w:tc>
          <w:tcPr>
            <w:tcW w:w="2052" w:type="dxa"/>
            <w:tcBorders/>
            <w:shd w:fill="CCEEFF" w:val="clear"/>
            <w:vAlign w:val="center"/>
          </w:tcPr>
          <w:p>
            <w:pPr>
              <w:pStyle w:val="TableContents"/>
              <w:spacing w:before="0" w:after="283"/>
              <w:jc w:val="right"/>
              <w:rPr/>
            </w:pPr>
            <w:r>
              <w:rPr/>
              <w:t>138,335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 </w:t>
            </w:r>
          </w:p>
        </w:tc>
        <w:tc>
          <w:tcPr>
            <w:tcW w:w="2052" w:type="dxa"/>
            <w:tcBorders/>
            <w:shd w:fill="CCEEFF" w:val="clear"/>
            <w:vAlign w:val="center"/>
          </w:tcPr>
          <w:p>
            <w:pPr>
              <w:pStyle w:val="TableContents"/>
              <w:spacing w:before="0" w:after="283"/>
              <w:jc w:val="right"/>
              <w:rPr/>
            </w:pPr>
            <w:r>
              <w:rPr/>
              <w:t>120,940</w:t>
            </w:r>
          </w:p>
        </w:tc>
        <w:tc>
          <w:tcPr>
            <w:tcW w:w="257" w:type="dxa"/>
            <w:tcBorders/>
            <w:shd w:fill="CCEEFF" w:val="clear"/>
            <w:vAlign w:val="center"/>
          </w:tcPr>
          <w:p>
            <w:pPr>
              <w:pStyle w:val="TableContents"/>
              <w:spacing w:before="0" w:after="283"/>
              <w:ind w:left="0" w:right="0" w:firstLine="180"/>
              <w:jc w:val="left"/>
              <w:rPr/>
            </w:pPr>
            <w:r>
              <w:rPr/>
              <w:t> </w:t>
            </w:r>
          </w:p>
        </w:tc>
      </w:tr>
      <w:tr>
        <w:trPr/>
        <w:tc>
          <w:tcPr>
            <w:tcW w:w="5144" w:type="dxa"/>
            <w:tcBorders/>
            <w:shd w:fill="auto" w:val="clear"/>
            <w:vAlign w:val="center"/>
          </w:tcPr>
          <w:p>
            <w:pPr>
              <w:pStyle w:val="TableContents"/>
              <w:spacing w:before="0" w:after="283"/>
              <w:jc w:val="left"/>
              <w:rPr/>
            </w:pPr>
            <w:r>
              <w:rPr/>
              <w:t>Depreciation and amortization</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 </w:t>
            </w:r>
          </w:p>
        </w:tc>
        <w:tc>
          <w:tcPr>
            <w:tcW w:w="2052" w:type="dxa"/>
            <w:tcBorders/>
            <w:shd w:fill="auto" w:val="clear"/>
            <w:vAlign w:val="center"/>
          </w:tcPr>
          <w:p>
            <w:pPr>
              <w:pStyle w:val="TableContents"/>
              <w:spacing w:before="0" w:after="283"/>
              <w:jc w:val="right"/>
              <w:rPr/>
            </w:pPr>
            <w:r>
              <w:rPr/>
              <w:t>167,304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 </w:t>
            </w:r>
          </w:p>
        </w:tc>
        <w:tc>
          <w:tcPr>
            <w:tcW w:w="2052" w:type="dxa"/>
            <w:tcBorders/>
            <w:shd w:fill="auto" w:val="clear"/>
            <w:vAlign w:val="center"/>
          </w:tcPr>
          <w:p>
            <w:pPr>
              <w:pStyle w:val="TableContents"/>
              <w:spacing w:before="0" w:after="283"/>
              <w:jc w:val="right"/>
              <w:rPr/>
            </w:pPr>
            <w:r>
              <w:rPr/>
              <w:t>72,268</w:t>
            </w:r>
          </w:p>
        </w:tc>
        <w:tc>
          <w:tcPr>
            <w:tcW w:w="257" w:type="dxa"/>
            <w:tcBorders/>
            <w:shd w:fill="auto" w:val="clear"/>
            <w:vAlign w:val="center"/>
          </w:tcPr>
          <w:p>
            <w:pPr>
              <w:pStyle w:val="TableContents"/>
              <w:spacing w:before="0" w:after="283"/>
              <w:ind w:left="0" w:right="0" w:firstLine="180"/>
              <w:jc w:val="left"/>
              <w:rPr/>
            </w:pPr>
            <w:r>
              <w:rPr/>
              <w:t> </w:t>
            </w:r>
          </w:p>
        </w:tc>
      </w:tr>
      <w:tr>
        <w:trPr/>
        <w:tc>
          <w:tcPr>
            <w:tcW w:w="5144" w:type="dxa"/>
            <w:tcBorders/>
            <w:shd w:fill="CCEEFF" w:val="clear"/>
            <w:vAlign w:val="center"/>
          </w:tcPr>
          <w:p>
            <w:pPr>
              <w:pStyle w:val="TableContents"/>
              <w:spacing w:before="0" w:after="283"/>
              <w:jc w:val="left"/>
              <w:rPr/>
            </w:pPr>
            <w:r>
              <w:rPr/>
              <w:t>Provision for current expected credit losses</w:t>
            </w:r>
          </w:p>
        </w:tc>
        <w:tc>
          <w:tcPr>
            <w:tcW w:w="60" w:type="dxa"/>
            <w:tcBorders/>
            <w:shd w:fill="CCEEFF" w:val="clear"/>
            <w:vAlign w:val="center"/>
          </w:tcPr>
          <w:p>
            <w:pPr>
              <w:pStyle w:val="TableContents"/>
              <w:spacing w:before="0" w:after="283"/>
              <w:rPr/>
            </w:pPr>
            <w:r>
              <w:rPr/>
              <w:t> </w:t>
            </w:r>
          </w:p>
        </w:tc>
        <w:tc>
          <w:tcPr>
            <w:tcW w:w="2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2052" w:type="dxa"/>
            <w:tcBorders>
              <w:bottom w:val="single" w:sz="12" w:space="0" w:color="000000"/>
            </w:tcBorders>
            <w:shd w:fill="CCEEFF" w:val="clear"/>
            <w:tcMar>
              <w:bottom w:w="28" w:type="dxa"/>
            </w:tcMar>
            <w:vAlign w:val="center"/>
          </w:tcPr>
          <w:p>
            <w:pPr>
              <w:pStyle w:val="TableContents"/>
              <w:spacing w:before="0" w:after="283"/>
              <w:jc w:val="right"/>
              <w:rPr/>
            </w:pPr>
            <w:r>
              <w:rPr/>
              <w:t>96,119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2052" w:type="dxa"/>
            <w:tcBorders>
              <w:bottom w:val="single" w:sz="12" w:space="0" w:color="000000"/>
            </w:tcBorders>
            <w:shd w:fill="CCEEFF" w:val="clear"/>
            <w:tcMar>
              <w:bottom w:w="28" w:type="dxa"/>
            </w:tcMar>
            <w:vAlign w:val="center"/>
          </w:tcPr>
          <w:p>
            <w:pPr>
              <w:pStyle w:val="TableContents"/>
              <w:spacing w:before="0" w:after="283"/>
              <w:jc w:val="right"/>
              <w:rPr/>
            </w:pPr>
            <w:r>
              <w:rPr/>
              <w:t>51,343</w:t>
            </w:r>
          </w:p>
        </w:tc>
        <w:tc>
          <w:tcPr>
            <w:tcW w:w="257" w:type="dxa"/>
            <w:tcBorders/>
            <w:shd w:fill="CCEEFF" w:val="clear"/>
            <w:vAlign w:val="center"/>
          </w:tcPr>
          <w:p>
            <w:pPr>
              <w:pStyle w:val="TableContents"/>
              <w:spacing w:before="0" w:after="283"/>
              <w:jc w:val="left"/>
              <w:rPr/>
            </w:pPr>
            <w:r>
              <w:rPr/>
              <w:t> </w:t>
            </w:r>
          </w:p>
        </w:tc>
      </w:tr>
      <w:tr>
        <w:trPr/>
        <w:tc>
          <w:tcPr>
            <w:tcW w:w="5144" w:type="dxa"/>
            <w:tcBorders/>
            <w:shd w:fill="auto" w:val="clear"/>
            <w:vAlign w:val="center"/>
          </w:tcPr>
          <w:p>
            <w:pPr>
              <w:pStyle w:val="TableContents"/>
              <w:spacing w:before="0" w:after="283"/>
              <w:jc w:val="left"/>
              <w:rPr>
                <w:b/>
              </w:rPr>
            </w:pPr>
            <w:r>
              <w:rPr>
                <w:b/>
              </w:rPr>
              <w:t>Distributable Earnings</w:t>
            </w:r>
          </w:p>
        </w:tc>
        <w:tc>
          <w:tcPr>
            <w:tcW w:w="60" w:type="dxa"/>
            <w:tcBorders/>
            <w:shd w:fill="auto" w:val="clear"/>
            <w:vAlign w:val="center"/>
          </w:tcPr>
          <w:p>
            <w:pPr>
              <w:pStyle w:val="TableContents"/>
              <w:spacing w:before="0" w:after="283"/>
              <w:rPr/>
            </w:pPr>
            <w:r>
              <w:rPr/>
              <w:t> </w:t>
            </w:r>
          </w:p>
        </w:tc>
        <w:tc>
          <w:tcPr>
            <w:tcW w:w="26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2052" w:type="dxa"/>
            <w:tcBorders>
              <w:bottom w:val="double" w:sz="10" w:space="0" w:color="000000"/>
            </w:tcBorders>
            <w:shd w:fill="auto" w:val="clear"/>
            <w:tcMar>
              <w:bottom w:w="28" w:type="dxa"/>
            </w:tcMar>
            <w:vAlign w:val="center"/>
          </w:tcPr>
          <w:p>
            <w:pPr>
              <w:pStyle w:val="TableContents"/>
              <w:spacing w:before="0" w:after="283"/>
              <w:jc w:val="right"/>
              <w:rPr>
                <w:b/>
              </w:rPr>
            </w:pPr>
            <w:r>
              <w:rPr>
                <w:b/>
              </w:rPr>
              <w:t>11,094,107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2052" w:type="dxa"/>
            <w:tcBorders>
              <w:bottom w:val="double" w:sz="10" w:space="0" w:color="000000"/>
            </w:tcBorders>
            <w:shd w:fill="auto" w:val="clear"/>
            <w:tcMar>
              <w:bottom w:w="28" w:type="dxa"/>
            </w:tcMar>
            <w:vAlign w:val="center"/>
          </w:tcPr>
          <w:p>
            <w:pPr>
              <w:pStyle w:val="TableContents"/>
              <w:spacing w:before="0" w:after="283"/>
              <w:jc w:val="right"/>
              <w:rPr>
                <w:b/>
              </w:rPr>
            </w:pPr>
            <w:r>
              <w:rPr>
                <w:b/>
              </w:rPr>
              <w:t>8,048,503</w:t>
            </w:r>
          </w:p>
        </w:tc>
        <w:tc>
          <w:tcPr>
            <w:tcW w:w="257" w:type="dxa"/>
            <w:tcBorders/>
            <w:shd w:fill="auto" w:val="clear"/>
            <w:vAlign w:val="center"/>
          </w:tcPr>
          <w:p>
            <w:pPr>
              <w:pStyle w:val="TableContents"/>
              <w:spacing w:before="0" w:after="283"/>
              <w:jc w:val="left"/>
              <w:rPr/>
            </w:pPr>
            <w:r>
              <w:rPr/>
              <w:t> </w:t>
            </w:r>
          </w:p>
        </w:tc>
      </w:tr>
      <w:tr>
        <w:trPr/>
        <w:tc>
          <w:tcPr>
            <w:tcW w:w="5144" w:type="dxa"/>
            <w:tcBorders/>
            <w:shd w:fill="CCEEFF" w:val="clear"/>
            <w:vAlign w:val="center"/>
          </w:tcPr>
          <w:p>
            <w:pPr>
              <w:pStyle w:val="TableContents"/>
              <w:spacing w:before="0" w:after="283"/>
              <w:jc w:val="left"/>
              <w:rPr>
                <w:b/>
              </w:rPr>
            </w:pPr>
            <w:r>
              <w:rPr>
                <w:b/>
              </w:rPr>
              <w:t>Adjustments to Distributable Earnings</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 </w:t>
            </w:r>
          </w:p>
        </w:tc>
        <w:tc>
          <w:tcPr>
            <w:tcW w:w="205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 </w:t>
            </w:r>
          </w:p>
        </w:tc>
        <w:tc>
          <w:tcPr>
            <w:tcW w:w="2052" w:type="dxa"/>
            <w:tcBorders/>
            <w:shd w:fill="CCEEFF" w:val="clear"/>
            <w:vAlign w:val="center"/>
          </w:tcPr>
          <w:p>
            <w:pPr>
              <w:pStyle w:val="TableContents"/>
              <w:spacing w:before="0" w:after="283"/>
              <w:jc w:val="right"/>
              <w:rPr/>
            </w:pPr>
            <w:r>
              <w:rPr/>
              <w:t> </w:t>
            </w:r>
          </w:p>
        </w:tc>
        <w:tc>
          <w:tcPr>
            <w:tcW w:w="257" w:type="dxa"/>
            <w:tcBorders/>
            <w:shd w:fill="CCEEFF" w:val="clear"/>
            <w:vAlign w:val="center"/>
          </w:tcPr>
          <w:p>
            <w:pPr>
              <w:pStyle w:val="TableContents"/>
              <w:spacing w:before="0" w:after="283"/>
              <w:jc w:val="left"/>
              <w:rPr/>
            </w:pPr>
            <w:r>
              <w:rPr/>
              <w:t> </w:t>
            </w:r>
          </w:p>
        </w:tc>
      </w:tr>
      <w:tr>
        <w:trPr/>
        <w:tc>
          <w:tcPr>
            <w:tcW w:w="5144" w:type="dxa"/>
            <w:tcBorders/>
            <w:shd w:fill="auto" w:val="clear"/>
            <w:vAlign w:val="center"/>
          </w:tcPr>
          <w:p>
            <w:pPr>
              <w:pStyle w:val="TableContents"/>
              <w:spacing w:before="0" w:after="283"/>
              <w:jc w:val="left"/>
              <w:rPr>
                <w:b/>
              </w:rPr>
            </w:pPr>
            <w:r>
              <w:rPr>
                <w:b/>
              </w:rPr>
              <w:t>Adjusted Distributable Earnings</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 </w:t>
            </w:r>
          </w:p>
        </w:tc>
        <w:tc>
          <w:tcPr>
            <w:tcW w:w="2052" w:type="dxa"/>
            <w:tcBorders/>
            <w:shd w:fill="auto" w:val="clear"/>
            <w:vAlign w:val="center"/>
          </w:tcPr>
          <w:p>
            <w:pPr>
              <w:pStyle w:val="TableContents"/>
              <w:spacing w:before="0" w:after="283"/>
              <w:jc w:val="right"/>
              <w:rPr>
                <w:b/>
              </w:rPr>
            </w:pPr>
            <w:r>
              <w:rPr>
                <w:b/>
              </w:rPr>
              <w:t>11,094,107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pPr>
            <w:r>
              <w:rPr/>
              <w:t> </w:t>
            </w:r>
          </w:p>
        </w:tc>
        <w:tc>
          <w:tcPr>
            <w:tcW w:w="2052" w:type="dxa"/>
            <w:tcBorders/>
            <w:shd w:fill="auto" w:val="clear"/>
            <w:vAlign w:val="center"/>
          </w:tcPr>
          <w:p>
            <w:pPr>
              <w:pStyle w:val="TableContents"/>
              <w:spacing w:before="0" w:after="283"/>
              <w:jc w:val="right"/>
              <w:rPr>
                <w:b/>
              </w:rPr>
            </w:pPr>
            <w:r>
              <w:rPr>
                <w:b/>
              </w:rPr>
              <w:t>8,048,503</w:t>
            </w:r>
          </w:p>
        </w:tc>
        <w:tc>
          <w:tcPr>
            <w:tcW w:w="257" w:type="dxa"/>
            <w:tcBorders/>
            <w:shd w:fill="auto" w:val="clear"/>
            <w:vAlign w:val="center"/>
          </w:tcPr>
          <w:p>
            <w:pPr>
              <w:pStyle w:val="TableContents"/>
              <w:spacing w:before="0" w:after="283"/>
              <w:ind w:left="0" w:right="0" w:firstLine="180"/>
              <w:jc w:val="left"/>
              <w:rPr/>
            </w:pPr>
            <w:r>
              <w:rPr/>
              <w:t> </w:t>
            </w:r>
          </w:p>
        </w:tc>
      </w:tr>
      <w:tr>
        <w:trPr/>
        <w:tc>
          <w:tcPr>
            <w:tcW w:w="5144" w:type="dxa"/>
            <w:tcBorders/>
            <w:shd w:fill="CCEEFF" w:val="clear"/>
            <w:vAlign w:val="center"/>
          </w:tcPr>
          <w:p>
            <w:pPr>
              <w:pStyle w:val="TableContents"/>
              <w:spacing w:before="0" w:after="283"/>
              <w:rPr/>
            </w:pPr>
            <w:r>
              <w:rPr/>
              <w:t>Basic weighted average shares of common stock outstanding (in shares)</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 </w:t>
            </w:r>
          </w:p>
        </w:tc>
        <w:tc>
          <w:tcPr>
            <w:tcW w:w="2052" w:type="dxa"/>
            <w:tcBorders/>
            <w:shd w:fill="CCEEFF" w:val="clear"/>
            <w:vAlign w:val="center"/>
          </w:tcPr>
          <w:p>
            <w:pPr>
              <w:pStyle w:val="TableContents"/>
              <w:spacing w:before="0" w:after="283"/>
              <w:jc w:val="right"/>
              <w:rPr/>
            </w:pPr>
            <w:r>
              <w:rPr/>
              <w:t>17,879,444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 </w:t>
            </w:r>
          </w:p>
        </w:tc>
        <w:tc>
          <w:tcPr>
            <w:tcW w:w="2052" w:type="dxa"/>
            <w:tcBorders/>
            <w:shd w:fill="CCEEFF" w:val="clear"/>
            <w:vAlign w:val="center"/>
          </w:tcPr>
          <w:p>
            <w:pPr>
              <w:pStyle w:val="TableContents"/>
              <w:spacing w:before="0" w:after="283"/>
              <w:jc w:val="right"/>
              <w:rPr/>
            </w:pPr>
            <w:r>
              <w:rPr/>
              <w:t>17,641,090</w:t>
            </w:r>
          </w:p>
        </w:tc>
        <w:tc>
          <w:tcPr>
            <w:tcW w:w="257" w:type="dxa"/>
            <w:tcBorders/>
            <w:shd w:fill="CCEEFF" w:val="clear"/>
            <w:vAlign w:val="center"/>
          </w:tcPr>
          <w:p>
            <w:pPr>
              <w:pStyle w:val="TableContents"/>
              <w:spacing w:before="0" w:after="283"/>
              <w:jc w:val="left"/>
              <w:rPr/>
            </w:pPr>
            <w:r>
              <w:rPr/>
              <w:t> </w:t>
            </w:r>
          </w:p>
        </w:tc>
      </w:tr>
      <w:tr>
        <w:trPr/>
        <w:tc>
          <w:tcPr>
            <w:tcW w:w="5144" w:type="dxa"/>
            <w:tcBorders/>
            <w:shd w:fill="auto" w:val="clear"/>
            <w:vAlign w:val="center"/>
          </w:tcPr>
          <w:p>
            <w:pPr>
              <w:pStyle w:val="TableContents"/>
              <w:spacing w:before="0" w:after="283"/>
              <w:rPr>
                <w:b/>
              </w:rPr>
            </w:pPr>
            <w:r>
              <w:rPr>
                <w:b/>
              </w:rPr>
              <w:t>Adjusted Distributable Earnings per Weighted Average Share</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b/>
              </w:rPr>
            </w:pPr>
            <w:r>
              <w:rPr>
                <w:b/>
              </w:rPr>
              <w:t>$</w:t>
            </w:r>
          </w:p>
        </w:tc>
        <w:tc>
          <w:tcPr>
            <w:tcW w:w="2052" w:type="dxa"/>
            <w:tcBorders/>
            <w:shd w:fill="auto" w:val="clear"/>
            <w:vAlign w:val="center"/>
          </w:tcPr>
          <w:p>
            <w:pPr>
              <w:pStyle w:val="TableContents"/>
              <w:spacing w:before="0" w:after="283"/>
              <w:jc w:val="right"/>
              <w:rPr>
                <w:b/>
              </w:rPr>
            </w:pPr>
            <w:r>
              <w:rPr>
                <w:b/>
              </w:rPr>
              <w:t>0.62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b/>
              </w:rPr>
            </w:pPr>
            <w:r>
              <w:rPr>
                <w:b/>
              </w:rPr>
              <w:t>$</w:t>
            </w:r>
          </w:p>
        </w:tc>
        <w:tc>
          <w:tcPr>
            <w:tcW w:w="2052" w:type="dxa"/>
            <w:tcBorders/>
            <w:shd w:fill="auto" w:val="clear"/>
            <w:vAlign w:val="center"/>
          </w:tcPr>
          <w:p>
            <w:pPr>
              <w:pStyle w:val="TableContents"/>
              <w:spacing w:before="0" w:after="283"/>
              <w:jc w:val="right"/>
              <w:rPr>
                <w:b/>
              </w:rPr>
            </w:pPr>
            <w:r>
              <w:rPr>
                <w:b/>
              </w:rPr>
              <w:t>0.46</w:t>
            </w:r>
          </w:p>
        </w:tc>
        <w:tc>
          <w:tcPr>
            <w:tcW w:w="257" w:type="dxa"/>
            <w:tcBorders/>
            <w:shd w:fill="auto" w:val="clear"/>
            <w:vAlign w:val="center"/>
          </w:tcPr>
          <w:p>
            <w:pPr>
              <w:pStyle w:val="TableContents"/>
              <w:spacing w:before="0" w:after="283"/>
              <w:ind w:left="0" w:right="0" w:firstLine="180"/>
              <w:jc w:val="left"/>
              <w:rPr/>
            </w:pPr>
            <w:r>
              <w:rPr/>
              <w:t> </w:t>
            </w:r>
          </w:p>
        </w:tc>
      </w:tr>
      <w:tr>
        <w:trPr/>
        <w:tc>
          <w:tcPr>
            <w:tcW w:w="5144" w:type="dxa"/>
            <w:tcBorders/>
            <w:shd w:fill="CCEEFF" w:val="clear"/>
            <w:vAlign w:val="center"/>
          </w:tcPr>
          <w:p>
            <w:pPr>
              <w:pStyle w:val="TableContents"/>
              <w:spacing w:before="0" w:after="283"/>
              <w:rPr/>
            </w:pPr>
            <w:r>
              <w:rPr/>
              <w:t>Diluted weighted average shares of common stock outstanding (in shares)</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 </w:t>
            </w:r>
          </w:p>
        </w:tc>
        <w:tc>
          <w:tcPr>
            <w:tcW w:w="2052" w:type="dxa"/>
            <w:tcBorders/>
            <w:shd w:fill="CCEEFF" w:val="clear"/>
            <w:vAlign w:val="center"/>
          </w:tcPr>
          <w:p>
            <w:pPr>
              <w:pStyle w:val="TableContents"/>
              <w:spacing w:before="0" w:after="283"/>
              <w:jc w:val="right"/>
              <w:rPr/>
            </w:pPr>
            <w:r>
              <w:rPr/>
              <w:t>17,960,103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0" w:type="dxa"/>
            <w:tcBorders/>
            <w:shd w:fill="CCEEFF" w:val="clear"/>
            <w:vAlign w:val="center"/>
          </w:tcPr>
          <w:p>
            <w:pPr>
              <w:pStyle w:val="TableContents"/>
              <w:spacing w:before="0" w:after="283"/>
              <w:jc w:val="left"/>
              <w:rPr/>
            </w:pPr>
            <w:r>
              <w:rPr/>
              <w:t> </w:t>
            </w:r>
          </w:p>
        </w:tc>
        <w:tc>
          <w:tcPr>
            <w:tcW w:w="2052" w:type="dxa"/>
            <w:tcBorders/>
            <w:shd w:fill="CCEEFF" w:val="clear"/>
            <w:vAlign w:val="center"/>
          </w:tcPr>
          <w:p>
            <w:pPr>
              <w:pStyle w:val="TableContents"/>
              <w:spacing w:before="0" w:after="283"/>
              <w:jc w:val="right"/>
              <w:rPr/>
            </w:pPr>
            <w:r>
              <w:rPr/>
              <w:t>17,737,975</w:t>
            </w:r>
          </w:p>
        </w:tc>
        <w:tc>
          <w:tcPr>
            <w:tcW w:w="257" w:type="dxa"/>
            <w:tcBorders/>
            <w:shd w:fill="CCEEFF" w:val="clear"/>
            <w:vAlign w:val="center"/>
          </w:tcPr>
          <w:p>
            <w:pPr>
              <w:pStyle w:val="TableContents"/>
              <w:spacing w:before="0" w:after="283"/>
              <w:jc w:val="left"/>
              <w:rPr/>
            </w:pPr>
            <w:r>
              <w:rPr/>
              <w:t> </w:t>
            </w:r>
          </w:p>
        </w:tc>
      </w:tr>
      <w:tr>
        <w:trPr/>
        <w:tc>
          <w:tcPr>
            <w:tcW w:w="5144" w:type="dxa"/>
            <w:tcBorders/>
            <w:shd w:fill="auto" w:val="clear"/>
            <w:vAlign w:val="center"/>
          </w:tcPr>
          <w:p>
            <w:pPr>
              <w:pStyle w:val="TableContents"/>
              <w:spacing w:before="0" w:after="283"/>
              <w:rPr>
                <w:b/>
              </w:rPr>
            </w:pPr>
            <w:r>
              <w:rPr>
                <w:b/>
              </w:rPr>
              <w:t>Adjusted Distributable Earnings per Weighted Average Share</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b/>
              </w:rPr>
            </w:pPr>
            <w:r>
              <w:rPr>
                <w:b/>
              </w:rPr>
              <w:t>$</w:t>
            </w:r>
          </w:p>
        </w:tc>
        <w:tc>
          <w:tcPr>
            <w:tcW w:w="2052" w:type="dxa"/>
            <w:tcBorders/>
            <w:shd w:fill="auto" w:val="clear"/>
            <w:vAlign w:val="center"/>
          </w:tcPr>
          <w:p>
            <w:pPr>
              <w:pStyle w:val="TableContents"/>
              <w:spacing w:before="0" w:after="283"/>
              <w:jc w:val="right"/>
              <w:rPr>
                <w:b/>
              </w:rPr>
            </w:pPr>
            <w:r>
              <w:rPr>
                <w:b/>
              </w:rPr>
              <w:t>0.62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left"/>
              <w:rPr>
                <w:b/>
              </w:rPr>
            </w:pPr>
            <w:r>
              <w:rPr>
                <w:b/>
              </w:rPr>
              <w:t>$</w:t>
            </w:r>
          </w:p>
        </w:tc>
        <w:tc>
          <w:tcPr>
            <w:tcW w:w="2052" w:type="dxa"/>
            <w:tcBorders/>
            <w:shd w:fill="auto" w:val="clear"/>
            <w:vAlign w:val="center"/>
          </w:tcPr>
          <w:p>
            <w:pPr>
              <w:pStyle w:val="TableContents"/>
              <w:spacing w:before="0" w:after="283"/>
              <w:jc w:val="right"/>
              <w:rPr>
                <w:b/>
              </w:rPr>
            </w:pPr>
            <w:r>
              <w:rPr>
                <w:b/>
              </w:rPr>
              <w:t>0.45</w:t>
            </w:r>
          </w:p>
        </w:tc>
        <w:tc>
          <w:tcPr>
            <w:tcW w:w="257" w:type="dxa"/>
            <w:tcBorders/>
            <w:shd w:fill="auto" w:val="clear"/>
            <w:vAlign w:val="center"/>
          </w:tcPr>
          <w:p>
            <w:pPr>
              <w:pStyle w:val="TableContents"/>
              <w:spacing w:before="0" w:after="283"/>
              <w:jc w:val="left"/>
              <w:rPr/>
            </w:pPr>
            <w:r>
              <w:rPr/>
              <w:t> </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 Value Per Share</w:t>
      </w:r>
    </w:p>
    <w:p>
      <w:pPr>
        <w:pStyle w:val="TextBody"/>
        <w:spacing w:before="0" w:after="0"/>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 value per share of our common stock as of March 31, 2023 and December 31, 2022 was approximately $15.04 and $14.86, respectively.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the demand for capital continues to increase as operators seek to enter and build out new markets. In the short-term, we expect the principal amount of the loans we originate to increase and that we will need to raise additional equity and/or debt financing to increase our liquidity. We expect to achieve this through recycling capital from loan paydowns, repayments, and sales of common stock related to our shelf registration statement.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December 31, 2022, all of our cash was unrestricted and totaled approximately $4.6 million and $5.7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Facilities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in connection with our acquisition of our wholly-owned financing subsidiary, CAL, we were assigned a secured revolving credit facility (the “Revolving Loan”). The Revolving Loan had an original aggregate borrowing base of up to $10,000,000 and bore interest, payable in cash in arrears, at a per annum rate equal to the greater of (x) Prime Rate plus 1.00% and (y) 4.75%. We incurred debt issuance costs of $100,000 related to the origination of the Revolving Loan, which were capitalized and are subsequently being amortized through maturity. The maturity date of the Revolving Loan was the earlier of (i) February 12, 2023 and (ii) the date on which the Revolving Loan is terminated pursuant to terms in the Revolving Loan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CAL entered into an amended and restated Revolving Loan agreement (the “First Amendment and Restatement”). The First Amendment and Restatement increased the loan commitment from $10,000,000 to $45,000,000 and decreased the interest rate, from the greater of the (1) Prime Rate plus 1.00% and (2) 4.75% to the greater of (1) the Prime Rate plus the applicable margin and (2) 3.25%. The applicable margin is derived from a floating rate grid based upon the ratio of debt to equity of CAL and increases from 0% at a ratio of 0.25 to 1 to 1.25% at a ratio of 1.5 to 1. The First Amendment and Restatement also extended the maturity date from February 12, 2023 to the earlier of (i) December 16, 2023 and (ii) the date on which the Revolving Loan is terminated pursuant to the terms of the Revolving Loan agreement. We have the option to extend the initial term for an additional one-year term, provided no events of default exist and we provide the required notice of the extension pursuant to the First Amendment and Restatement. We incurred debt issuance costs of $859,500 related to the First Amendment and Restatement, which were capitalized and are subsequently being amortized through maturity.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2022, CAL entered into a second amended and restated Revolving Loan agreement (the “Second Amendment and Restatement”) which provides for an increase in the aggregate commitment from $45 million to $65 million. No other material terms of the Revolving Loan were modified as a result of the execution of the Second Amendment and Restatement. We incurred debt issuance costs of $177,261 related to the Second Amendment and Restatement, which were capitalized and are subsequently amortized through maturity.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2022, CAL entered into a third amended and restated Revolving Loan agreement (the “Third Amendment and Restatement”) whereby we exercised the existing accordion feature of the Revolving Loan to increase the aggregate commitment by $27.5 million, from $65 million to $92.5 million. No other material terms of the Revolving Loan were modified as a result of the execution of the Third Amendment and Restatement. We incurred debt issuance costs of $323,779 related to the Third Amendment and Restatement, which were capitalized and are subsequently amortized through maturity.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2023, CAL entered into an amendment to the Third Amendment and Restatement (the “Amendment”). The Amendment extended the contractual maturity date of the Revolving Loan until December 16, 2024 and we retained our option to extend the initial term for an additional one-year period, provided no events of default exist and we provide 365 days’ notice of the extension pursuant to the Amendment. No other material terms of the Revolving Loan were modified as a result of the execution of the Amendment. As of March 31, 2023 and December 31, 2022, unamortized debt issuance costs related to the Revolving Loan, including all amendments and amendments and restatements thereto, as applicable, of $641,279 and $805,596, respectively, are recorded in other receivables and assets, net on the consolidated balance sheets.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incurs unused fees at a rate of 0.25% per annum which began on July 1, 2022 pursuant to the Second Amendment and Restatement. During the three months ended March 31, 2023 and 2022, we incurred approximately $10,000 and $0 in unused fees and approximately $1.4 million and $0 in interest expense, respectively, in connection with the Revolving Loan. In the future, we may use certain sources of financing to fund the origination or acquisition of our target investments, including credit facilities and other secured and unsecured forms of borrowing. These financings may be collateralized or non-collateralized and may involve one or more lenders. We expect that these facilities will typically have maturities ranging from two to five years and may accrue interest at either fixed or floating rates.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March 31, 2023, we were in compliance with all financial covenants with respect to the Revolving Loan.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we borrowed $37.5 million against the Revolving Loan, had $37.5 million outstanding, and $55.0 million available under the Revolving Loan. For the year ended December 31, 2022, we borrowed $58.0 million against the Revolving Loan, had $58.0 million outstanding, and $34.5 million available under the Revolving Loan. For the three months ended March 31, 2022, we did not borrow against the Revolving Loan and therefore had $0 outstanding and $45 million available under the Revolving Loan as of such date.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Markets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further equity capital and issue debt securities in order to fund our future investments in loans.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changes in cash for the three months ended March 31, 2023 and 2022, respectively:</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779"/>
        <w:gridCol w:w="60"/>
        <w:gridCol w:w="179"/>
        <w:gridCol w:w="1507"/>
        <w:gridCol w:w="95"/>
        <w:gridCol w:w="60"/>
        <w:gridCol w:w="150"/>
        <w:gridCol w:w="1263"/>
        <w:gridCol w:w="112"/>
      </w:tblGrid>
      <w:tr>
        <w:trPr/>
        <w:tc>
          <w:tcPr>
            <w:tcW w:w="677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6"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 the</w:t>
              <w:br/>
              <w:t>three months ended</w:t>
              <w:br/>
              <w:t>March 31,</w:t>
              <w:br/>
              <w:t>2023</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 the three</w:t>
              <w:br/>
              <w:t xml:space="preserve">months ended </w:t>
              <w:br/>
              <w:t>March 31,</w:t>
              <w:br/>
              <w:t>2022</w:t>
            </w:r>
          </w:p>
        </w:tc>
        <w:tc>
          <w:tcPr>
            <w:tcW w:w="112" w:type="dxa"/>
            <w:tcBorders/>
            <w:shd w:fill="auto" w:val="clear"/>
            <w:vAlign w:val="center"/>
          </w:tcPr>
          <w:p>
            <w:pPr>
              <w:pStyle w:val="TableContents"/>
              <w:spacing w:before="0" w:after="283"/>
              <w:rPr/>
            </w:pPr>
            <w:r>
              <w:rPr/>
              <w:t> </w:t>
            </w:r>
          </w:p>
        </w:tc>
      </w:tr>
      <w:tr>
        <w:trPr/>
        <w:tc>
          <w:tcPr>
            <w:tcW w:w="677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86" w:type="dxa"/>
            <w:gridSpan w:val="2"/>
            <w:tcBorders/>
            <w:shd w:fill="auto" w:val="clear"/>
            <w:vAlign w:val="center"/>
          </w:tcPr>
          <w:p>
            <w:pPr>
              <w:pStyle w:val="TableContents"/>
              <w:spacing w:before="0" w:after="283"/>
              <w:jc w:val="center"/>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3" w:type="dxa"/>
            <w:gridSpan w:val="2"/>
            <w:tcBorders/>
            <w:shd w:fill="auto" w:val="clear"/>
            <w:vAlign w:val="center"/>
          </w:tcPr>
          <w:p>
            <w:pPr>
              <w:pStyle w:val="TableContents"/>
              <w:spacing w:before="0" w:after="283"/>
              <w:rPr/>
            </w:pPr>
            <w:r>
              <w:rPr/>
              <w:t> </w:t>
            </w:r>
          </w:p>
        </w:tc>
        <w:tc>
          <w:tcPr>
            <w:tcW w:w="112" w:type="dxa"/>
            <w:tcBorders/>
            <w:shd w:fill="auto" w:val="clear"/>
            <w:vAlign w:val="center"/>
          </w:tcPr>
          <w:p>
            <w:pPr>
              <w:pStyle w:val="TableContents"/>
              <w:spacing w:before="0" w:after="283"/>
              <w:ind w:left="0" w:right="0" w:hanging="180"/>
              <w:rPr/>
            </w:pPr>
            <w:r>
              <w:rPr/>
              <w:t> </w:t>
            </w:r>
          </w:p>
        </w:tc>
      </w:tr>
      <w:tr>
        <w:trPr/>
        <w:tc>
          <w:tcPr>
            <w:tcW w:w="6779"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w:t>
            </w:r>
          </w:p>
        </w:tc>
        <w:tc>
          <w:tcPr>
            <w:tcW w:w="1507" w:type="dxa"/>
            <w:tcBorders/>
            <w:shd w:fill="CCEEFF" w:val="clear"/>
            <w:vAlign w:val="center"/>
          </w:tcPr>
          <w:p>
            <w:pPr>
              <w:pStyle w:val="TableContents"/>
              <w:spacing w:before="0" w:after="283"/>
              <w:jc w:val="right"/>
              <w:rPr/>
            </w:pPr>
            <w:r>
              <w:rPr/>
              <w:t>10,692,349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w:t>
            </w:r>
          </w:p>
        </w:tc>
        <w:tc>
          <w:tcPr>
            <w:tcW w:w="1263" w:type="dxa"/>
            <w:tcBorders/>
            <w:shd w:fill="CCEEFF" w:val="clear"/>
            <w:vAlign w:val="center"/>
          </w:tcPr>
          <w:p>
            <w:pPr>
              <w:pStyle w:val="TableContents"/>
              <w:spacing w:before="0" w:after="283"/>
              <w:jc w:val="right"/>
              <w:rPr/>
            </w:pPr>
            <w:r>
              <w:rPr/>
              <w:t>7,803,952</w:t>
            </w:r>
          </w:p>
        </w:tc>
        <w:tc>
          <w:tcPr>
            <w:tcW w:w="112" w:type="dxa"/>
            <w:tcBorders/>
            <w:shd w:fill="CCEEFF" w:val="clear"/>
            <w:vAlign w:val="center"/>
          </w:tcPr>
          <w:p>
            <w:pPr>
              <w:pStyle w:val="TableContents"/>
              <w:spacing w:before="0" w:after="283"/>
              <w:ind w:left="0" w:right="0" w:hanging="180"/>
              <w:jc w:val="left"/>
              <w:rPr/>
            </w:pPr>
            <w:r>
              <w:rPr/>
              <w:t> </w:t>
            </w:r>
          </w:p>
        </w:tc>
      </w:tr>
      <w:tr>
        <w:trPr/>
        <w:tc>
          <w:tcPr>
            <w:tcW w:w="6779" w:type="dxa"/>
            <w:tcBorders/>
            <w:shd w:fill="auto" w:val="clear"/>
            <w:vAlign w:val="center"/>
          </w:tcPr>
          <w:p>
            <w:pPr>
              <w:pStyle w:val="TableContents"/>
              <w:spacing w:before="0" w:after="283"/>
              <w:jc w:val="left"/>
              <w:rPr/>
            </w:pPr>
            <w:r>
              <w:rPr/>
              <w:t>Adjustments to reconcile net income to net cash provided by operating activities and changes in operating assets and liabilities</w:t>
            </w:r>
          </w:p>
        </w:tc>
        <w:tc>
          <w:tcPr>
            <w:tcW w:w="60" w:type="dxa"/>
            <w:tcBorders/>
            <w:shd w:fill="auto" w:val="clear"/>
            <w:vAlign w:val="center"/>
          </w:tcPr>
          <w:p>
            <w:pPr>
              <w:pStyle w:val="TableContents"/>
              <w:spacing w:before="0" w:after="283"/>
              <w:rPr/>
            </w:pPr>
            <w:r>
              <w:rPr/>
              <w:t> </w:t>
            </w:r>
          </w:p>
        </w:tc>
        <w:tc>
          <w:tcPr>
            <w:tcW w:w="17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507" w:type="dxa"/>
            <w:tcBorders>
              <w:bottom w:val="single" w:sz="12" w:space="0" w:color="000000"/>
            </w:tcBorders>
            <w:shd w:fill="auto" w:val="clear"/>
            <w:tcMar>
              <w:bottom w:w="28" w:type="dxa"/>
            </w:tcMar>
            <w:vAlign w:val="center"/>
          </w:tcPr>
          <w:p>
            <w:pPr>
              <w:pStyle w:val="TableContents"/>
              <w:spacing w:before="0" w:after="283"/>
              <w:jc w:val="right"/>
              <w:rPr/>
            </w:pPr>
            <w:r>
              <w:rPr/>
              <w:t>(8,990,282</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5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63" w:type="dxa"/>
            <w:tcBorders>
              <w:bottom w:val="single" w:sz="12" w:space="0" w:color="000000"/>
            </w:tcBorders>
            <w:shd w:fill="auto" w:val="clear"/>
            <w:tcMar>
              <w:bottom w:w="28" w:type="dxa"/>
            </w:tcMar>
            <w:vAlign w:val="center"/>
          </w:tcPr>
          <w:p>
            <w:pPr>
              <w:pStyle w:val="TableContents"/>
              <w:spacing w:before="0" w:after="283"/>
              <w:jc w:val="right"/>
              <w:rPr/>
            </w:pPr>
            <w:r>
              <w:rPr/>
              <w:t>(4,768,320</w:t>
            </w:r>
          </w:p>
        </w:tc>
        <w:tc>
          <w:tcPr>
            <w:tcW w:w="112" w:type="dxa"/>
            <w:tcBorders/>
            <w:shd w:fill="auto" w:val="clear"/>
            <w:vAlign w:val="center"/>
          </w:tcPr>
          <w:p>
            <w:pPr>
              <w:pStyle w:val="TableContents"/>
              <w:spacing w:before="0" w:after="283"/>
              <w:ind w:left="0" w:right="0" w:hanging="180"/>
              <w:jc w:val="left"/>
              <w:rPr/>
            </w:pPr>
            <w:r>
              <w:rPr/>
              <w:t>)</w:t>
            </w:r>
          </w:p>
        </w:tc>
      </w:tr>
      <w:tr>
        <w:trPr/>
        <w:tc>
          <w:tcPr>
            <w:tcW w:w="6779" w:type="dxa"/>
            <w:tcBorders/>
            <w:shd w:fill="CCEEFF" w:val="clear"/>
            <w:vAlign w:val="center"/>
          </w:tcPr>
          <w:p>
            <w:pPr>
              <w:pStyle w:val="TableContents"/>
              <w:spacing w:before="0" w:after="283"/>
              <w:jc w:val="left"/>
              <w:rPr/>
            </w:pPr>
            <w:r>
              <w:rPr/>
              <w:t>Net cash provided by operating activities</w:t>
            </w:r>
          </w:p>
        </w:tc>
        <w:tc>
          <w:tcPr>
            <w:tcW w:w="60" w:type="dxa"/>
            <w:tcBorders/>
            <w:shd w:fill="CCEEFF" w:val="clear"/>
            <w:vAlign w:val="center"/>
          </w:tcPr>
          <w:p>
            <w:pPr>
              <w:pStyle w:val="TableContents"/>
              <w:spacing w:before="0" w:after="283"/>
              <w:rPr/>
            </w:pPr>
            <w:r>
              <w:rPr/>
              <w:t> </w:t>
            </w:r>
          </w:p>
        </w:tc>
        <w:tc>
          <w:tcPr>
            <w:tcW w:w="179" w:type="dxa"/>
            <w:tcBorders/>
            <w:shd w:fill="CCEEFF" w:val="clear"/>
            <w:vAlign w:val="center"/>
          </w:tcPr>
          <w:p>
            <w:pPr>
              <w:pStyle w:val="TableContents"/>
              <w:spacing w:before="0" w:after="283"/>
              <w:jc w:val="left"/>
              <w:rPr/>
            </w:pPr>
            <w:r>
              <w:rPr/>
              <w:t> </w:t>
            </w:r>
          </w:p>
        </w:tc>
        <w:tc>
          <w:tcPr>
            <w:tcW w:w="1507" w:type="dxa"/>
            <w:tcBorders/>
            <w:shd w:fill="CCEEFF" w:val="clear"/>
            <w:vAlign w:val="center"/>
          </w:tcPr>
          <w:p>
            <w:pPr>
              <w:pStyle w:val="TableContents"/>
              <w:spacing w:before="0" w:after="283"/>
              <w:jc w:val="right"/>
              <w:rPr/>
            </w:pPr>
            <w:r>
              <w:rPr/>
              <w:t>1,702,067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50" w:type="dxa"/>
            <w:tcBorders/>
            <w:shd w:fill="CCEEFF" w:val="clear"/>
            <w:vAlign w:val="center"/>
          </w:tcPr>
          <w:p>
            <w:pPr>
              <w:pStyle w:val="TableContents"/>
              <w:spacing w:before="0" w:after="283"/>
              <w:jc w:val="left"/>
              <w:rPr/>
            </w:pPr>
            <w:r>
              <w:rPr/>
              <w:t> </w:t>
            </w:r>
          </w:p>
        </w:tc>
        <w:tc>
          <w:tcPr>
            <w:tcW w:w="1263" w:type="dxa"/>
            <w:tcBorders/>
            <w:shd w:fill="CCEEFF" w:val="clear"/>
            <w:vAlign w:val="center"/>
          </w:tcPr>
          <w:p>
            <w:pPr>
              <w:pStyle w:val="TableContents"/>
              <w:spacing w:before="0" w:after="283"/>
              <w:jc w:val="right"/>
              <w:rPr/>
            </w:pPr>
            <w:r>
              <w:rPr/>
              <w:t>3,035,632</w:t>
            </w:r>
          </w:p>
        </w:tc>
        <w:tc>
          <w:tcPr>
            <w:tcW w:w="112" w:type="dxa"/>
            <w:tcBorders/>
            <w:shd w:fill="CCEEFF" w:val="clear"/>
            <w:vAlign w:val="center"/>
          </w:tcPr>
          <w:p>
            <w:pPr>
              <w:pStyle w:val="TableContents"/>
              <w:spacing w:before="0" w:after="283"/>
              <w:ind w:left="0" w:right="0" w:hanging="180"/>
              <w:jc w:val="left"/>
              <w:rPr/>
            </w:pPr>
            <w:r>
              <w:rPr/>
              <w:t> </w:t>
            </w:r>
          </w:p>
        </w:tc>
      </w:tr>
      <w:tr>
        <w:trPr/>
        <w:tc>
          <w:tcPr>
            <w:tcW w:w="6779" w:type="dxa"/>
            <w:tcBorders/>
            <w:shd w:fill="auto" w:val="clear"/>
            <w:vAlign w:val="center"/>
          </w:tcPr>
          <w:p>
            <w:pPr>
              <w:pStyle w:val="TableContents"/>
              <w:spacing w:before="0" w:after="283"/>
              <w:jc w:val="left"/>
              <w:rPr/>
            </w:pPr>
            <w:r>
              <w:rPr/>
              <w:t>Net cash provided by/(used) in investing activities</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jc w:val="left"/>
              <w:rPr/>
            </w:pPr>
            <w:r>
              <w:rPr/>
              <w:t> </w:t>
            </w:r>
          </w:p>
        </w:tc>
        <w:tc>
          <w:tcPr>
            <w:tcW w:w="1507" w:type="dxa"/>
            <w:tcBorders/>
            <w:shd w:fill="auto" w:val="clear"/>
            <w:vAlign w:val="center"/>
          </w:tcPr>
          <w:p>
            <w:pPr>
              <w:pStyle w:val="TableContents"/>
              <w:spacing w:before="0" w:after="283"/>
              <w:jc w:val="right"/>
              <w:rPr/>
            </w:pPr>
            <w:r>
              <w:rPr/>
              <w:t>25,316,886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jc w:val="left"/>
              <w:rPr/>
            </w:pPr>
            <w:r>
              <w:rPr/>
              <w:t> </w:t>
            </w:r>
          </w:p>
        </w:tc>
        <w:tc>
          <w:tcPr>
            <w:tcW w:w="1263" w:type="dxa"/>
            <w:tcBorders/>
            <w:shd w:fill="auto" w:val="clear"/>
            <w:vAlign w:val="center"/>
          </w:tcPr>
          <w:p>
            <w:pPr>
              <w:pStyle w:val="TableContents"/>
              <w:spacing w:before="0" w:after="283"/>
              <w:jc w:val="right"/>
              <w:rPr/>
            </w:pPr>
            <w:r>
              <w:rPr/>
              <w:t>(77,175,374</w:t>
            </w:r>
          </w:p>
        </w:tc>
        <w:tc>
          <w:tcPr>
            <w:tcW w:w="112" w:type="dxa"/>
            <w:tcBorders/>
            <w:shd w:fill="auto" w:val="clear"/>
            <w:vAlign w:val="center"/>
          </w:tcPr>
          <w:p>
            <w:pPr>
              <w:pStyle w:val="TableContents"/>
              <w:spacing w:before="0" w:after="283"/>
              <w:ind w:left="0" w:right="0" w:hanging="180"/>
              <w:jc w:val="left"/>
              <w:rPr/>
            </w:pPr>
            <w:r>
              <w:rPr/>
              <w:t>)</w:t>
            </w:r>
          </w:p>
        </w:tc>
      </w:tr>
      <w:tr>
        <w:trPr/>
        <w:tc>
          <w:tcPr>
            <w:tcW w:w="6779" w:type="dxa"/>
            <w:tcBorders/>
            <w:shd w:fill="CCEEFF" w:val="clear"/>
            <w:vAlign w:val="center"/>
          </w:tcPr>
          <w:p>
            <w:pPr>
              <w:pStyle w:val="TableContents"/>
              <w:spacing w:before="0" w:after="283"/>
              <w:jc w:val="left"/>
              <w:rPr/>
            </w:pPr>
            <w:r>
              <w:rPr/>
              <w:t>Net cash used in financing activities</w:t>
            </w:r>
          </w:p>
        </w:tc>
        <w:tc>
          <w:tcPr>
            <w:tcW w:w="60" w:type="dxa"/>
            <w:tcBorders/>
            <w:shd w:fill="CCEEFF" w:val="clear"/>
            <w:vAlign w:val="center"/>
          </w:tcPr>
          <w:p>
            <w:pPr>
              <w:pStyle w:val="TableContents"/>
              <w:spacing w:before="0" w:after="283"/>
              <w:rPr/>
            </w:pPr>
            <w:r>
              <w:rPr/>
              <w:t> </w:t>
            </w:r>
          </w:p>
        </w:tc>
        <w:tc>
          <w:tcPr>
            <w:tcW w:w="17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07" w:type="dxa"/>
            <w:tcBorders>
              <w:bottom w:val="single" w:sz="12" w:space="0" w:color="000000"/>
            </w:tcBorders>
            <w:shd w:fill="CCEEFF" w:val="clear"/>
            <w:tcMar>
              <w:bottom w:w="28" w:type="dxa"/>
            </w:tcMar>
            <w:vAlign w:val="center"/>
          </w:tcPr>
          <w:p>
            <w:pPr>
              <w:pStyle w:val="TableContents"/>
              <w:spacing w:before="0" w:after="283"/>
              <w:jc w:val="right"/>
              <w:rPr/>
            </w:pPr>
            <w:r>
              <w:rPr/>
              <w:t>(28,093,875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5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63" w:type="dxa"/>
            <w:tcBorders>
              <w:bottom w:val="single" w:sz="12" w:space="0" w:color="000000"/>
            </w:tcBorders>
            <w:shd w:fill="CCEEFF" w:val="clear"/>
            <w:tcMar>
              <w:bottom w:w="28" w:type="dxa"/>
            </w:tcMar>
            <w:vAlign w:val="center"/>
          </w:tcPr>
          <w:p>
            <w:pPr>
              <w:pStyle w:val="TableContents"/>
              <w:spacing w:before="0" w:after="283"/>
              <w:jc w:val="right"/>
              <w:rPr/>
            </w:pPr>
            <w:r>
              <w:rPr/>
              <w:t>(30,606</w:t>
            </w:r>
          </w:p>
        </w:tc>
        <w:tc>
          <w:tcPr>
            <w:tcW w:w="112" w:type="dxa"/>
            <w:tcBorders/>
            <w:shd w:fill="CCEEFF" w:val="clear"/>
            <w:vAlign w:val="center"/>
          </w:tcPr>
          <w:p>
            <w:pPr>
              <w:pStyle w:val="TableContents"/>
              <w:spacing w:before="0" w:after="283"/>
              <w:ind w:left="0" w:right="0" w:hanging="180"/>
              <w:jc w:val="left"/>
              <w:rPr/>
            </w:pPr>
            <w:r>
              <w:rPr/>
              <w:t>)</w:t>
            </w:r>
          </w:p>
        </w:tc>
      </w:tr>
      <w:tr>
        <w:trPr/>
        <w:tc>
          <w:tcPr>
            <w:tcW w:w="6779" w:type="dxa"/>
            <w:tcBorders/>
            <w:shd w:fill="auto" w:val="clear"/>
            <w:vAlign w:val="center"/>
          </w:tcPr>
          <w:p>
            <w:pPr>
              <w:pStyle w:val="TableContents"/>
              <w:spacing w:before="0" w:after="283"/>
              <w:jc w:val="left"/>
              <w:rPr>
                <w:b/>
              </w:rPr>
            </w:pPr>
            <w:r>
              <w:rPr>
                <w:b/>
              </w:rPr>
              <w:t>Change in cash and cash equivalents</w:t>
            </w:r>
          </w:p>
        </w:tc>
        <w:tc>
          <w:tcPr>
            <w:tcW w:w="60" w:type="dxa"/>
            <w:tcBorders/>
            <w:shd w:fill="auto" w:val="clear"/>
            <w:vAlign w:val="center"/>
          </w:tcPr>
          <w:p>
            <w:pPr>
              <w:pStyle w:val="TableContents"/>
              <w:spacing w:before="0" w:after="283"/>
              <w:rPr/>
            </w:pPr>
            <w:r>
              <w:rPr/>
              <w:t> </w:t>
            </w:r>
          </w:p>
        </w:tc>
        <w:tc>
          <w:tcPr>
            <w:tcW w:w="179"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507" w:type="dxa"/>
            <w:tcBorders>
              <w:bottom w:val="double" w:sz="10" w:space="0" w:color="000000"/>
            </w:tcBorders>
            <w:shd w:fill="auto" w:val="clear"/>
            <w:tcMar>
              <w:bottom w:w="28" w:type="dxa"/>
            </w:tcMar>
            <w:vAlign w:val="center"/>
          </w:tcPr>
          <w:p>
            <w:pPr>
              <w:pStyle w:val="TableContents"/>
              <w:spacing w:before="0" w:after="283"/>
              <w:jc w:val="right"/>
              <w:rPr>
                <w:b/>
              </w:rPr>
            </w:pPr>
            <w:r>
              <w:rPr>
                <w:b/>
              </w:rPr>
              <w:t>(1,074,922</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15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63" w:type="dxa"/>
            <w:tcBorders>
              <w:bottom w:val="double" w:sz="10" w:space="0" w:color="000000"/>
            </w:tcBorders>
            <w:shd w:fill="auto" w:val="clear"/>
            <w:tcMar>
              <w:bottom w:w="28" w:type="dxa"/>
            </w:tcMar>
            <w:vAlign w:val="center"/>
          </w:tcPr>
          <w:p>
            <w:pPr>
              <w:pStyle w:val="TableContents"/>
              <w:spacing w:before="0" w:after="283"/>
              <w:jc w:val="right"/>
              <w:rPr>
                <w:b/>
              </w:rPr>
            </w:pPr>
            <w:r>
              <w:rPr>
                <w:b/>
              </w:rPr>
              <w:t>(74,170,348</w:t>
            </w:r>
          </w:p>
        </w:tc>
        <w:tc>
          <w:tcPr>
            <w:tcW w:w="112" w:type="dxa"/>
            <w:tcBorders/>
            <w:shd w:fill="auto" w:val="clear"/>
            <w:vAlign w:val="center"/>
          </w:tcPr>
          <w:p>
            <w:pPr>
              <w:pStyle w:val="TableContents"/>
              <w:spacing w:before="0" w:after="283"/>
              <w:jc w:val="left"/>
              <w:rPr>
                <w:b/>
              </w:rPr>
            </w:pPr>
            <w:r>
              <w:rPr>
                <w:b/>
              </w:rPr>
              <w:t>)</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Operating Activities</w:t>
      </w:r>
    </w:p>
    <w:p>
      <w:pPr>
        <w:pStyle w:val="TextBody"/>
        <w:spacing w:before="0" w:after="0"/>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we reported “Net cash provided by operating activities” of $1.7 million and $3.0 million, respectively. Net cash flows provided by operating activities decreased $1.3 million, primarily attributable to an increase in provision for current expected credit losses of approximately $48 thousand, an increase in PIK interest of approximately $1.3 million, an increase in interest receivable of approximately $2.8 million, an increase in related party receivable of approximately $0.2 million, an increase in related party payable of approximately $0.1 million, an increase in management and incentive fees payable of approximately $0.9 million, and an increase in accounts payable and other accrued expenses of approximately $0.4 million, partially offset by an increase in net income of approximately $2.9 million, decrease in interest reserve of approximately $1.4 million, increase in debt issuance costs of approximately $0.1 million, and an increase in stock based compensation of approximately $17 thousand.</w:t>
      </w:r>
    </w:p>
    <w:p>
      <w:pPr>
        <w:pStyle w:val="TextBody"/>
        <w:ind w:left="0" w:right="0" w:firstLine="720"/>
        <w:rPr>
          <w:caps w:val="false"/>
          <w:smallCaps w:val="false"/>
        </w:rPr>
      </w:pPr>
      <w:r>
        <w:rPr>
          <w:caps w:val="false"/>
          <w:smallCaps w:val="false"/>
        </w:rPr>
        <w:t> </w:t>
      </w:r>
    </w:p>
    <w:p>
      <w:pPr>
        <w:pStyle w:val="TextBody"/>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by/(Used) in Investing Activities</w:t>
      </w:r>
    </w:p>
    <w:p>
      <w:pPr>
        <w:pStyle w:val="TextBody"/>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we reported “Net cash provided by/(used in) investing activities” of $25.3 million and ($77.2 million), respectively.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cash outflows primarily related to $32.9 million used for the origination and funding of loans held for investment, partially offset by $13.4 million received from the sales of loans and $44.9 million of cash received from the principal repayment of loans held for investment.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2022, cash outflows primarily related to $82.8 million used for the origination and funding of loans held for investment, partially offset by $5.6 million of cash received from the principal repayment of loans held for investment.</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Financing Activities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and 2022, we reported “Net cash used in financing activities” of $28.1 million and approximately $31 thousand, respectively.</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cash inflows of approximately $6.0 million related to proceeds received from the registered direct offering and $28.5 million related to draw downs on our Revolving Loan, which were offset by approximately $49.0 million in repayments on our Revolving Loan, $13.5 million in dividends paid, approximately $3 thousand in debt issuance costs paid, and approximately $0.1 million in offering costs associated with the registered direct offering.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2022, cash inflows primarily related to approximately $4.5 million received from the underwriters’ partial exercise of their over-allotment option, offset by approximately $4.5 million in dividends paid, and approximately $24 thousand related to offering costs associated with our initial public offering.</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Leverage Policies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dividends declared during the three months ended March 31, 2023 and 2022, respectively.</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74"/>
        <w:gridCol w:w="60"/>
        <w:gridCol w:w="943"/>
        <w:gridCol w:w="60"/>
        <w:gridCol w:w="1093"/>
        <w:gridCol w:w="60"/>
        <w:gridCol w:w="499"/>
        <w:gridCol w:w="1574"/>
        <w:gridCol w:w="60"/>
        <w:gridCol w:w="60"/>
        <w:gridCol w:w="367"/>
        <w:gridCol w:w="1157"/>
        <w:gridCol w:w="60"/>
        <w:gridCol w:w="60"/>
        <w:gridCol w:w="186"/>
        <w:gridCol w:w="1005"/>
        <w:gridCol w:w="60"/>
        <w:gridCol w:w="60"/>
        <w:gridCol w:w="358"/>
        <w:gridCol w:w="1129"/>
        <w:gridCol w:w="80"/>
      </w:tblGrid>
      <w:tr>
        <w:trPr/>
        <w:tc>
          <w:tcPr>
            <w:tcW w:w="12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 w:type="dxa"/>
            <w:tcBorders>
              <w:bottom w:val="single" w:sz="12" w:space="0" w:color="000000"/>
            </w:tcBorders>
            <w:shd w:fill="auto" w:val="clear"/>
            <w:tcMar>
              <w:bottom w:w="28" w:type="dxa"/>
            </w:tcMar>
            <w:vAlign w:val="center"/>
          </w:tcPr>
          <w:p>
            <w:pPr>
              <w:pStyle w:val="TableContents"/>
              <w:spacing w:before="0" w:after="283"/>
              <w:jc w:val="center"/>
              <w:rPr>
                <w:b/>
              </w:rPr>
            </w:pPr>
            <w:r>
              <w:rPr>
                <w:b/>
              </w:rPr>
              <w:t>Record Date</w:t>
            </w:r>
          </w:p>
        </w:tc>
        <w:tc>
          <w:tcPr>
            <w:tcW w:w="60" w:type="dxa"/>
            <w:tcBorders/>
            <w:shd w:fill="auto" w:val="clear"/>
            <w:vAlign w:val="center"/>
          </w:tcPr>
          <w:p>
            <w:pPr>
              <w:pStyle w:val="TableContents"/>
              <w:spacing w:before="0" w:after="283"/>
              <w:rPr/>
            </w:pPr>
            <w:r>
              <w:rPr/>
              <w:t> </w:t>
            </w:r>
          </w:p>
        </w:tc>
        <w:tc>
          <w:tcPr>
            <w:tcW w:w="1093" w:type="dxa"/>
            <w:tcBorders>
              <w:bottom w:val="single" w:sz="12" w:space="0" w:color="000000"/>
            </w:tcBorders>
            <w:shd w:fill="auto" w:val="clear"/>
            <w:tcMar>
              <w:bottom w:w="28" w:type="dxa"/>
            </w:tcMar>
            <w:vAlign w:val="center"/>
          </w:tcPr>
          <w:p>
            <w:pPr>
              <w:pStyle w:val="TableContents"/>
              <w:spacing w:before="0" w:after="283"/>
              <w:jc w:val="center"/>
              <w:rPr>
                <w:b/>
              </w:rPr>
            </w:pPr>
            <w:r>
              <w:rPr>
                <w:b/>
              </w:rPr>
              <w:t>Payment Date</w:t>
            </w:r>
          </w:p>
        </w:tc>
        <w:tc>
          <w:tcPr>
            <w:tcW w:w="60" w:type="dxa"/>
            <w:tcBorders/>
            <w:shd w:fill="auto" w:val="clear"/>
            <w:vAlign w:val="center"/>
          </w:tcPr>
          <w:p>
            <w:pPr>
              <w:pStyle w:val="TableContents"/>
              <w:spacing w:before="0" w:after="283"/>
              <w:rPr/>
            </w:pPr>
            <w:r>
              <w:rPr/>
              <w:t> </w:t>
            </w:r>
          </w:p>
        </w:tc>
        <w:tc>
          <w:tcPr>
            <w:tcW w:w="207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Common Share Distribution 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Taxable Ordinary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Return of 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Section 199A Dividends</w:t>
            </w:r>
          </w:p>
        </w:tc>
        <w:tc>
          <w:tcPr>
            <w:tcW w:w="80" w:type="dxa"/>
            <w:tcBorders/>
            <w:shd w:fill="auto" w:val="clear"/>
            <w:vAlign w:val="center"/>
          </w:tcPr>
          <w:p>
            <w:pPr>
              <w:pStyle w:val="TableContents"/>
              <w:spacing w:before="0" w:after="283"/>
              <w:rPr/>
            </w:pPr>
            <w:r>
              <w:rPr/>
              <w:t> </w:t>
            </w:r>
          </w:p>
        </w:tc>
      </w:tr>
      <w:tr>
        <w:trPr/>
        <w:tc>
          <w:tcPr>
            <w:tcW w:w="1274" w:type="dxa"/>
            <w:tcBorders/>
            <w:shd w:fill="CCEEFF" w:val="clear"/>
            <w:vAlign w:val="center"/>
          </w:tcPr>
          <w:p>
            <w:pPr>
              <w:pStyle w:val="TableContents"/>
              <w:spacing w:before="0" w:after="283"/>
              <w:jc w:val="left"/>
              <w:rPr/>
            </w:pPr>
            <w:r>
              <w:rPr/>
              <w:t>Regular cash dividend</w:t>
            </w:r>
          </w:p>
        </w:tc>
        <w:tc>
          <w:tcPr>
            <w:tcW w:w="60"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center"/>
              <w:rPr/>
            </w:pPr>
            <w:r>
              <w:rPr/>
              <w:t>3/31/2023</w:t>
            </w:r>
          </w:p>
        </w:tc>
        <w:tc>
          <w:tcPr>
            <w:tcW w:w="60"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center"/>
              <w:rPr/>
            </w:pPr>
            <w:r>
              <w:rPr/>
              <w:t>4/14/2023</w:t>
            </w:r>
          </w:p>
        </w:tc>
        <w:tc>
          <w:tcPr>
            <w:tcW w:w="60" w:type="dxa"/>
            <w:tcBorders/>
            <w:shd w:fill="CCEEFF" w:val="clear"/>
            <w:vAlign w:val="center"/>
          </w:tcPr>
          <w:p>
            <w:pPr>
              <w:pStyle w:val="TableContents"/>
              <w:spacing w:before="0" w:after="283"/>
              <w:rPr/>
            </w:pPr>
            <w:r>
              <w:rPr/>
              <w:t> </w:t>
            </w:r>
          </w:p>
        </w:tc>
        <w:tc>
          <w:tcPr>
            <w:tcW w:w="499"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574" w:type="dxa"/>
            <w:tcBorders>
              <w:bottom w:val="single" w:sz="12" w:space="0" w:color="000000"/>
            </w:tcBorders>
            <w:shd w:fill="CCEEFF" w:val="clear"/>
            <w:tcMar>
              <w:bottom w:w="28" w:type="dxa"/>
            </w:tcMar>
            <w:vAlign w:val="center"/>
          </w:tcPr>
          <w:p>
            <w:pPr>
              <w:pStyle w:val="TableContents"/>
              <w:spacing w:before="0" w:after="283"/>
              <w:jc w:val="right"/>
              <w:rPr/>
            </w:pPr>
            <w:r>
              <w:rPr/>
              <w:t>0.47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7"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57" w:type="dxa"/>
            <w:tcBorders>
              <w:bottom w:val="single" w:sz="12" w:space="0" w:color="000000"/>
            </w:tcBorders>
            <w:shd w:fill="CCEEFF" w:val="clear"/>
            <w:tcMar>
              <w:bottom w:w="28" w:type="dxa"/>
            </w:tcMar>
            <w:vAlign w:val="center"/>
          </w:tcPr>
          <w:p>
            <w:pPr>
              <w:pStyle w:val="TableContents"/>
              <w:spacing w:before="0" w:after="283"/>
              <w:jc w:val="right"/>
              <w:rPr/>
            </w:pPr>
            <w:r>
              <w:rPr/>
              <w:t>0.47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005" w:type="dxa"/>
            <w:tcBorders>
              <w:bottom w:val="single" w:sz="12" w:space="0" w:color="000000"/>
            </w:tcBorders>
            <w:shd w:fill="CCEEFF" w:val="clear"/>
            <w:tcMar>
              <w:bottom w:w="28" w:type="dxa"/>
            </w:tcMar>
            <w:vAlign w:val="center"/>
          </w:tcPr>
          <w:p>
            <w:pPr>
              <w:pStyle w:val="TableContents"/>
              <w:spacing w:before="0" w:after="283"/>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8"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29" w:type="dxa"/>
            <w:tcBorders>
              <w:bottom w:val="single" w:sz="12" w:space="0" w:color="000000"/>
            </w:tcBorders>
            <w:shd w:fill="CCEEFF" w:val="clear"/>
            <w:tcMar>
              <w:bottom w:w="28" w:type="dxa"/>
            </w:tcMar>
            <w:vAlign w:val="center"/>
          </w:tcPr>
          <w:p>
            <w:pPr>
              <w:pStyle w:val="TableContents"/>
              <w:spacing w:before="0" w:after="283"/>
              <w:jc w:val="right"/>
              <w:rPr/>
            </w:pPr>
            <w:r>
              <w:rPr/>
              <w:t>0.47</w:t>
            </w:r>
          </w:p>
        </w:tc>
        <w:tc>
          <w:tcPr>
            <w:tcW w:w="80" w:type="dxa"/>
            <w:tcBorders/>
            <w:shd w:fill="CCEEFF" w:val="clear"/>
            <w:vAlign w:val="center"/>
          </w:tcPr>
          <w:p>
            <w:pPr>
              <w:pStyle w:val="TableContents"/>
              <w:spacing w:before="0" w:after="283"/>
              <w:jc w:val="left"/>
              <w:rPr/>
            </w:pPr>
            <w:r>
              <w:rPr/>
              <w:t> </w:t>
            </w:r>
          </w:p>
        </w:tc>
      </w:tr>
      <w:tr>
        <w:trPr/>
        <w:tc>
          <w:tcPr>
            <w:tcW w:w="1274" w:type="dxa"/>
            <w:tcBorders/>
            <w:shd w:fill="auto" w:val="clear"/>
            <w:vAlign w:val="center"/>
          </w:tcPr>
          <w:p>
            <w:pPr>
              <w:pStyle w:val="TableContents"/>
              <w:spacing w:before="0" w:after="283"/>
              <w:jc w:val="left"/>
              <w:rPr/>
            </w:pPr>
            <w:r>
              <w:rPr/>
              <w:t>Total cash dividend</w:t>
            </w:r>
          </w:p>
        </w:tc>
        <w:tc>
          <w:tcPr>
            <w:tcW w:w="60"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9" w:type="dxa"/>
            <w:tcBorders/>
            <w:shd w:fill="auto" w:val="clear"/>
            <w:vAlign w:val="center"/>
          </w:tcPr>
          <w:p>
            <w:pPr>
              <w:pStyle w:val="TableContents"/>
              <w:spacing w:before="0" w:after="283"/>
              <w:jc w:val="left"/>
              <w:rPr>
                <w:b/>
              </w:rPr>
            </w:pPr>
            <w:r>
              <w:rPr>
                <w:b/>
              </w:rPr>
              <w:t>$</w:t>
            </w:r>
          </w:p>
        </w:tc>
        <w:tc>
          <w:tcPr>
            <w:tcW w:w="1574" w:type="dxa"/>
            <w:tcBorders/>
            <w:shd w:fill="auto" w:val="clear"/>
            <w:vAlign w:val="center"/>
          </w:tcPr>
          <w:p>
            <w:pPr>
              <w:pStyle w:val="TableContents"/>
              <w:spacing w:before="0" w:after="283"/>
              <w:jc w:val="right"/>
              <w:rPr>
                <w:b/>
              </w:rPr>
            </w:pPr>
            <w:r>
              <w:rPr>
                <w:b/>
              </w:rPr>
              <w:t>0.47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jc w:val="left"/>
              <w:rPr>
                <w:b/>
              </w:rPr>
            </w:pPr>
            <w:r>
              <w:rPr>
                <w:b/>
              </w:rPr>
              <w:t>$</w:t>
            </w:r>
          </w:p>
        </w:tc>
        <w:tc>
          <w:tcPr>
            <w:tcW w:w="1157" w:type="dxa"/>
            <w:tcBorders/>
            <w:shd w:fill="auto" w:val="clear"/>
            <w:vAlign w:val="center"/>
          </w:tcPr>
          <w:p>
            <w:pPr>
              <w:pStyle w:val="TableContents"/>
              <w:spacing w:before="0" w:after="283"/>
              <w:jc w:val="right"/>
              <w:rPr>
                <w:b/>
              </w:rPr>
            </w:pPr>
            <w:r>
              <w:rPr>
                <w:b/>
              </w:rPr>
              <w:t>0.47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jc w:val="left"/>
              <w:rPr>
                <w:b/>
              </w:rPr>
            </w:pPr>
            <w:r>
              <w:rPr>
                <w:b/>
              </w:rPr>
              <w:t>$</w:t>
            </w:r>
          </w:p>
        </w:tc>
        <w:tc>
          <w:tcPr>
            <w:tcW w:w="1005" w:type="dxa"/>
            <w:tcBorders/>
            <w:shd w:fill="auto" w:val="clear"/>
            <w:vAlign w:val="center"/>
          </w:tcPr>
          <w:p>
            <w:pPr>
              <w:pStyle w:val="TableContents"/>
              <w:spacing w:before="0" w:after="283"/>
              <w:jc w:val="right"/>
              <w:rPr>
                <w:b/>
              </w:rPr>
            </w:pPr>
            <w:r>
              <w:rPr>
                <w:b/>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jc w:val="left"/>
              <w:rPr>
                <w:b/>
              </w:rPr>
            </w:pPr>
            <w:r>
              <w:rPr>
                <w:b/>
              </w:rPr>
              <w:t>$</w:t>
            </w:r>
          </w:p>
        </w:tc>
        <w:tc>
          <w:tcPr>
            <w:tcW w:w="1129" w:type="dxa"/>
            <w:tcBorders/>
            <w:shd w:fill="auto" w:val="clear"/>
            <w:vAlign w:val="center"/>
          </w:tcPr>
          <w:p>
            <w:pPr>
              <w:pStyle w:val="TableContents"/>
              <w:spacing w:before="0" w:after="283"/>
              <w:jc w:val="right"/>
              <w:rPr>
                <w:b/>
              </w:rPr>
            </w:pPr>
            <w:r>
              <w:rPr>
                <w:b/>
              </w:rPr>
              <w:t>0.47</w:t>
            </w:r>
          </w:p>
        </w:tc>
        <w:tc>
          <w:tcPr>
            <w:tcW w:w="8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74"/>
        <w:gridCol w:w="60"/>
        <w:gridCol w:w="943"/>
        <w:gridCol w:w="60"/>
        <w:gridCol w:w="1093"/>
        <w:gridCol w:w="60"/>
        <w:gridCol w:w="499"/>
        <w:gridCol w:w="1574"/>
        <w:gridCol w:w="60"/>
        <w:gridCol w:w="60"/>
        <w:gridCol w:w="367"/>
        <w:gridCol w:w="1157"/>
        <w:gridCol w:w="60"/>
        <w:gridCol w:w="60"/>
        <w:gridCol w:w="186"/>
        <w:gridCol w:w="1005"/>
        <w:gridCol w:w="60"/>
        <w:gridCol w:w="60"/>
        <w:gridCol w:w="358"/>
        <w:gridCol w:w="1129"/>
        <w:gridCol w:w="80"/>
      </w:tblGrid>
      <w:tr>
        <w:trPr/>
        <w:tc>
          <w:tcPr>
            <w:tcW w:w="127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43" w:type="dxa"/>
            <w:tcBorders>
              <w:bottom w:val="single" w:sz="12" w:space="0" w:color="000000"/>
            </w:tcBorders>
            <w:shd w:fill="auto" w:val="clear"/>
            <w:tcMar>
              <w:bottom w:w="28" w:type="dxa"/>
            </w:tcMar>
            <w:vAlign w:val="center"/>
          </w:tcPr>
          <w:p>
            <w:pPr>
              <w:pStyle w:val="TableContents"/>
              <w:spacing w:before="0" w:after="283"/>
              <w:jc w:val="center"/>
              <w:rPr>
                <w:b/>
              </w:rPr>
            </w:pPr>
            <w:r>
              <w:rPr>
                <w:b/>
              </w:rPr>
              <w:t>Record Date</w:t>
            </w:r>
          </w:p>
        </w:tc>
        <w:tc>
          <w:tcPr>
            <w:tcW w:w="60" w:type="dxa"/>
            <w:tcBorders/>
            <w:shd w:fill="auto" w:val="clear"/>
            <w:vAlign w:val="center"/>
          </w:tcPr>
          <w:p>
            <w:pPr>
              <w:pStyle w:val="TableContents"/>
              <w:spacing w:before="0" w:after="283"/>
              <w:rPr/>
            </w:pPr>
            <w:r>
              <w:rPr/>
              <w:t> </w:t>
            </w:r>
          </w:p>
        </w:tc>
        <w:tc>
          <w:tcPr>
            <w:tcW w:w="1093" w:type="dxa"/>
            <w:tcBorders>
              <w:bottom w:val="single" w:sz="12" w:space="0" w:color="000000"/>
            </w:tcBorders>
            <w:shd w:fill="auto" w:val="clear"/>
            <w:tcMar>
              <w:bottom w:w="28" w:type="dxa"/>
            </w:tcMar>
            <w:vAlign w:val="center"/>
          </w:tcPr>
          <w:p>
            <w:pPr>
              <w:pStyle w:val="TableContents"/>
              <w:spacing w:before="0" w:after="283"/>
              <w:jc w:val="center"/>
              <w:rPr>
                <w:b/>
              </w:rPr>
            </w:pPr>
            <w:r>
              <w:rPr>
                <w:b/>
              </w:rPr>
              <w:t>Payment Date</w:t>
            </w:r>
          </w:p>
        </w:tc>
        <w:tc>
          <w:tcPr>
            <w:tcW w:w="60" w:type="dxa"/>
            <w:tcBorders/>
            <w:shd w:fill="auto" w:val="clear"/>
            <w:vAlign w:val="center"/>
          </w:tcPr>
          <w:p>
            <w:pPr>
              <w:pStyle w:val="TableContents"/>
              <w:spacing w:before="0" w:after="283"/>
              <w:rPr/>
            </w:pPr>
            <w:r>
              <w:rPr/>
              <w:t> </w:t>
            </w:r>
          </w:p>
        </w:tc>
        <w:tc>
          <w:tcPr>
            <w:tcW w:w="207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Common Share Distribution 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Taxable Ordinary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Return of 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7"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Section 199A Dividends</w:t>
            </w:r>
          </w:p>
        </w:tc>
        <w:tc>
          <w:tcPr>
            <w:tcW w:w="80" w:type="dxa"/>
            <w:tcBorders/>
            <w:shd w:fill="auto" w:val="clear"/>
            <w:vAlign w:val="center"/>
          </w:tcPr>
          <w:p>
            <w:pPr>
              <w:pStyle w:val="TableContents"/>
              <w:spacing w:before="0" w:after="283"/>
              <w:rPr/>
            </w:pPr>
            <w:r>
              <w:rPr/>
              <w:t> </w:t>
            </w:r>
          </w:p>
        </w:tc>
      </w:tr>
      <w:tr>
        <w:trPr/>
        <w:tc>
          <w:tcPr>
            <w:tcW w:w="1274" w:type="dxa"/>
            <w:tcBorders/>
            <w:shd w:fill="CCEEFF" w:val="clear"/>
            <w:vAlign w:val="center"/>
          </w:tcPr>
          <w:p>
            <w:pPr>
              <w:pStyle w:val="TableContents"/>
              <w:spacing w:before="0" w:after="283"/>
              <w:jc w:val="left"/>
              <w:rPr/>
            </w:pPr>
            <w:r>
              <w:rPr/>
              <w:t>Regular cash dividend</w:t>
            </w:r>
          </w:p>
        </w:tc>
        <w:tc>
          <w:tcPr>
            <w:tcW w:w="60"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center"/>
              <w:rPr/>
            </w:pPr>
            <w:r>
              <w:rPr/>
              <w:t>3/31/2022</w:t>
            </w:r>
          </w:p>
        </w:tc>
        <w:tc>
          <w:tcPr>
            <w:tcW w:w="60" w:type="dxa"/>
            <w:tcBorders/>
            <w:shd w:fill="CCEEFF" w:val="clear"/>
            <w:vAlign w:val="center"/>
          </w:tcPr>
          <w:p>
            <w:pPr>
              <w:pStyle w:val="TableContents"/>
              <w:spacing w:before="0" w:after="283"/>
              <w:rPr/>
            </w:pPr>
            <w:r>
              <w:rPr/>
              <w:t> </w:t>
            </w:r>
          </w:p>
        </w:tc>
        <w:tc>
          <w:tcPr>
            <w:tcW w:w="1093" w:type="dxa"/>
            <w:tcBorders/>
            <w:shd w:fill="CCEEFF" w:val="clear"/>
            <w:vAlign w:val="center"/>
          </w:tcPr>
          <w:p>
            <w:pPr>
              <w:pStyle w:val="TableContents"/>
              <w:spacing w:before="0" w:after="283"/>
              <w:jc w:val="center"/>
              <w:rPr/>
            </w:pPr>
            <w:r>
              <w:rPr/>
              <w:t>4/14/2022</w:t>
            </w:r>
          </w:p>
        </w:tc>
        <w:tc>
          <w:tcPr>
            <w:tcW w:w="60" w:type="dxa"/>
            <w:tcBorders/>
            <w:shd w:fill="CCEEFF" w:val="clear"/>
            <w:vAlign w:val="center"/>
          </w:tcPr>
          <w:p>
            <w:pPr>
              <w:pStyle w:val="TableContents"/>
              <w:spacing w:before="0" w:after="283"/>
              <w:rPr/>
            </w:pPr>
            <w:r>
              <w:rPr/>
              <w:t> </w:t>
            </w:r>
          </w:p>
        </w:tc>
        <w:tc>
          <w:tcPr>
            <w:tcW w:w="499"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574" w:type="dxa"/>
            <w:tcBorders>
              <w:bottom w:val="single" w:sz="12" w:space="0" w:color="000000"/>
            </w:tcBorders>
            <w:shd w:fill="CCEEFF" w:val="clear"/>
            <w:tcMar>
              <w:bottom w:w="28" w:type="dxa"/>
            </w:tcMar>
            <w:vAlign w:val="center"/>
          </w:tcPr>
          <w:p>
            <w:pPr>
              <w:pStyle w:val="TableContents"/>
              <w:spacing w:before="0" w:after="283"/>
              <w:jc w:val="right"/>
              <w:rPr/>
            </w:pPr>
            <w:r>
              <w:rPr/>
              <w:t>0.40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67"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57" w:type="dxa"/>
            <w:tcBorders>
              <w:bottom w:val="single" w:sz="12" w:space="0" w:color="000000"/>
            </w:tcBorders>
            <w:shd w:fill="CCEEFF" w:val="clear"/>
            <w:tcMar>
              <w:bottom w:w="28" w:type="dxa"/>
            </w:tcMar>
            <w:vAlign w:val="center"/>
          </w:tcPr>
          <w:p>
            <w:pPr>
              <w:pStyle w:val="TableContents"/>
              <w:spacing w:before="0" w:after="283"/>
              <w:jc w:val="right"/>
              <w:rPr/>
            </w:pPr>
            <w:r>
              <w:rPr/>
              <w:t>0.40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005" w:type="dxa"/>
            <w:tcBorders>
              <w:bottom w:val="single" w:sz="12" w:space="0" w:color="000000"/>
            </w:tcBorders>
            <w:shd w:fill="CCEEFF" w:val="clear"/>
            <w:tcMar>
              <w:bottom w:w="28" w:type="dxa"/>
            </w:tcMar>
            <w:vAlign w:val="center"/>
          </w:tcPr>
          <w:p>
            <w:pPr>
              <w:pStyle w:val="TableContents"/>
              <w:spacing w:before="0" w:after="283"/>
              <w:jc w:val="right"/>
              <w:rPr/>
            </w:pPr>
            <w:r>
              <w:rPr/>
              <w:t>           </w:t>
            </w: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58"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29" w:type="dxa"/>
            <w:tcBorders>
              <w:bottom w:val="single" w:sz="12" w:space="0" w:color="000000"/>
            </w:tcBorders>
            <w:shd w:fill="CCEEFF" w:val="clear"/>
            <w:tcMar>
              <w:bottom w:w="28" w:type="dxa"/>
            </w:tcMar>
            <w:vAlign w:val="center"/>
          </w:tcPr>
          <w:p>
            <w:pPr>
              <w:pStyle w:val="TableContents"/>
              <w:spacing w:before="0" w:after="283"/>
              <w:jc w:val="right"/>
              <w:rPr/>
            </w:pPr>
            <w:r>
              <w:rPr/>
              <w:t>0.40</w:t>
            </w:r>
          </w:p>
        </w:tc>
        <w:tc>
          <w:tcPr>
            <w:tcW w:w="80" w:type="dxa"/>
            <w:tcBorders/>
            <w:shd w:fill="CCEEFF" w:val="clear"/>
            <w:vAlign w:val="center"/>
          </w:tcPr>
          <w:p>
            <w:pPr>
              <w:pStyle w:val="TableContents"/>
              <w:spacing w:before="0" w:after="283"/>
              <w:jc w:val="left"/>
              <w:rPr/>
            </w:pPr>
            <w:r>
              <w:rPr/>
              <w:t> </w:t>
            </w:r>
          </w:p>
        </w:tc>
      </w:tr>
      <w:tr>
        <w:trPr/>
        <w:tc>
          <w:tcPr>
            <w:tcW w:w="1274" w:type="dxa"/>
            <w:tcBorders/>
            <w:shd w:fill="auto" w:val="clear"/>
            <w:vAlign w:val="center"/>
          </w:tcPr>
          <w:p>
            <w:pPr>
              <w:pStyle w:val="TableContents"/>
              <w:spacing w:before="0" w:after="283"/>
              <w:jc w:val="left"/>
              <w:rPr/>
            </w:pPr>
            <w:r>
              <w:rPr/>
              <w:t>Total cash dividend</w:t>
            </w:r>
          </w:p>
        </w:tc>
        <w:tc>
          <w:tcPr>
            <w:tcW w:w="60"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9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99" w:type="dxa"/>
            <w:tcBorders/>
            <w:shd w:fill="auto" w:val="clear"/>
            <w:vAlign w:val="center"/>
          </w:tcPr>
          <w:p>
            <w:pPr>
              <w:pStyle w:val="TableContents"/>
              <w:spacing w:before="0" w:after="283"/>
              <w:jc w:val="left"/>
              <w:rPr>
                <w:b/>
              </w:rPr>
            </w:pPr>
            <w:r>
              <w:rPr>
                <w:b/>
              </w:rPr>
              <w:t>$</w:t>
            </w:r>
          </w:p>
        </w:tc>
        <w:tc>
          <w:tcPr>
            <w:tcW w:w="1574" w:type="dxa"/>
            <w:tcBorders/>
            <w:shd w:fill="auto" w:val="clear"/>
            <w:vAlign w:val="center"/>
          </w:tcPr>
          <w:p>
            <w:pPr>
              <w:pStyle w:val="TableContents"/>
              <w:spacing w:before="0" w:after="283"/>
              <w:jc w:val="right"/>
              <w:rPr>
                <w:b/>
              </w:rPr>
            </w:pPr>
            <w:r>
              <w:rPr>
                <w:b/>
              </w:rPr>
              <w:t>0.40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jc w:val="left"/>
              <w:rPr>
                <w:b/>
              </w:rPr>
            </w:pPr>
            <w:r>
              <w:rPr>
                <w:b/>
              </w:rPr>
              <w:t>$</w:t>
            </w:r>
          </w:p>
        </w:tc>
        <w:tc>
          <w:tcPr>
            <w:tcW w:w="1157" w:type="dxa"/>
            <w:tcBorders/>
            <w:shd w:fill="auto" w:val="clear"/>
            <w:vAlign w:val="center"/>
          </w:tcPr>
          <w:p>
            <w:pPr>
              <w:pStyle w:val="TableContents"/>
              <w:spacing w:before="0" w:after="283"/>
              <w:jc w:val="right"/>
              <w:rPr>
                <w:b/>
              </w:rPr>
            </w:pPr>
            <w:r>
              <w:rPr>
                <w:b/>
              </w:rPr>
              <w:t>0.40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jc w:val="left"/>
              <w:rPr>
                <w:b/>
              </w:rPr>
            </w:pPr>
            <w:r>
              <w:rPr>
                <w:b/>
              </w:rPr>
              <w:t>$</w:t>
            </w:r>
          </w:p>
        </w:tc>
        <w:tc>
          <w:tcPr>
            <w:tcW w:w="1005" w:type="dxa"/>
            <w:tcBorders/>
            <w:shd w:fill="auto" w:val="clear"/>
            <w:vAlign w:val="center"/>
          </w:tcPr>
          <w:p>
            <w:pPr>
              <w:pStyle w:val="TableContents"/>
              <w:spacing w:before="0" w:after="283"/>
              <w:jc w:val="right"/>
              <w:rPr>
                <w:b/>
              </w:rPr>
            </w:pPr>
            <w:r>
              <w:rPr>
                <w:b/>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58" w:type="dxa"/>
            <w:tcBorders/>
            <w:shd w:fill="auto" w:val="clear"/>
            <w:vAlign w:val="center"/>
          </w:tcPr>
          <w:p>
            <w:pPr>
              <w:pStyle w:val="TableContents"/>
              <w:spacing w:before="0" w:after="283"/>
              <w:jc w:val="left"/>
              <w:rPr>
                <w:b/>
              </w:rPr>
            </w:pPr>
            <w:r>
              <w:rPr>
                <w:b/>
              </w:rPr>
              <w:t>$</w:t>
            </w:r>
          </w:p>
        </w:tc>
        <w:tc>
          <w:tcPr>
            <w:tcW w:w="1129" w:type="dxa"/>
            <w:tcBorders/>
            <w:shd w:fill="auto" w:val="clear"/>
            <w:vAlign w:val="center"/>
          </w:tcPr>
          <w:p>
            <w:pPr>
              <w:pStyle w:val="TableContents"/>
              <w:spacing w:before="0" w:after="283"/>
              <w:jc w:val="right"/>
              <w:rPr>
                <w:b/>
              </w:rPr>
            </w:pPr>
            <w:r>
              <w:rPr>
                <w:b/>
              </w:rPr>
              <w:t>0.40</w:t>
            </w:r>
          </w:p>
        </w:tc>
        <w:tc>
          <w:tcPr>
            <w:tcW w:w="8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CECL Reserve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two fiscal years and has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our portfolio, management considered it appropriate to consider the past repayment history of loans originated by the Sponsor in determining the extent to which we should record a CECL Reserve.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 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Ratings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the risk factors of each loan, and assigns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05"/>
        <w:gridCol w:w="60"/>
        <w:gridCol w:w="9540"/>
      </w:tblGrid>
      <w:tr>
        <w:trPr/>
        <w:tc>
          <w:tcPr>
            <w:tcW w:w="605" w:type="dxa"/>
            <w:tcBorders>
              <w:bottom w:val="single" w:sz="1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Rating</w:t>
            </w:r>
          </w:p>
        </w:tc>
        <w:tc>
          <w:tcPr>
            <w:tcW w:w="60" w:type="dxa"/>
            <w:tcBorders/>
            <w:shd w:fill="auto" w:val="clear"/>
            <w:tcMar>
              <w:bottom w:w="0" w:type="dxa"/>
            </w:tcMar>
            <w:vAlign w:val="center"/>
          </w:tcPr>
          <w:p>
            <w:pPr>
              <w:pStyle w:val="TableContents"/>
              <w:spacing w:before="0" w:after="283"/>
              <w:rPr/>
            </w:pPr>
            <w:r>
              <w:rPr/>
              <w:t> </w:t>
            </w:r>
          </w:p>
        </w:tc>
        <w:tc>
          <w:tcPr>
            <w:tcW w:w="954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Definition</w:t>
            </w:r>
          </w:p>
        </w:tc>
      </w:tr>
      <w:tr>
        <w:trPr/>
        <w:tc>
          <w:tcPr>
            <w:tcW w:w="60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0" w:type="dxa"/>
            <w:tcBorders/>
            <w:shd w:fill="CCEEFF" w:val="clear"/>
            <w:tcMar>
              <w:bottom w:w="0" w:type="dxa"/>
            </w:tcMar>
            <w:vAlign w:val="center"/>
          </w:tcPr>
          <w:p>
            <w:pPr>
              <w:pStyle w:val="TableContents"/>
              <w:spacing w:before="0" w:after="283"/>
              <w:rPr/>
            </w:pPr>
            <w:r>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Very low risk</w:t>
            </w:r>
          </w:p>
        </w:tc>
      </w:tr>
      <w:tr>
        <w:trPr/>
        <w:tc>
          <w:tcPr>
            <w:tcW w:w="60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60" w:type="dxa"/>
            <w:tcBorders/>
            <w:shd w:fill="auto" w:val="clear"/>
            <w:tcMar>
              <w:bottom w:w="0" w:type="dxa"/>
            </w:tcMar>
            <w:vAlign w:val="center"/>
          </w:tcPr>
          <w:p>
            <w:pPr>
              <w:pStyle w:val="TableContents"/>
              <w:spacing w:before="0" w:after="283"/>
              <w:rPr/>
            </w:pPr>
            <w:r>
              <w:rPr/>
              <w:t> </w:t>
            </w:r>
          </w:p>
        </w:tc>
        <w:tc>
          <w:tcPr>
            <w:tcW w:w="954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Low risk</w:t>
            </w:r>
          </w:p>
        </w:tc>
      </w:tr>
      <w:tr>
        <w:trPr/>
        <w:tc>
          <w:tcPr>
            <w:tcW w:w="60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spacing w:before="0" w:after="283"/>
              <w:rPr/>
            </w:pPr>
            <w:r>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Moderate/average risk</w:t>
            </w:r>
          </w:p>
        </w:tc>
      </w:tr>
      <w:tr>
        <w:trPr/>
        <w:tc>
          <w:tcPr>
            <w:tcW w:w="60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60" w:type="dxa"/>
            <w:tcBorders/>
            <w:shd w:fill="auto" w:val="clear"/>
            <w:tcMar>
              <w:bottom w:w="0" w:type="dxa"/>
            </w:tcMar>
            <w:vAlign w:val="center"/>
          </w:tcPr>
          <w:p>
            <w:pPr>
              <w:pStyle w:val="TableContents"/>
              <w:spacing w:before="0" w:after="283"/>
              <w:rPr/>
            </w:pPr>
            <w:r>
              <w:rPr/>
              <w:t> </w:t>
            </w:r>
          </w:p>
        </w:tc>
        <w:tc>
          <w:tcPr>
            <w:tcW w:w="954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High risk/potential for loss: a loan that has a risk of realizing a principal loss</w:t>
            </w:r>
          </w:p>
        </w:tc>
      </w:tr>
      <w:tr>
        <w:trPr/>
        <w:tc>
          <w:tcPr>
            <w:tcW w:w="60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60" w:type="dxa"/>
            <w:tcBorders/>
            <w:shd w:fill="CCEEFF" w:val="clear"/>
            <w:tcMar>
              <w:bottom w:w="0" w:type="dxa"/>
            </w:tcMar>
            <w:vAlign w:val="center"/>
          </w:tcPr>
          <w:p>
            <w:pPr>
              <w:pStyle w:val="TableContents"/>
              <w:spacing w:before="0" w:after="283"/>
              <w:rPr/>
            </w:pPr>
            <w:r>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Impaired/loss likely: a loan that has a high risk of realizing principal loss, has incurred principal loss or an impairment has been recorded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March 31, 2023 and December 31, 2022 consider borrower specific credit history and performance and quarterly re-evaluation of overall current macroeconomic conditions affecting the borrowers. As interest rates have increased due to rising rates from the Federal Reserve Board, it has impacted borrowers’ ability to service their debt obligations on a global scale. This decline in risk ratings had an effect on the level of the current expected credit loss reserve, though the loans continued to perform as expected. For approximately 80% of the portfolio, the fair value of the underlying real estate collateral exceeded the amounts outstanding under the loans as of March 31, 2023. The remaining approximately 20% of the portfolio, while not fully collateralized by real estate, was secured by other forms of collateral including equipment, receivables, licenses and/or other assets of the borrowers to the extent permitted by applicable laws and regulations governing such borrowers.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December 31, 2022, the carrying value, excluding the CECL Reserve, of the Company’s loans within each risk rating by year of origination is as follows:</w:t>
      </w:r>
    </w:p>
    <w:p>
      <w:pPr>
        <w:pStyle w:val="TextBody"/>
        <w:spacing w:before="0" w:after="0"/>
        <w:ind w:left="0" w:right="0" w:firstLine="360"/>
        <w:rPr>
          <w:caps w:val="false"/>
          <w:smallCaps w:val="false"/>
        </w:rPr>
      </w:pPr>
      <w:r>
        <w:rPr>
          <w:caps w:val="false"/>
          <w:smallCaps w:val="false"/>
        </w:rPr>
        <w:t> </w:t>
      </w:r>
    </w:p>
    <w:tbl>
      <w:tblPr>
        <w:tblW w:w="11325" w:type="dxa"/>
        <w:jc w:val="left"/>
        <w:tblInd w:w="0" w:type="dxa"/>
        <w:tblCellMar>
          <w:top w:w="0" w:type="dxa"/>
          <w:left w:w="0" w:type="dxa"/>
          <w:bottom w:w="0" w:type="dxa"/>
          <w:right w:w="0" w:type="dxa"/>
        </w:tblCellMar>
      </w:tblPr>
      <w:tblGrid>
        <w:gridCol w:w="890"/>
        <w:gridCol w:w="180"/>
        <w:gridCol w:w="60"/>
        <w:gridCol w:w="830"/>
        <w:gridCol w:w="60"/>
        <w:gridCol w:w="60"/>
        <w:gridCol w:w="60"/>
        <w:gridCol w:w="920"/>
        <w:gridCol w:w="60"/>
        <w:gridCol w:w="60"/>
        <w:gridCol w:w="60"/>
        <w:gridCol w:w="920"/>
        <w:gridCol w:w="60"/>
        <w:gridCol w:w="60"/>
        <w:gridCol w:w="60"/>
        <w:gridCol w:w="380"/>
        <w:gridCol w:w="60"/>
        <w:gridCol w:w="60"/>
        <w:gridCol w:w="60"/>
        <w:gridCol w:w="380"/>
        <w:gridCol w:w="60"/>
        <w:gridCol w:w="60"/>
        <w:gridCol w:w="60"/>
        <w:gridCol w:w="920"/>
        <w:gridCol w:w="60"/>
        <w:gridCol w:w="60"/>
        <w:gridCol w:w="60"/>
        <w:gridCol w:w="920"/>
        <w:gridCol w:w="60"/>
        <w:gridCol w:w="60"/>
        <w:gridCol w:w="60"/>
        <w:gridCol w:w="920"/>
        <w:gridCol w:w="60"/>
        <w:gridCol w:w="60"/>
        <w:gridCol w:w="60"/>
        <w:gridCol w:w="830"/>
        <w:gridCol w:w="60"/>
        <w:gridCol w:w="60"/>
        <w:gridCol w:w="60"/>
        <w:gridCol w:w="380"/>
        <w:gridCol w:w="60"/>
        <w:gridCol w:w="60"/>
        <w:gridCol w:w="60"/>
        <w:gridCol w:w="920"/>
        <w:gridCol w:w="75"/>
      </w:tblGrid>
      <w:tr>
        <w:trPr/>
        <w:tc>
          <w:tcPr>
            <w:tcW w:w="890" w:type="dxa"/>
            <w:tcBorders/>
            <w:shd w:fill="auto" w:val="clear"/>
            <w:vAlign w:val="center"/>
          </w:tcPr>
          <w:p>
            <w:pPr>
              <w:pStyle w:val="TableContents"/>
              <w:spacing w:before="0" w:after="283"/>
              <w:jc w:val="left"/>
              <w:rPr/>
            </w:pPr>
            <w:r>
              <w:rPr/>
              <w:t> </w:t>
            </w:r>
          </w:p>
        </w:tc>
        <w:tc>
          <w:tcPr>
            <w:tcW w:w="180" w:type="dxa"/>
            <w:tcBorders/>
            <w:shd w:fill="auto" w:val="clear"/>
            <w:vAlign w:val="center"/>
          </w:tcPr>
          <w:p>
            <w:pPr>
              <w:pStyle w:val="TableContents"/>
              <w:spacing w:before="0" w:after="283"/>
              <w:rPr/>
            </w:pPr>
            <w:r>
              <w:rPr/>
              <w:t> </w:t>
            </w:r>
          </w:p>
        </w:tc>
        <w:tc>
          <w:tcPr>
            <w:tcW w:w="5310" w:type="dxa"/>
            <w:gridSpan w:val="2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As of March 31, 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50" w:type="dxa"/>
            <w:gridSpan w:val="18"/>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As of December 31, 2022</w:t>
            </w:r>
          </w:p>
        </w:tc>
        <w:tc>
          <w:tcPr>
            <w:tcW w:w="75" w:type="dxa"/>
            <w:tcBorders/>
            <w:shd w:fill="auto" w:val="clear"/>
            <w:vAlign w:val="center"/>
          </w:tcPr>
          <w:p>
            <w:pPr>
              <w:pStyle w:val="TableContents"/>
              <w:spacing w:before="0" w:after="283"/>
              <w:rPr/>
            </w:pPr>
            <w:r>
              <w:rPr/>
              <w:t> </w:t>
            </w:r>
          </w:p>
        </w:tc>
      </w:tr>
      <w:tr>
        <w:trPr/>
        <w:tc>
          <w:tcPr>
            <w:tcW w:w="890" w:type="dxa"/>
            <w:tcBorders>
              <w:bottom w:val="single" w:sz="12" w:space="0" w:color="000000"/>
            </w:tcBorders>
            <w:shd w:fill="auto" w:val="clear"/>
            <w:tcMar>
              <w:bottom w:w="28" w:type="dxa"/>
            </w:tcMar>
            <w:vAlign w:val="center"/>
          </w:tcPr>
          <w:p>
            <w:pPr>
              <w:pStyle w:val="TableContents"/>
              <w:spacing w:before="0" w:after="283"/>
              <w:jc w:val="left"/>
              <w:rPr>
                <w:b/>
                <w:sz w:val="16"/>
              </w:rPr>
            </w:pPr>
            <w:r>
              <w:rPr>
                <w:b/>
                <w:sz w:val="16"/>
              </w:rPr>
              <w:t>Risk Rating</w:t>
            </w:r>
          </w:p>
        </w:tc>
        <w:tc>
          <w:tcPr>
            <w:tcW w:w="180" w:type="dxa"/>
            <w:tcBorders/>
            <w:shd w:fill="auto" w:val="clear"/>
            <w:vAlign w:val="center"/>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Total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4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gridSpan w:val="2"/>
            <w:tcBorders>
              <w:bottom w:val="single" w:sz="12" w:space="0" w:color="000000"/>
            </w:tcBorders>
            <w:shd w:fill="auto" w:val="clear"/>
            <w:tcMar>
              <w:bottom w:w="28" w:type="dxa"/>
            </w:tcMar>
            <w:vAlign w:val="center"/>
          </w:tcPr>
          <w:p>
            <w:pPr>
              <w:pStyle w:val="TableContents"/>
              <w:spacing w:before="0" w:after="283"/>
              <w:jc w:val="center"/>
              <w:rPr>
                <w:b/>
                <w:sz w:val="16"/>
              </w:rPr>
            </w:pPr>
            <w:r>
              <w:rPr>
                <w:b/>
                <w:sz w:val="16"/>
              </w:rPr>
              <w:t>Total</w:t>
            </w:r>
          </w:p>
        </w:tc>
        <w:tc>
          <w:tcPr>
            <w:tcW w:w="75" w:type="dxa"/>
            <w:tcBorders/>
            <w:shd w:fill="auto" w:val="clear"/>
            <w:vAlign w:val="center"/>
          </w:tcPr>
          <w:p>
            <w:pPr>
              <w:pStyle w:val="TableContents"/>
              <w:spacing w:before="0" w:after="283"/>
              <w:rPr/>
            </w:pPr>
            <w:r>
              <w:rPr/>
              <w:t> </w:t>
            </w:r>
          </w:p>
        </w:tc>
      </w:tr>
      <w:tr>
        <w:trPr/>
        <w:tc>
          <w:tcPr>
            <w:tcW w:w="890" w:type="dxa"/>
            <w:tcBorders/>
            <w:shd w:fill="CCEEFF" w:val="clear"/>
            <w:vAlign w:val="center"/>
          </w:tcPr>
          <w:p>
            <w:pPr>
              <w:pStyle w:val="TableContents"/>
              <w:spacing w:before="0" w:after="283"/>
              <w:jc w:val="left"/>
              <w:rPr>
                <w:sz w:val="16"/>
              </w:rPr>
            </w:pPr>
            <w:r>
              <w:rPr>
                <w:sz w:val="16"/>
              </w:rPr>
              <w:t>1</w:t>
            </w:r>
          </w:p>
        </w:tc>
        <w:tc>
          <w:tcPr>
            <w:tcW w:w="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235,205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80" w:type="dxa"/>
            <w:tcBorders/>
            <w:shd w:fill="CCEEFF" w:val="clear"/>
            <w:vAlign w:val="center"/>
          </w:tcPr>
          <w:p>
            <w:pPr>
              <w:pStyle w:val="TableContents"/>
              <w:spacing w:before="0" w:after="283"/>
              <w:jc w:val="right"/>
              <w:rPr/>
            </w:pPr>
            <w:r>
              <w:rPr/>
              <w:t>     </w:t>
            </w: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80" w:type="dxa"/>
            <w:tcBorders/>
            <w:shd w:fill="CCEEFF" w:val="clear"/>
            <w:vAlign w:val="center"/>
          </w:tcPr>
          <w:p>
            <w:pPr>
              <w:pStyle w:val="TableContents"/>
              <w:spacing w:before="0" w:after="283"/>
              <w:jc w:val="right"/>
              <w:rPr/>
            </w:pPr>
            <w:r>
              <w:rPr/>
              <w:t>     </w:t>
            </w: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235,205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274,406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80" w:type="dxa"/>
            <w:tcBorders/>
            <w:shd w:fill="CCEEFF" w:val="clear"/>
            <w:vAlign w:val="center"/>
          </w:tcPr>
          <w:p>
            <w:pPr>
              <w:pStyle w:val="TableContents"/>
              <w:spacing w:before="0" w:after="283"/>
              <w:jc w:val="right"/>
              <w:rPr/>
            </w:pPr>
            <w:r>
              <w:rPr/>
              <w:t>     </w:t>
            </w: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274,406</w:t>
            </w:r>
          </w:p>
        </w:tc>
        <w:tc>
          <w:tcPr>
            <w:tcW w:w="75" w:type="dxa"/>
            <w:tcBorders/>
            <w:shd w:fill="CCEEFF" w:val="clear"/>
            <w:vAlign w:val="center"/>
          </w:tcPr>
          <w:p>
            <w:pPr>
              <w:pStyle w:val="TableContents"/>
              <w:spacing w:before="0" w:after="283"/>
              <w:jc w:val="left"/>
              <w:rPr/>
            </w:pPr>
            <w:r>
              <w:rPr/>
              <w:t> </w:t>
            </w:r>
          </w:p>
        </w:tc>
      </w:tr>
      <w:tr>
        <w:trPr/>
        <w:tc>
          <w:tcPr>
            <w:tcW w:w="890" w:type="dxa"/>
            <w:tcBorders/>
            <w:shd w:fill="auto" w:val="clear"/>
            <w:vAlign w:val="center"/>
          </w:tcPr>
          <w:p>
            <w:pPr>
              <w:pStyle w:val="TableContents"/>
              <w:spacing w:before="0" w:after="283"/>
              <w:jc w:val="left"/>
              <w:rPr>
                <w:sz w:val="16"/>
              </w:rPr>
            </w:pPr>
            <w:r>
              <w:rPr>
                <w:sz w:val="16"/>
              </w:rPr>
              <w:t>2</w:t>
            </w:r>
          </w:p>
        </w:tc>
        <w:tc>
          <w:tcPr>
            <w:tcW w:w="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sz w:val="16"/>
              </w:rPr>
            </w:pPr>
            <w:r>
              <w:rPr>
                <w:sz w:val="16"/>
              </w:rPr>
              <w:t>13,595,388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124,333,205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71,790,767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380" w:type="dxa"/>
            <w:tcBorders/>
            <w:shd w:fill="auto" w:val="cle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380" w:type="dxa"/>
            <w:tcBorders/>
            <w:shd w:fill="auto" w:val="cle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209,719,360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94,467,449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88,444,868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sz w:val="16"/>
              </w:rPr>
            </w:pPr>
            <w:r>
              <w:rPr>
                <w:sz w:val="16"/>
              </w:rPr>
              <w:t>29,140,546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380" w:type="dxa"/>
            <w:tcBorders/>
            <w:shd w:fill="auto" w:val="cle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212,052,863</w:t>
            </w:r>
          </w:p>
        </w:tc>
        <w:tc>
          <w:tcPr>
            <w:tcW w:w="75" w:type="dxa"/>
            <w:tcBorders/>
            <w:shd w:fill="auto" w:val="clear"/>
            <w:vAlign w:val="center"/>
          </w:tcPr>
          <w:p>
            <w:pPr>
              <w:pStyle w:val="TableContents"/>
              <w:spacing w:before="0" w:after="283"/>
              <w:jc w:val="left"/>
              <w:rPr/>
            </w:pPr>
            <w:r>
              <w:rPr/>
              <w:t> </w:t>
            </w:r>
          </w:p>
        </w:tc>
      </w:tr>
      <w:tr>
        <w:trPr/>
        <w:tc>
          <w:tcPr>
            <w:tcW w:w="890" w:type="dxa"/>
            <w:tcBorders/>
            <w:shd w:fill="CCEEFF" w:val="clear"/>
            <w:vAlign w:val="center"/>
          </w:tcPr>
          <w:p>
            <w:pPr>
              <w:pStyle w:val="TableContents"/>
              <w:spacing w:before="0" w:after="283"/>
              <w:jc w:val="left"/>
              <w:rPr>
                <w:sz w:val="16"/>
              </w:rPr>
            </w:pPr>
            <w:r>
              <w:rPr>
                <w:sz w:val="16"/>
              </w:rPr>
              <w:t>3</w:t>
            </w:r>
          </w:p>
        </w:tc>
        <w:tc>
          <w:tcPr>
            <w:tcW w:w="1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12,525,206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65,657,524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8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8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78,182,730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30,415,113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83,131,444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83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380" w:type="dxa"/>
            <w:tcBorders/>
            <w:shd w:fill="CCEEFF" w:val="cle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920" w:type="dxa"/>
            <w:tcBorders/>
            <w:shd w:fill="CCEEFF" w:val="clear"/>
            <w:vAlign w:val="center"/>
          </w:tcPr>
          <w:p>
            <w:pPr>
              <w:pStyle w:val="TableContents"/>
              <w:spacing w:before="0" w:after="283"/>
              <w:jc w:val="right"/>
              <w:rPr>
                <w:sz w:val="16"/>
              </w:rPr>
            </w:pPr>
            <w:r>
              <w:rPr>
                <w:sz w:val="16"/>
              </w:rPr>
              <w:t>113,546,557</w:t>
            </w:r>
          </w:p>
        </w:tc>
        <w:tc>
          <w:tcPr>
            <w:tcW w:w="75" w:type="dxa"/>
            <w:tcBorders/>
            <w:shd w:fill="CCEEFF" w:val="clear"/>
            <w:vAlign w:val="center"/>
          </w:tcPr>
          <w:p>
            <w:pPr>
              <w:pStyle w:val="TableContents"/>
              <w:spacing w:before="0" w:after="283"/>
              <w:jc w:val="left"/>
              <w:rPr/>
            </w:pPr>
            <w:r>
              <w:rPr/>
              <w:t> </w:t>
            </w:r>
          </w:p>
        </w:tc>
      </w:tr>
      <w:tr>
        <w:trPr/>
        <w:tc>
          <w:tcPr>
            <w:tcW w:w="890" w:type="dxa"/>
            <w:tcBorders/>
            <w:shd w:fill="auto" w:val="clear"/>
            <w:vAlign w:val="center"/>
          </w:tcPr>
          <w:p>
            <w:pPr>
              <w:pStyle w:val="TableContents"/>
              <w:spacing w:before="0" w:after="283"/>
              <w:jc w:val="left"/>
              <w:rPr>
                <w:sz w:val="16"/>
              </w:rPr>
            </w:pPr>
            <w:r>
              <w:rPr>
                <w:sz w:val="16"/>
              </w:rPr>
              <w:t>4</w:t>
            </w:r>
          </w:p>
        </w:tc>
        <w:tc>
          <w:tcPr>
            <w:tcW w:w="1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28,088,849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380" w:type="dxa"/>
            <w:tcBorders/>
            <w:shd w:fill="auto" w:val="cle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380" w:type="dxa"/>
            <w:tcBorders/>
            <w:shd w:fill="auto" w:val="cle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28,088,849</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13,399,712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830" w:type="dxa"/>
            <w:tcBorders/>
            <w:shd w:fill="auto" w:val="cle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380" w:type="dxa"/>
            <w:tcBorders/>
            <w:shd w:fill="auto" w:val="cle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right"/>
              <w:rPr>
                <w:sz w:val="16"/>
              </w:rPr>
            </w:pPr>
            <w:r>
              <w:rPr>
                <w:sz w:val="16"/>
              </w:rPr>
              <w:t>13,399,712</w:t>
            </w:r>
          </w:p>
        </w:tc>
        <w:tc>
          <w:tcPr>
            <w:tcW w:w="75" w:type="dxa"/>
            <w:tcBorders/>
            <w:shd w:fill="auto" w:val="clear"/>
            <w:vAlign w:val="center"/>
          </w:tcPr>
          <w:p>
            <w:pPr>
              <w:pStyle w:val="TableContents"/>
              <w:spacing w:before="0" w:after="283"/>
              <w:jc w:val="left"/>
              <w:rPr/>
            </w:pPr>
            <w:r>
              <w:rPr/>
              <w:t> </w:t>
            </w:r>
          </w:p>
        </w:tc>
      </w:tr>
      <w:tr>
        <w:trPr/>
        <w:tc>
          <w:tcPr>
            <w:tcW w:w="890" w:type="dxa"/>
            <w:tcBorders/>
            <w:shd w:fill="CCEEFF" w:val="clear"/>
            <w:vAlign w:val="center"/>
          </w:tcPr>
          <w:p>
            <w:pPr>
              <w:pStyle w:val="TableContents"/>
              <w:spacing w:before="0" w:after="283"/>
              <w:jc w:val="left"/>
              <w:rPr>
                <w:sz w:val="16"/>
              </w:rPr>
            </w:pPr>
            <w:r>
              <w:rPr>
                <w:sz w:val="16"/>
              </w:rPr>
              <w:t>5</w:t>
            </w:r>
          </w:p>
        </w:tc>
        <w:tc>
          <w:tcPr>
            <w:tcW w:w="18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spacing w:before="0" w:after="283"/>
              <w:jc w:val="right"/>
              <w:rPr>
                <w:sz w:val="16"/>
              </w:rPr>
            </w:pPr>
            <w:r>
              <w:rPr>
                <w:sz w:val="16"/>
              </w:rPr>
              <w:t>-</w:t>
            </w:r>
          </w:p>
        </w:tc>
        <w:tc>
          <w:tcPr>
            <w:tcW w:w="75" w:type="dxa"/>
            <w:tcBorders/>
            <w:shd w:fill="CCEEFF" w:val="clear"/>
            <w:vAlign w:val="center"/>
          </w:tcPr>
          <w:p>
            <w:pPr>
              <w:pStyle w:val="TableContents"/>
              <w:spacing w:before="0" w:after="283"/>
              <w:jc w:val="left"/>
              <w:rPr/>
            </w:pPr>
            <w:r>
              <w:rPr/>
              <w:t> </w:t>
            </w:r>
          </w:p>
        </w:tc>
      </w:tr>
      <w:tr>
        <w:trPr/>
        <w:tc>
          <w:tcPr>
            <w:tcW w:w="890" w:type="dxa"/>
            <w:tcBorders/>
            <w:shd w:fill="auto" w:val="clear"/>
            <w:vAlign w:val="center"/>
          </w:tcPr>
          <w:p>
            <w:pPr>
              <w:pStyle w:val="TableContents"/>
              <w:spacing w:before="0" w:after="283"/>
              <w:jc w:val="left"/>
              <w:rPr>
                <w:sz w:val="16"/>
              </w:rPr>
            </w:pPr>
            <w:r>
              <w:rPr>
                <w:sz w:val="16"/>
              </w:rPr>
              <w:t>Total</w:t>
            </w:r>
          </w:p>
        </w:tc>
        <w:tc>
          <w:tcPr>
            <w:tcW w:w="18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83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13,595,388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92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136,858,411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92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165,772,345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38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38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92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316,226,144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92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124,882,562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92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185,250,430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83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29,140,546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38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920" w:type="dxa"/>
            <w:tcBorders>
              <w:bottom w:val="double" w:sz="10" w:space="0" w:color="000000"/>
            </w:tcBorders>
            <w:shd w:fill="auto" w:val="clear"/>
            <w:tcMar>
              <w:bottom w:w="28" w:type="dxa"/>
            </w:tcMar>
            <w:vAlign w:val="center"/>
          </w:tcPr>
          <w:p>
            <w:pPr>
              <w:pStyle w:val="TableContents"/>
              <w:spacing w:before="0" w:after="283"/>
              <w:jc w:val="right"/>
              <w:rPr>
                <w:sz w:val="16"/>
              </w:rPr>
            </w:pPr>
            <w:r>
              <w:rPr>
                <w:sz w:val="16"/>
              </w:rPr>
              <w:t>339,273,538</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firstLine="360"/>
        <w:rPr>
          <w:caps w:val="false"/>
          <w:smallCaps w:val="false"/>
        </w:rPr>
      </w:pPr>
      <w:r>
        <w:rPr>
          <w:caps w:val="false"/>
          <w:smallCaps w:val="false"/>
        </w:rPr>
        <w:t> </w:t>
      </w:r>
    </w:p>
    <w:tbl>
      <w:tblPr>
        <w:tblW w:w="9685" w:type="dxa"/>
        <w:jc w:val="left"/>
        <w:tblInd w:w="0" w:type="dxa"/>
        <w:tblCellMar>
          <w:top w:w="0" w:type="dxa"/>
          <w:left w:w="0" w:type="dxa"/>
          <w:bottom w:w="0" w:type="dxa"/>
          <w:right w:w="0" w:type="dxa"/>
        </w:tblCellMar>
      </w:tblPr>
      <w:tblGrid>
        <w:gridCol w:w="260"/>
        <w:gridCol w:w="9425"/>
      </w:tblGrid>
      <w:tr>
        <w:trPr/>
        <w:tc>
          <w:tcPr>
            <w:tcW w:w="2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42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Amounts are presented by loan origination year with subsequent advances shown in the original year of origination.</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Policies and Estimates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there were no significant changes in the application of our accounting policies or estimates from those presented in our annual report on Form 10-K. Refer to Note 2 to our consolidated financial statements for the three months ended March 31, 2023, titled “</w:t>
      </w:r>
      <w:r>
        <w:rPr>
          <w:rFonts w:ascii="Times New Roman;Times;Serif" w:hAnsi="Times New Roman;Times;Serif"/>
          <w:b w:val="false"/>
          <w:i/>
          <w:caps w:val="false"/>
          <w:smallCaps w:val="false"/>
          <w:sz w:val="20"/>
        </w:rPr>
        <w:t>Significant Accounting Policies</w:t>
      </w:r>
      <w:r>
        <w:rPr>
          <w:rFonts w:ascii="Times New Roman;Times;Serif" w:hAnsi="Times New Roman;Times;Serif"/>
          <w:b w:val="false"/>
          <w:i w:val="false"/>
          <w:caps w:val="false"/>
          <w:smallCaps w:val="false"/>
          <w:sz w:val="20"/>
        </w:rPr>
        <w:t>” for information on recent accounting pronouncements.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r>
        <w:rPr>
          <w:rFonts w:ascii="Times New Roman;Times;Serif" w:hAnsi="Times New Roman;Times;Serif"/>
          <w:b w:val="false"/>
          <w:i w:val="false"/>
          <w:caps w:val="false"/>
          <w:smallCaps w:val="false"/>
          <w:sz w:val="20"/>
        </w:rPr>
        <w:t> </w:t>
      </w:r>
    </w:p>
    <w:p>
      <w:pPr>
        <w:pStyle w:val="TextBody"/>
        <w:spacing w:before="0" w:after="0"/>
        <w:ind w:left="0" w:right="0" w:firstLine="720"/>
        <w:rPr>
          <w:caps w:val="false"/>
          <w:smallCaps w:val="false"/>
        </w:rPr>
      </w:pPr>
      <w:r>
        <w:rPr>
          <w:caps w:val="false"/>
          <w:smallCaps w:val="false"/>
        </w:rPr>
        <w:t> </w:t>
      </w:r>
    </w:p>
    <w:p>
      <w:pPr>
        <w:pStyle w:val="TextBody"/>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risks in the ordinary course of our business. These risks primarily relate to fluctuations in interest rates. Our loans are typically valued using a yield analysis, which is typically performed for performing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March 31, 2023, we had 21 floating-rate loans, representing approximately 88.0% of our loan portfolio based on aggregate outstanding principal balances, subject to a Prime Rate floor. We estimate that a hypothetical 100 basis points increase in the Prime Rate would result in an increase in annual interest income of approximately $2.7 million and a 100 basis points decrease in the Prime Rate would result in a decrease in annual interest income of approximately $2.7 million. Our loans generally have a Prime Rate floor of 3.25%.</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Revolving Loan is exposed to similar market risks. Changes in market rates may change the fair value of our Revolving Loan as our loan bears interest at the great of (1) the Prime Rate plus the applicable margin and (2) 3.25%. As of March 31, 2023, we had an outstanding balance of $37.5 million under the Revolving Loan. We estimate that a hypothetical 100 basis points increase in the Prime Rate would result in an increase in annual interest expense of approximately $0.4 million and a 100 basis points decrease in the Prime Rate would result in a decrease in annual interest expense of approximately $0.4 million.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Market Interest Rates and Effect on Net Interest Income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manage our portfolio through an interactive process with our Manager and service our self-originated loans through our Manager’s servicer;</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invest in a mix of floating-rate and fixed-rate loans to mitigate the interest rate risk associated with the financing of our portfolio;</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Conditions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pStyle w:val="TextBody"/>
        <w:spacing w:before="0" w:after="0"/>
        <w:ind w:left="0" w:right="0" w:firstLine="930"/>
        <w:jc w:val="left"/>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March 31, 2023, 86% of our portfolio is fully secured by real estate and 14% has limited or no real estate collateral. Our portfolio on average had real estate collateral coverage of 1.6x as of March 31, 2023, and all of our loans are secured by equity pledges of the borrower and all asset liens. As of March 31, 2022, 94% of our portfolio was fully secured by real estate and 6% had limited or no real estate collateral. Our portfolio on average had real estate collateral coverage of 1.9x as of March 31, 2022 and all of our loans were secured by equity pledges of the borrower and all asset liens.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Risk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For additional information regarding the credit risk associated with our loans and interest receivables, see “</w:t>
      </w:r>
      <w:r>
        <w:rPr>
          <w:rFonts w:ascii="Times New Roman;Times;Serif" w:hAnsi="Times New Roman;Times;Serif"/>
          <w:b w:val="false"/>
          <w:i/>
          <w:caps w:val="false"/>
          <w:smallCaps w:val="false"/>
          <w:sz w:val="20"/>
        </w:rPr>
        <w:t xml:space="preserve">Risk Factors— Loans to relatively new and/or small companies and companies operating in the cannabis industry generally involve significant risks” </w:t>
      </w:r>
      <w:r>
        <w:rPr>
          <w:rFonts w:ascii="Times New Roman;Times;Serif" w:hAnsi="Times New Roman;Times;Serif"/>
          <w:b w:val="false"/>
          <w:i w:val="false"/>
          <w:caps w:val="false"/>
          <w:smallCaps w:val="false"/>
          <w:sz w:val="20"/>
        </w:rPr>
        <w:t>in our Annual Report on Form 10-K for the year ended December 31, 2022.</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loan portfolio as of March 31, 2023 and December 31, 2022, was concentrated with the top three borrowers representing approximately 31.4% and 29.4% of the funded principal and approximately 29.8% and 27.9% of the total commitments to borrowers, respectively. As of March 31, 2023 and 2022, the top three borrowers represented approximately 25.9% and 29.8% of the total interest income, respectively. The largest loan represented approximately 11.7% and 10.9% of the funded principal and approximately 10.9% and 10.2% of the total commitments as of March 31, 2023 and December 31, 2022, respectively.</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Estate Risk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(as defined in Rules 13a-15€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CEO and Interim CFO, to allow timely decisions regarding required disclosures. Any controls and procedures, no matter how well designed and operated, can provide only reasonable assurance of achieving the desired control objectives.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this quarterly report on Form 10-Q, our management, including the CEO and Interim CFO, evaluated the effectiveness of the design and operation of our disclosure controls and procedures as of March 31, 2023. Based on that evaluation, our CEO and Interim CFO have concluded that our disclosure controls and procedures were effective at the reasonable assurance level as of March 31, 2023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CEO and Interim CFO, to allow timely decisions regarding required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and 15d-15(f) under the Exchange Act) during the quarter ended March 31, 2023 that have materially affected, or that are reasonably likely to materially affect, our internal control over financial reporting.</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may be subject to various legal proceedings from time to time. We are not party to any material pending legal proceedings required to be disclosed pursuant to Item 103 of Regulation S-K.</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r>
        <w:rPr>
          <w:rFonts w:ascii="Times New Roman;Times;Serif" w:hAnsi="Times New Roman;Times;Serif"/>
          <w:b w:val="false"/>
          <w:i w:val="false"/>
          <w:caps w:val="false"/>
          <w:smallCaps w:val="false"/>
          <w:sz w:val="20"/>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set forth in this report, you should carefully consider the factors discussed in Part I, “Item 1A. Risk Factors” in our Annual Report on Form 10-K for the year ended December 31, 2022,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2022.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macroeconomic trends, including inflation and rising interest rates, may adversely affect our business, financial condition and results of operations.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inflation in the United States has remained at an elevated level and is currently expected to continue at an elevated level in the near-term. Rising inflation could have an adverse impact on any variable rate debt we may incur in the future, and our general and administrative expenses, as these costs could increase at a rate higher than our interest income and other revenue. The Federal Reserve has raised interest rates multiple times since March 2022 to combat inflation and restore price stability and rates may continue to rise throughout 2023. To the extent our borrowing costs increase faster than the interest income earned from our floating-rate loans, such increases may adversely affect our cash flows.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3. Defaults Upon Senior Securities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4. Mine Safety Disclosures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5. Other Information</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6. Exhibits</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Exhibit No.</w:t>
            </w:r>
          </w:p>
        </w:tc>
        <w:tc>
          <w:tcPr>
            <w:tcW w:w="60" w:type="dxa"/>
            <w:tcBorders/>
            <w:shd w:fill="auto" w:val="clear"/>
            <w:tcMar>
              <w:bottom w:w="0" w:type="dxa"/>
            </w:tcMar>
            <w:vAlign w:val="center"/>
          </w:tcPr>
          <w:p>
            <w:pPr>
              <w:pStyle w:val="TableContents"/>
              <w:spacing w:before="0" w:after="283"/>
              <w:rPr/>
            </w:pPr>
            <w:r>
              <w:rPr/>
              <w:t> </w:t>
            </w:r>
          </w:p>
        </w:tc>
        <w:tc>
          <w:tcPr>
            <w:tcW w:w="9150" w:type="dxa"/>
            <w:tcBorders>
              <w:bottom w:val="single" w:sz="1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Description of Exhibits</w:t>
            </w:r>
          </w:p>
        </w:tc>
      </w:tr>
      <w:tr>
        <w:trPr/>
        <w:tc>
          <w:tcPr>
            <w:tcW w:w="9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spacing w:before="0" w:after="283"/>
              <w:rPr/>
            </w:pPr>
            <w:r>
              <w:rPr/>
              <w:t> </w:t>
            </w:r>
          </w:p>
        </w:tc>
        <w:tc>
          <w:tcPr>
            <w:tcW w:w="9150" w:type="dxa"/>
            <w:tcBorders/>
            <w:shd w:fill="CCEEFF" w:val="clear"/>
            <w:tcMar>
              <w:bottom w:w="0" w:type="dxa"/>
            </w:tcMar>
            <w:vAlign w:val="center"/>
          </w:tcPr>
          <w:p>
            <w:pPr>
              <w:pStyle w:val="TableContents"/>
              <w:spacing w:before="0" w:after="283"/>
              <w:rPr/>
            </w:pPr>
            <w:hyperlink w:anchor="f10q0323ex31-1_chicago.htm">
              <w:r>
                <w:rPr>
                  <w:rStyle w:val="InternetLink"/>
                  <w:rFonts w:ascii="Times New Roman;Times;Serif" w:hAnsi="Times New Roman;Times;Serif"/>
                  <w:sz w:val="20"/>
                </w:rPr>
                <w:t>Certification of Chief Executive Officer pursuant to Section 302 of the Sarbanes-Oxley Act of 2002.</w:t>
              </w:r>
            </w:hyperlink>
          </w:p>
        </w:tc>
      </w:tr>
      <w:tr>
        <w:trPr/>
        <w:tc>
          <w:tcPr>
            <w:tcW w:w="99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31.2*</w:t>
            </w:r>
          </w:p>
        </w:tc>
        <w:tc>
          <w:tcPr>
            <w:tcW w:w="60" w:type="dxa"/>
            <w:tcBorders/>
            <w:shd w:fill="auto" w:val="clear"/>
            <w:tcMar>
              <w:bottom w:w="0" w:type="dxa"/>
            </w:tcMar>
            <w:vAlign w:val="center"/>
          </w:tcPr>
          <w:p>
            <w:pPr>
              <w:pStyle w:val="TableContents"/>
              <w:spacing w:before="0" w:after="283"/>
              <w:rPr/>
            </w:pPr>
            <w:r>
              <w:rPr/>
              <w:t> </w:t>
            </w:r>
          </w:p>
        </w:tc>
        <w:tc>
          <w:tcPr>
            <w:tcW w:w="9150" w:type="dxa"/>
            <w:tcBorders/>
            <w:shd w:fill="auto" w:val="clear"/>
            <w:tcMar>
              <w:bottom w:w="0" w:type="dxa"/>
            </w:tcMar>
            <w:vAlign w:val="center"/>
          </w:tcPr>
          <w:p>
            <w:pPr>
              <w:pStyle w:val="TableContents"/>
              <w:spacing w:before="0" w:after="283"/>
              <w:rPr/>
            </w:pPr>
            <w:hyperlink w:anchor="f10q0323ex31-2_chicago.htm">
              <w:r>
                <w:rPr>
                  <w:rStyle w:val="InternetLink"/>
                  <w:rFonts w:ascii="Times New Roman;Times;Serif" w:hAnsi="Times New Roman;Times;Serif"/>
                  <w:sz w:val="20"/>
                </w:rPr>
                <w:t>Certification of Interim Chief Financial Officer pursuant to Section 302 of the Sarbanes-Oxley Act of 2002.</w:t>
              </w:r>
            </w:hyperlink>
          </w:p>
        </w:tc>
      </w:tr>
      <w:tr>
        <w:trPr/>
        <w:tc>
          <w:tcPr>
            <w:tcW w:w="9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tcMar>
              <w:bottom w:w="0" w:type="dxa"/>
            </w:tcMar>
            <w:vAlign w:val="center"/>
          </w:tcPr>
          <w:p>
            <w:pPr>
              <w:pStyle w:val="TableContents"/>
              <w:spacing w:before="0" w:after="283"/>
              <w:rPr/>
            </w:pPr>
            <w:r>
              <w:rPr/>
              <w:t> </w:t>
            </w:r>
          </w:p>
        </w:tc>
        <w:tc>
          <w:tcPr>
            <w:tcW w:w="9150" w:type="dxa"/>
            <w:tcBorders/>
            <w:shd w:fill="CCEEFF" w:val="clear"/>
            <w:tcMar>
              <w:bottom w:w="0" w:type="dxa"/>
            </w:tcMar>
            <w:vAlign w:val="center"/>
          </w:tcPr>
          <w:p>
            <w:pPr>
              <w:pStyle w:val="TableContents"/>
              <w:spacing w:before="0" w:after="283"/>
              <w:rPr/>
            </w:pPr>
            <w:hyperlink w:anchor="f10q0323ex32-1_chicago.htm">
              <w:r>
                <w:rPr>
                  <w:rStyle w:val="InternetLink"/>
                  <w:rFonts w:ascii="Times New Roman;Times;Serif" w:hAnsi="Times New Roman;Times;Serif"/>
                  <w:sz w:val="20"/>
                </w:rPr>
                <w:t>Certification of Chief Executive Officer pursuant to Section 906 of the Sarbanes-Oxley Act of 2002.</w:t>
              </w:r>
            </w:hyperlink>
          </w:p>
        </w:tc>
      </w:tr>
      <w:tr>
        <w:trPr/>
        <w:tc>
          <w:tcPr>
            <w:tcW w:w="99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32.2*</w:t>
            </w:r>
          </w:p>
        </w:tc>
        <w:tc>
          <w:tcPr>
            <w:tcW w:w="60" w:type="dxa"/>
            <w:tcBorders/>
            <w:shd w:fill="auto" w:val="clear"/>
            <w:tcMar>
              <w:bottom w:w="0" w:type="dxa"/>
            </w:tcMar>
            <w:vAlign w:val="center"/>
          </w:tcPr>
          <w:p>
            <w:pPr>
              <w:pStyle w:val="TableContents"/>
              <w:spacing w:before="0" w:after="283"/>
              <w:rPr/>
            </w:pPr>
            <w:r>
              <w:rPr/>
              <w:t> </w:t>
            </w:r>
          </w:p>
        </w:tc>
        <w:tc>
          <w:tcPr>
            <w:tcW w:w="9150" w:type="dxa"/>
            <w:tcBorders/>
            <w:shd w:fill="auto" w:val="clear"/>
            <w:tcMar>
              <w:bottom w:w="0" w:type="dxa"/>
            </w:tcMar>
            <w:vAlign w:val="center"/>
          </w:tcPr>
          <w:p>
            <w:pPr>
              <w:pStyle w:val="TableContents"/>
              <w:spacing w:before="0" w:after="283"/>
              <w:rPr/>
            </w:pPr>
            <w:hyperlink w:anchor="f10q0323ex32-2_chicago.htm">
              <w:r>
                <w:rPr>
                  <w:rStyle w:val="InternetLink"/>
                  <w:rFonts w:ascii="Times New Roman;Times;Serif" w:hAnsi="Times New Roman;Times;Serif"/>
                  <w:sz w:val="20"/>
                </w:rPr>
                <w:t>Certification of Interim Chief Financial Officer pursuant to Section 906 of the Sarbanes-Oxley Act of 2002.</w:t>
              </w:r>
            </w:hyperlink>
          </w:p>
        </w:tc>
      </w:tr>
      <w:tr>
        <w:trPr/>
        <w:tc>
          <w:tcPr>
            <w:tcW w:w="9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101.INS*</w:t>
            </w:r>
          </w:p>
        </w:tc>
        <w:tc>
          <w:tcPr>
            <w:tcW w:w="60" w:type="dxa"/>
            <w:tcBorders/>
            <w:shd w:fill="CCEEFF" w:val="clear"/>
            <w:tcMar>
              <w:bottom w:w="0" w:type="dxa"/>
            </w:tcMar>
            <w:vAlign w:val="center"/>
          </w:tcPr>
          <w:p>
            <w:pPr>
              <w:pStyle w:val="TableContents"/>
              <w:spacing w:before="0" w:after="283"/>
              <w:rPr/>
            </w:pPr>
            <w:r>
              <w:rPr/>
              <w:t> </w:t>
            </w:r>
          </w:p>
        </w:tc>
        <w:tc>
          <w:tcPr>
            <w:tcW w:w="915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99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101.SCH*</w:t>
            </w:r>
          </w:p>
        </w:tc>
        <w:tc>
          <w:tcPr>
            <w:tcW w:w="60" w:type="dxa"/>
            <w:tcBorders/>
            <w:shd w:fill="auto" w:val="clear"/>
            <w:tcMar>
              <w:bottom w:w="0" w:type="dxa"/>
            </w:tcMar>
            <w:vAlign w:val="center"/>
          </w:tcPr>
          <w:p>
            <w:pPr>
              <w:pStyle w:val="TableContents"/>
              <w:spacing w:before="0" w:after="283"/>
              <w:rPr/>
            </w:pPr>
            <w:r>
              <w:rPr/>
              <w:t> </w:t>
            </w:r>
          </w:p>
        </w:tc>
        <w:tc>
          <w:tcPr>
            <w:tcW w:w="91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101.CAL*</w:t>
            </w:r>
          </w:p>
        </w:tc>
        <w:tc>
          <w:tcPr>
            <w:tcW w:w="60" w:type="dxa"/>
            <w:tcBorders/>
            <w:shd w:fill="CCEEFF" w:val="clear"/>
            <w:tcMar>
              <w:bottom w:w="0" w:type="dxa"/>
            </w:tcMar>
            <w:vAlign w:val="center"/>
          </w:tcPr>
          <w:p>
            <w:pPr>
              <w:pStyle w:val="TableContents"/>
              <w:spacing w:before="0" w:after="283"/>
              <w:rPr/>
            </w:pPr>
            <w:r>
              <w:rPr/>
              <w:t> </w:t>
            </w:r>
          </w:p>
        </w:tc>
        <w:tc>
          <w:tcPr>
            <w:tcW w:w="915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9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101.LAB*</w:t>
            </w:r>
          </w:p>
        </w:tc>
        <w:tc>
          <w:tcPr>
            <w:tcW w:w="60" w:type="dxa"/>
            <w:tcBorders/>
            <w:shd w:fill="auto" w:val="clear"/>
            <w:tcMar>
              <w:bottom w:w="0" w:type="dxa"/>
            </w:tcMar>
            <w:vAlign w:val="center"/>
          </w:tcPr>
          <w:p>
            <w:pPr>
              <w:pStyle w:val="TableContents"/>
              <w:spacing w:before="0" w:after="283"/>
              <w:rPr/>
            </w:pPr>
            <w:r>
              <w:rPr/>
              <w:t> </w:t>
            </w:r>
          </w:p>
        </w:tc>
        <w:tc>
          <w:tcPr>
            <w:tcW w:w="91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101.PRE*</w:t>
            </w:r>
          </w:p>
        </w:tc>
        <w:tc>
          <w:tcPr>
            <w:tcW w:w="60" w:type="dxa"/>
            <w:tcBorders/>
            <w:shd w:fill="CCEEFF" w:val="clear"/>
            <w:tcMar>
              <w:bottom w:w="0" w:type="dxa"/>
            </w:tcMar>
            <w:vAlign w:val="center"/>
          </w:tcPr>
          <w:p>
            <w:pPr>
              <w:pStyle w:val="TableContents"/>
              <w:spacing w:before="0" w:after="283"/>
              <w:rPr/>
            </w:pPr>
            <w:r>
              <w:rPr/>
              <w:t> </w:t>
            </w:r>
          </w:p>
        </w:tc>
        <w:tc>
          <w:tcPr>
            <w:tcW w:w="915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9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101.DEF*</w:t>
            </w:r>
          </w:p>
        </w:tc>
        <w:tc>
          <w:tcPr>
            <w:tcW w:w="60" w:type="dxa"/>
            <w:tcBorders/>
            <w:shd w:fill="auto" w:val="clear"/>
            <w:tcMar>
              <w:bottom w:w="0" w:type="dxa"/>
            </w:tcMar>
            <w:vAlign w:val="center"/>
          </w:tcPr>
          <w:p>
            <w:pPr>
              <w:pStyle w:val="TableContents"/>
              <w:spacing w:before="0" w:after="283"/>
              <w:rPr/>
            </w:pPr>
            <w:r>
              <w:rPr/>
              <w:t> </w:t>
            </w:r>
          </w:p>
        </w:tc>
        <w:tc>
          <w:tcPr>
            <w:tcW w:w="9150"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9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spacing w:before="0" w:after="283"/>
              <w:rPr/>
            </w:pPr>
            <w:r>
              <w:rPr/>
              <w:t> </w:t>
            </w:r>
          </w:p>
        </w:tc>
        <w:tc>
          <w:tcPr>
            <w:tcW w:w="9150"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spacing w:before="0" w:after="0"/>
        <w:ind w:left="0" w:right="0" w:firstLine="720"/>
        <w:rPr>
          <w:caps w:val="false"/>
          <w:smallCaps w:val="false"/>
        </w:rPr>
      </w:pPr>
      <w:r>
        <w:rPr>
          <w:caps w:val="false"/>
          <w:smallCaps w:val="false"/>
        </w:rPr>
        <w:t> </w:t>
      </w:r>
    </w:p>
    <w:tbl>
      <w:tblPr>
        <w:tblW w:w="1810" w:type="dxa"/>
        <w:jc w:val="left"/>
        <w:tblInd w:w="0" w:type="dxa"/>
        <w:tblCellMar>
          <w:top w:w="0" w:type="dxa"/>
          <w:left w:w="0" w:type="dxa"/>
          <w:bottom w:w="0" w:type="dxa"/>
          <w:right w:w="0" w:type="dxa"/>
        </w:tblCellMar>
      </w:tblPr>
      <w:tblGrid>
        <w:gridCol w:w="140"/>
        <w:gridCol w:w="1670"/>
      </w:tblGrid>
      <w:tr>
        <w:trPr/>
        <w:tc>
          <w:tcPr>
            <w:tcW w:w="14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w:t>
            </w:r>
          </w:p>
        </w:tc>
        <w:tc>
          <w:tcPr>
            <w:tcW w:w="167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Furnished herewith</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w:t>
      </w:r>
    </w:p>
    <w:p>
      <w:pPr>
        <w:pStyle w:val="TextBody"/>
        <w:spacing w:before="0" w:after="0"/>
        <w:ind w:left="0" w:right="0" w:firstLine="720"/>
        <w:rPr>
          <w:caps w:val="false"/>
          <w:smallCaps w:val="false"/>
        </w:rPr>
      </w:pPr>
      <w:r>
        <w:rPr>
          <w:caps w:val="false"/>
          <w:smallCaps w:val="false"/>
        </w:rPr>
        <w:t> </w:t>
      </w:r>
    </w:p>
    <w:tbl>
      <w:tblPr>
        <w:tblW w:w="6489" w:type="dxa"/>
        <w:jc w:val="left"/>
        <w:tblInd w:w="0" w:type="dxa"/>
        <w:tblCellMar>
          <w:top w:w="0" w:type="dxa"/>
          <w:left w:w="0" w:type="dxa"/>
          <w:bottom w:w="0" w:type="dxa"/>
          <w:right w:w="0" w:type="dxa"/>
        </w:tblCellMar>
      </w:tblPr>
      <w:tblGrid>
        <w:gridCol w:w="1655"/>
        <w:gridCol w:w="577"/>
        <w:gridCol w:w="4257"/>
      </w:tblGrid>
      <w:tr>
        <w:trPr/>
        <w:tc>
          <w:tcPr>
            <w:tcW w:w="1655" w:type="dxa"/>
            <w:tcBorders/>
            <w:shd w:fill="auto" w:val="clear"/>
            <w:vAlign w:val="center"/>
          </w:tcPr>
          <w:p>
            <w:pPr>
              <w:pStyle w:val="TableContents"/>
              <w:spacing w:before="0" w:after="283"/>
              <w:rPr/>
            </w:pPr>
            <w:r>
              <w:rPr/>
              <w:t> </w:t>
            </w:r>
          </w:p>
        </w:tc>
        <w:tc>
          <w:tcPr>
            <w:tcW w:w="4834"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CHICAGO ATLANTIC REAL ESTATE FINANCE, INC.</w:t>
            </w:r>
          </w:p>
        </w:tc>
      </w:tr>
      <w:tr>
        <w:trPr/>
        <w:tc>
          <w:tcPr>
            <w:tcW w:w="1655" w:type="dxa"/>
            <w:tcBorders/>
            <w:shd w:fill="auto" w:val="clear"/>
            <w:vAlign w:val="center"/>
          </w:tcPr>
          <w:p>
            <w:pPr>
              <w:pStyle w:val="TableContents"/>
              <w:spacing w:before="0" w:after="283"/>
              <w:rPr/>
            </w:pPr>
            <w:r>
              <w:rPr/>
              <w:t> </w:t>
            </w:r>
          </w:p>
        </w:tc>
        <w:tc>
          <w:tcPr>
            <w:tcW w:w="4834"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Dated: May 9, 2023</w:t>
            </w:r>
          </w:p>
        </w:tc>
        <w:tc>
          <w:tcPr>
            <w:tcW w:w="57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4257"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Anthony Cappell</w:t>
            </w:r>
          </w:p>
        </w:tc>
      </w:tr>
      <w:tr>
        <w:trPr/>
        <w:tc>
          <w:tcPr>
            <w:tcW w:w="1655" w:type="dxa"/>
            <w:tcBorders/>
            <w:shd w:fill="auto" w:val="clear"/>
            <w:vAlign w:val="center"/>
          </w:tcPr>
          <w:p>
            <w:pPr>
              <w:pStyle w:val="TableContents"/>
              <w:spacing w:before="0" w:after="283"/>
              <w:rPr/>
            </w:pPr>
            <w:r>
              <w:rPr/>
              <w:t> </w:t>
            </w:r>
          </w:p>
        </w:tc>
        <w:tc>
          <w:tcPr>
            <w:tcW w:w="577" w:type="dxa"/>
            <w:tcBorders/>
            <w:shd w:fill="auto" w:val="clear"/>
            <w:vAlign w:val="center"/>
          </w:tcPr>
          <w:p>
            <w:pPr>
              <w:pStyle w:val="TableContents"/>
              <w:spacing w:before="0" w:after="283"/>
              <w:rPr/>
            </w:pPr>
            <w:r>
              <w:rPr/>
              <w:t> </w:t>
            </w:r>
          </w:p>
        </w:tc>
        <w:tc>
          <w:tcPr>
            <w:tcW w:w="42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Anthony Cappell</w:t>
            </w:r>
          </w:p>
        </w:tc>
      </w:tr>
      <w:tr>
        <w:trPr/>
        <w:tc>
          <w:tcPr>
            <w:tcW w:w="1655" w:type="dxa"/>
            <w:tcBorders/>
            <w:shd w:fill="auto" w:val="clear"/>
            <w:vAlign w:val="center"/>
          </w:tcPr>
          <w:p>
            <w:pPr>
              <w:pStyle w:val="TableContents"/>
              <w:spacing w:before="0" w:after="283"/>
              <w:rPr/>
            </w:pPr>
            <w:r>
              <w:rPr/>
              <w:t> </w:t>
            </w:r>
          </w:p>
        </w:tc>
        <w:tc>
          <w:tcPr>
            <w:tcW w:w="577" w:type="dxa"/>
            <w:tcBorders/>
            <w:shd w:fill="auto" w:val="clear"/>
            <w:vAlign w:val="center"/>
          </w:tcPr>
          <w:p>
            <w:pPr>
              <w:pStyle w:val="TableContents"/>
              <w:spacing w:before="0" w:after="283"/>
              <w:rPr/>
            </w:pPr>
            <w:r>
              <w:rPr/>
              <w:t> </w:t>
            </w:r>
          </w:p>
        </w:tc>
        <w:tc>
          <w:tcPr>
            <w:tcW w:w="42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r>
        <w:trPr/>
        <w:tc>
          <w:tcPr>
            <w:tcW w:w="1655" w:type="dxa"/>
            <w:tcBorders/>
            <w:shd w:fill="auto" w:val="clear"/>
            <w:vAlign w:val="center"/>
          </w:tcPr>
          <w:p>
            <w:pPr>
              <w:pStyle w:val="TableContents"/>
              <w:spacing w:before="0" w:after="283"/>
              <w:rPr/>
            </w:pPr>
            <w:r>
              <w:rPr/>
              <w:t> </w:t>
            </w:r>
          </w:p>
        </w:tc>
        <w:tc>
          <w:tcPr>
            <w:tcW w:w="577" w:type="dxa"/>
            <w:tcBorders/>
            <w:shd w:fill="auto" w:val="clear"/>
            <w:vAlign w:val="center"/>
          </w:tcPr>
          <w:p>
            <w:pPr>
              <w:pStyle w:val="TableContents"/>
              <w:spacing w:before="0" w:after="283"/>
              <w:rPr/>
            </w:pPr>
            <w:r>
              <w:rPr/>
              <w:t> </w:t>
            </w:r>
          </w:p>
        </w:tc>
        <w:tc>
          <w:tcPr>
            <w:tcW w:w="42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Executive Officer)</w:t>
            </w:r>
          </w:p>
        </w:tc>
      </w:tr>
    </w:tbl>
    <w:p>
      <w:pPr>
        <w:pStyle w:val="TextBody"/>
        <w:spacing w:before="0" w:after="0"/>
        <w:ind w:left="0" w:right="0" w:firstLine="720"/>
        <w:rPr>
          <w:caps w:val="false"/>
          <w:smallCaps w:val="false"/>
        </w:rPr>
      </w:pPr>
      <w:r>
        <w:rPr>
          <w:caps w:val="false"/>
          <w:smallCaps w:val="false"/>
        </w:rPr>
        <w:t> </w:t>
      </w:r>
    </w:p>
    <w:tbl>
      <w:tblPr>
        <w:tblW w:w="5625" w:type="dxa"/>
        <w:jc w:val="left"/>
        <w:tblInd w:w="0" w:type="dxa"/>
        <w:tblCellMar>
          <w:top w:w="0" w:type="dxa"/>
          <w:left w:w="0" w:type="dxa"/>
          <w:bottom w:w="0" w:type="dxa"/>
          <w:right w:w="0" w:type="dxa"/>
        </w:tblCellMar>
      </w:tblPr>
      <w:tblGrid>
        <w:gridCol w:w="1655"/>
        <w:gridCol w:w="320"/>
        <w:gridCol w:w="3650"/>
      </w:tblGrid>
      <w:tr>
        <w:trPr/>
        <w:tc>
          <w:tcPr>
            <w:tcW w:w="165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9, 2023</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Phillip Silverman</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Phillip Silverman</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Interim Chief Financial Officer</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6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p>
      <w:pPr>
        <w:pStyle w:val="TextBody"/>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center"/>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0" w:name="f10q0323ex31-1_chicago.htm"/>
      <w:bookmarkStart w:id="21" w:name="ksf10q0323ex311_chicago"/>
      <w:bookmarkEnd w:id="20"/>
      <w:bookmarkEnd w:id="21"/>
      <w:r>
        <w:rPr>
          <w:rFonts w:ascii="Times New Roman;Times;Serif" w:hAnsi="Times New Roman;Times;Serif"/>
          <w:b/>
          <w:i w:val="false"/>
          <w:caps w:val="false"/>
          <w:smallCaps w:val="false"/>
          <w:sz w:val="20"/>
        </w:rPr>
        <w:t>Exhibit 31.1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spacing w:before="0" w:after="0"/>
        <w:ind w:left="20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Anthony Cappell, Chief Executive Officer of Chicago Atlantic Real Estate Finance, Inc., certify that:</w:t>
      </w:r>
    </w:p>
    <w:p>
      <w:pPr>
        <w:pStyle w:val="TextBody"/>
        <w:spacing w:before="0" w:after="0"/>
        <w:ind w:left="1160" w:right="0" w:hanging="480"/>
        <w:rPr>
          <w:caps w:val="false"/>
          <w:smallCaps w:val="false"/>
        </w:rPr>
      </w:pPr>
      <w:r>
        <w:rPr>
          <w:caps w:val="false"/>
          <w:smallCaps w:val="false"/>
        </w:rPr>
        <w:t> </w:t>
      </w:r>
    </w:p>
    <w:tbl>
      <w:tblPr>
        <w:tblW w:w="8065" w:type="dxa"/>
        <w:jc w:val="left"/>
        <w:tblInd w:w="0" w:type="dxa"/>
        <w:tblCellMar>
          <w:top w:w="0" w:type="dxa"/>
          <w:left w:w="0" w:type="dxa"/>
          <w:bottom w:w="0" w:type="dxa"/>
          <w:right w:w="0" w:type="dxa"/>
        </w:tblCellMar>
      </w:tblPr>
      <w:tblGrid>
        <w:gridCol w:w="185"/>
        <w:gridCol w:w="7880"/>
      </w:tblGrid>
      <w:tr>
        <w:trPr/>
        <w:tc>
          <w:tcPr>
            <w:tcW w:w="1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788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Chicago Atlantic Real Estate Finance, Inc.;</w:t>
            </w:r>
          </w:p>
        </w:tc>
      </w:tr>
    </w:tbl>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4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29"/>
        <w:gridCol w:w="10001"/>
      </w:tblGrid>
      <w:tr>
        <w:trPr/>
        <w:tc>
          <w:tcPr>
            <w:tcW w:w="7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00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4"/>
        <w:gridCol w:w="9986"/>
      </w:tblGrid>
      <w:tr>
        <w:trPr/>
        <w:tc>
          <w:tcPr>
            <w:tcW w:w="7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86" w:type="dxa"/>
            <w:tcBorders/>
            <w:shd w:fill="auto" w:val="clear"/>
            <w:vAlign w:val="center"/>
          </w:tcPr>
          <w:p>
            <w:pPr>
              <w:pStyle w:val="TableContents"/>
              <w:spacing w:before="0" w:after="283"/>
              <w:rPr>
                <w:rFonts w:ascii="Times New Roman;Times;Serif" w:hAnsi="Times New Roman;Times;Serif"/>
                <w:sz w:val="20"/>
                <w:highlight w:val="white"/>
              </w:rPr>
            </w:pPr>
            <w:r>
              <w:rPr>
                <w:rFonts w:ascii="Times New Roman;Times;Serif" w:hAnsi="Times New Roman;Times;Serif"/>
                <w:sz w:val="20"/>
                <w:highlight w:val="white"/>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5"/>
        <w:gridCol w:w="9995"/>
      </w:tblGrid>
      <w:tr>
        <w:trPr/>
        <w:tc>
          <w:tcPr>
            <w:tcW w:w="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4"/>
        <w:gridCol w:w="9986"/>
      </w:tblGrid>
      <w:tr>
        <w:trPr/>
        <w:tc>
          <w:tcPr>
            <w:tcW w:w="7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8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4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7"/>
        <w:gridCol w:w="9993"/>
      </w:tblGrid>
      <w:tr>
        <w:trPr/>
        <w:tc>
          <w:tcPr>
            <w:tcW w:w="75"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67"/>
        <w:gridCol w:w="9963"/>
      </w:tblGrid>
      <w:tr>
        <w:trPr/>
        <w:tc>
          <w:tcPr>
            <w:tcW w:w="75"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4875" w:type="dxa"/>
        <w:jc w:val="left"/>
        <w:tblInd w:w="0" w:type="dxa"/>
        <w:tblCellMar>
          <w:top w:w="0" w:type="dxa"/>
          <w:left w:w="0" w:type="dxa"/>
          <w:bottom w:w="0" w:type="dxa"/>
          <w:right w:w="0" w:type="dxa"/>
        </w:tblCellMar>
      </w:tblPr>
      <w:tblGrid>
        <w:gridCol w:w="1550"/>
        <w:gridCol w:w="320"/>
        <w:gridCol w:w="3005"/>
      </w:tblGrid>
      <w:tr>
        <w:trPr/>
        <w:tc>
          <w:tcPr>
            <w:tcW w:w="15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May 9, 2023</w:t>
            </w:r>
          </w:p>
        </w:tc>
        <w:tc>
          <w:tcPr>
            <w:tcW w:w="3325" w:type="dxa"/>
            <w:gridSpan w:val="2"/>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3325" w:type="dxa"/>
            <w:gridSpan w:val="2"/>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0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Anthony Cappell</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0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Cappell</w:t>
              <w:br/>
              <w:t>Chief Executive Officer and Director</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bl>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2" w:name="f10q0323ex31-2_chicago.htm"/>
      <w:bookmarkStart w:id="23" w:name="ksf10q0323ex312_chicago"/>
      <w:bookmarkEnd w:id="22"/>
      <w:bookmarkEnd w:id="23"/>
      <w:r>
        <w:rPr>
          <w:rFonts w:ascii="Times New Roman;Times;Serif" w:hAnsi="Times New Roman;Times;Serif"/>
          <w:b/>
          <w:i w:val="false"/>
          <w:caps w:val="false"/>
          <w:smallCaps w:val="false"/>
          <w:sz w:val="20"/>
        </w:rPr>
        <w:t>Exhibit 31.2</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spacing w:before="0" w:after="0"/>
        <w:ind w:left="20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Phillip Silverman, Interim Chief Financial Officer of Chicago Atlantic Real Estate Finance, Inc., certify that:</w:t>
      </w:r>
    </w:p>
    <w:p>
      <w:pPr>
        <w:pStyle w:val="TextBody"/>
        <w:spacing w:before="0" w:after="0"/>
        <w:ind w:left="1160" w:right="0" w:hanging="480"/>
        <w:rPr>
          <w:caps w:val="false"/>
          <w:smallCaps w:val="false"/>
        </w:rPr>
      </w:pPr>
      <w:r>
        <w:rPr>
          <w:caps w:val="false"/>
          <w:smallCaps w:val="false"/>
        </w:rPr>
        <w:t> </w:t>
      </w:r>
    </w:p>
    <w:tbl>
      <w:tblPr>
        <w:tblW w:w="8065" w:type="dxa"/>
        <w:jc w:val="left"/>
        <w:tblInd w:w="0" w:type="dxa"/>
        <w:tblCellMar>
          <w:top w:w="0" w:type="dxa"/>
          <w:left w:w="0" w:type="dxa"/>
          <w:bottom w:w="0" w:type="dxa"/>
          <w:right w:w="0" w:type="dxa"/>
        </w:tblCellMar>
      </w:tblPr>
      <w:tblGrid>
        <w:gridCol w:w="185"/>
        <w:gridCol w:w="7880"/>
      </w:tblGrid>
      <w:tr>
        <w:trPr/>
        <w:tc>
          <w:tcPr>
            <w:tcW w:w="1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788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Chicago Atlantic Real Estate Finance, Inc.;</w:t>
            </w:r>
          </w:p>
        </w:tc>
      </w:tr>
    </w:tbl>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7"/>
        <w:gridCol w:w="10048"/>
      </w:tblGrid>
      <w:tr>
        <w:trPr/>
        <w:tc>
          <w:tcPr>
            <w:tcW w:w="15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4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29"/>
        <w:gridCol w:w="10001"/>
      </w:tblGrid>
      <w:tr>
        <w:trPr/>
        <w:tc>
          <w:tcPr>
            <w:tcW w:w="75"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1000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4"/>
        <w:gridCol w:w="9986"/>
      </w:tblGrid>
      <w:tr>
        <w:trPr/>
        <w:tc>
          <w:tcPr>
            <w:tcW w:w="7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86" w:type="dxa"/>
            <w:tcBorders/>
            <w:shd w:fill="auto" w:val="clear"/>
            <w:vAlign w:val="center"/>
          </w:tcPr>
          <w:p>
            <w:pPr>
              <w:pStyle w:val="TableContents"/>
              <w:spacing w:before="0" w:after="283"/>
              <w:rPr>
                <w:rFonts w:ascii="Times New Roman;Times;Serif" w:hAnsi="Times New Roman;Times;Serif"/>
                <w:sz w:val="20"/>
                <w:highlight w:val="white"/>
              </w:rPr>
            </w:pPr>
            <w:r>
              <w:rPr>
                <w:rFonts w:ascii="Times New Roman;Times;Serif" w:hAnsi="Times New Roman;Times;Serif"/>
                <w:sz w:val="20"/>
                <w:highlight w:val="white"/>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5"/>
        <w:gridCol w:w="9995"/>
      </w:tblGrid>
      <w:tr>
        <w:trPr/>
        <w:tc>
          <w:tcPr>
            <w:tcW w:w="75"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w:t>
            </w:r>
          </w:p>
        </w:tc>
        <w:tc>
          <w:tcPr>
            <w:tcW w:w="999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4"/>
        <w:gridCol w:w="9986"/>
      </w:tblGrid>
      <w:tr>
        <w:trPr/>
        <w:tc>
          <w:tcPr>
            <w:tcW w:w="75"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w:t>
            </w:r>
          </w:p>
        </w:tc>
        <w:tc>
          <w:tcPr>
            <w:tcW w:w="998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4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7"/>
        <w:gridCol w:w="9993"/>
      </w:tblGrid>
      <w:tr>
        <w:trPr/>
        <w:tc>
          <w:tcPr>
            <w:tcW w:w="75"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64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67"/>
        <w:gridCol w:w="9963"/>
      </w:tblGrid>
      <w:tr>
        <w:trPr/>
        <w:tc>
          <w:tcPr>
            <w:tcW w:w="75"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w:t>
            </w:r>
          </w:p>
        </w:tc>
        <w:tc>
          <w:tcPr>
            <w:tcW w:w="996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5625" w:type="dxa"/>
        <w:jc w:val="left"/>
        <w:tblInd w:w="0" w:type="dxa"/>
        <w:tblCellMar>
          <w:top w:w="0" w:type="dxa"/>
          <w:left w:w="0" w:type="dxa"/>
          <w:bottom w:w="0" w:type="dxa"/>
          <w:right w:w="0" w:type="dxa"/>
        </w:tblCellMar>
      </w:tblPr>
      <w:tblGrid>
        <w:gridCol w:w="1550"/>
        <w:gridCol w:w="320"/>
        <w:gridCol w:w="3755"/>
      </w:tblGrid>
      <w:tr>
        <w:trPr/>
        <w:tc>
          <w:tcPr>
            <w:tcW w:w="15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May 9, 2023</w:t>
            </w:r>
          </w:p>
        </w:tc>
        <w:tc>
          <w:tcPr>
            <w:tcW w:w="4075" w:type="dxa"/>
            <w:gridSpan w:val="2"/>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4075" w:type="dxa"/>
            <w:gridSpan w:val="2"/>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Phillip Silverman</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75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Phillip Silverman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r>
    </w:tbl>
    <w:p>
      <w:pPr>
        <w:pStyle w:val="TextBody"/>
        <w:spacing w:before="0" w:after="0"/>
        <w:ind w:left="0" w:right="0" w:hanging="0"/>
        <w:rPr>
          <w:caps w:val="false"/>
          <w:smallCaps w:val="false"/>
        </w:rPr>
      </w:pPr>
      <w:r>
        <w:rPr>
          <w:caps w:val="false"/>
          <w:smallCaps w:val="false"/>
        </w:rPr>
        <w:t> </w:t>
      </w:r>
      <w:r>
        <w:br w:type="page"/>
      </w:r>
    </w:p>
    <w:p>
      <w:pPr>
        <w:pStyle w:val="TextBody"/>
        <w:spacing w:before="0" w:after="0"/>
        <w:ind w:left="200" w:right="0" w:hanging="0"/>
        <w:jc w:val="right"/>
        <w:rPr>
          <w:rFonts w:ascii="Times New Roman;Times;Serif" w:hAnsi="Times New Roman;Times;Serif"/>
          <w:b/>
          <w:i w:val="false"/>
          <w:caps w:val="false"/>
          <w:smallCaps w:val="false"/>
          <w:sz w:val="20"/>
        </w:rPr>
      </w:pPr>
      <w:bookmarkStart w:id="24" w:name="f10q0323ex32-1_chicago.htm"/>
      <w:bookmarkStart w:id="25" w:name="ksf10q0323ex321_chicago"/>
      <w:bookmarkEnd w:id="24"/>
      <w:bookmarkEnd w:id="25"/>
      <w:r>
        <w:rPr>
          <w:rFonts w:ascii="Times New Roman;Times;Serif" w:hAnsi="Times New Roman;Times;Serif"/>
          <w:b/>
          <w:i w:val="false"/>
          <w:caps w:val="false"/>
          <w:smallCaps w:val="false"/>
          <w:sz w:val="20"/>
        </w:rPr>
        <w:t>Exhibit 32.1</w:t>
      </w:r>
    </w:p>
    <w:p>
      <w:pPr>
        <w:pStyle w:val="TextBody"/>
        <w:spacing w:before="0" w:after="0"/>
        <w:ind w:left="200" w:right="0" w:hanging="0"/>
        <w:jc w:val="center"/>
        <w:rPr>
          <w:caps w:val="false"/>
          <w:smallCaps w:val="false"/>
        </w:rPr>
      </w:pPr>
      <w:r>
        <w:rPr>
          <w:caps w:val="false"/>
          <w:smallCaps w:val="false"/>
        </w:rPr>
        <w:t> </w:t>
      </w:r>
    </w:p>
    <w:p>
      <w:pPr>
        <w:pStyle w:val="TextBody"/>
        <w:spacing w:before="0" w:after="0"/>
        <w:ind w:left="20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br/>
        <w:t>PURSUANT TO</w:t>
        <w:br/>
        <w:t>SECTION 906 OF THE SARBANES-OXLEY ACT OF 2002 (18 U.S.C. 1350)</w:t>
      </w:r>
    </w:p>
    <w:p>
      <w:pPr>
        <w:pStyle w:val="TextBody"/>
        <w:spacing w:before="0" w:after="0"/>
        <w:ind w:left="200" w:right="0" w:firstLine="48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for the period ended March 31, 2023 (the “Report”) of Chicago Atlantic Real Estate Finance, Inc. (the “Registrant”), as filed with the Securities and Exchange Commission on the date hereof, I, Anthony Cappell, the Chief Executive Officer of the Registrant, hereby certify, to the best of my knowledge, that:</w:t>
      </w:r>
    </w:p>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0"/>
        <w:gridCol w:w="9927"/>
      </w:tblGrid>
      <w:tr>
        <w:trPr/>
        <w:tc>
          <w:tcPr>
            <w:tcW w:w="3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92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4"/>
        <w:gridCol w:w="9933"/>
      </w:tblGrid>
      <w:tr>
        <w:trPr/>
        <w:tc>
          <w:tcPr>
            <w:tcW w:w="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spacing w:before="0" w:after="0"/>
        <w:ind w:left="1160" w:right="0" w:hanging="480"/>
        <w:rPr>
          <w:caps w:val="false"/>
          <w:smallCaps w:val="false"/>
        </w:rPr>
      </w:pPr>
      <w:r>
        <w:rPr>
          <w:caps w:val="false"/>
          <w:smallCaps w:val="false"/>
        </w:rPr>
        <w:t> </w:t>
      </w:r>
    </w:p>
    <w:tbl>
      <w:tblPr>
        <w:tblW w:w="4875" w:type="dxa"/>
        <w:jc w:val="left"/>
        <w:tblInd w:w="0" w:type="dxa"/>
        <w:tblCellMar>
          <w:top w:w="0" w:type="dxa"/>
          <w:left w:w="0" w:type="dxa"/>
          <w:bottom w:w="0" w:type="dxa"/>
          <w:right w:w="0" w:type="dxa"/>
        </w:tblCellMar>
      </w:tblPr>
      <w:tblGrid>
        <w:gridCol w:w="1550"/>
        <w:gridCol w:w="320"/>
        <w:gridCol w:w="3005"/>
      </w:tblGrid>
      <w:tr>
        <w:trPr/>
        <w:tc>
          <w:tcPr>
            <w:tcW w:w="15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May 9, 2023</w:t>
            </w:r>
          </w:p>
        </w:tc>
        <w:tc>
          <w:tcPr>
            <w:tcW w:w="3325" w:type="dxa"/>
            <w:gridSpan w:val="2"/>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3325" w:type="dxa"/>
            <w:gridSpan w:val="2"/>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00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Anthony Cappell</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0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Cappell</w:t>
              <w:br/>
              <w:t>Chief Executive Officer and Director</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200" w:right="0" w:hanging="0"/>
        <w:jc w:val="right"/>
        <w:rPr>
          <w:caps w:val="false"/>
          <w:smallCaps w:val="false"/>
        </w:rPr>
      </w:pPr>
      <w:r>
        <w:rPr>
          <w:caps w:val="false"/>
          <w:smallCaps w:val="false"/>
        </w:rPr>
        <w:t> </w:t>
      </w:r>
      <w:r>
        <w:br w:type="page"/>
      </w:r>
    </w:p>
    <w:p>
      <w:pPr>
        <w:pStyle w:val="TextBody"/>
        <w:jc w:val="right"/>
        <w:rPr>
          <w:b/>
        </w:rPr>
      </w:pPr>
      <w:bookmarkStart w:id="26" w:name="f10q0323ex32-2_chicago.htm"/>
      <w:bookmarkStart w:id="27" w:name="ksf10q0323ex322_chicago"/>
      <w:bookmarkEnd w:id="26"/>
      <w:bookmarkEnd w:id="27"/>
      <w:r>
        <w:rPr>
          <w:b/>
        </w:rPr>
        <w:t>Exhibit 32.2</w:t>
      </w:r>
    </w:p>
    <w:p>
      <w:pPr>
        <w:pStyle w:val="TextBody"/>
        <w:spacing w:before="0" w:after="0"/>
        <w:ind w:left="200" w:right="0" w:hanging="0"/>
        <w:jc w:val="center"/>
        <w:rPr>
          <w:caps w:val="false"/>
          <w:smallCaps w:val="false"/>
        </w:rPr>
      </w:pPr>
      <w:r>
        <w:rPr>
          <w:caps w:val="false"/>
          <w:smallCaps w:val="false"/>
        </w:rPr>
        <w:t> </w:t>
      </w:r>
    </w:p>
    <w:p>
      <w:pPr>
        <w:pStyle w:val="TextBody"/>
        <w:spacing w:before="0" w:after="0"/>
        <w:ind w:left="20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br/>
        <w:t>PURSUANT TO</w:t>
        <w:br/>
        <w:t>SECTION 906 OF THE SARBANES-OXLEY ACT OF 2002 (18 U.S.C. 1350)</w:t>
      </w:r>
    </w:p>
    <w:p>
      <w:pPr>
        <w:pStyle w:val="TextBody"/>
        <w:spacing w:before="0" w:after="0"/>
        <w:ind w:left="200" w:right="0" w:firstLine="48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for the period ended March 31, 2023 (the “Report”) of Chicago Atlantic Real Estate Finance, Inc. (the “Registrant”), as filed with the Securities and Exchange Commission on the date hereof, I, Phillip Silverman, the Interim Chief Financial Officer of the Registrant, hereby certify, to the best of my knowledge, that:</w:t>
      </w:r>
    </w:p>
    <w:p>
      <w:pPr>
        <w:pStyle w:val="TextBody"/>
        <w:spacing w:before="0" w:after="0"/>
        <w:ind w:left="11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40"/>
        <w:gridCol w:w="9927"/>
      </w:tblGrid>
      <w:tr>
        <w:trPr/>
        <w:tc>
          <w:tcPr>
            <w:tcW w:w="3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(1)</w:t>
            </w:r>
          </w:p>
        </w:tc>
        <w:tc>
          <w:tcPr>
            <w:tcW w:w="992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73" w:type="dxa"/>
        <w:jc w:val="left"/>
        <w:tblInd w:w="0" w:type="dxa"/>
        <w:tblCellMar>
          <w:top w:w="0" w:type="dxa"/>
          <w:left w:w="0" w:type="dxa"/>
          <w:bottom w:w="0" w:type="dxa"/>
          <w:right w:w="0" w:type="dxa"/>
        </w:tblCellMar>
      </w:tblPr>
      <w:tblGrid>
        <w:gridCol w:w="38"/>
        <w:gridCol w:w="60"/>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left"/>
              <w:rPr/>
            </w:pPr>
            <w:r>
              <w:rPr/>
              <w:t> </w:t>
            </w:r>
          </w:p>
        </w:tc>
        <w:tc>
          <w:tcPr>
            <w:tcW w:w="75" w:type="dxa"/>
            <w:tcBorders/>
            <w:shd w:fill="auto" w:val="clear"/>
            <w:vAlign w:val="center"/>
          </w:tcPr>
          <w:p>
            <w:pPr>
              <w:pStyle w:val="TableContents"/>
              <w:spacing w:before="0" w:after="283"/>
              <w:jc w:val="both"/>
              <w:rPr/>
            </w:pPr>
            <w:r>
              <w:rPr/>
              <w:t> </w:t>
            </w:r>
          </w:p>
        </w:tc>
      </w:tr>
    </w:tbl>
    <w:tbl>
      <w:tblPr>
        <w:tblW w:w="10205" w:type="dxa"/>
        <w:jc w:val="left"/>
        <w:tblInd w:w="0" w:type="dxa"/>
        <w:tblCellMar>
          <w:top w:w="0" w:type="dxa"/>
          <w:left w:w="0" w:type="dxa"/>
          <w:bottom w:w="0" w:type="dxa"/>
          <w:right w:w="0" w:type="dxa"/>
        </w:tblCellMar>
      </w:tblPr>
      <w:tblGrid>
        <w:gridCol w:w="38"/>
        <w:gridCol w:w="234"/>
        <w:gridCol w:w="9933"/>
      </w:tblGrid>
      <w:tr>
        <w:trPr/>
        <w:tc>
          <w:tcPr>
            <w:tcW w:w="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(2)</w:t>
            </w:r>
          </w:p>
        </w:tc>
        <w:tc>
          <w:tcPr>
            <w:tcW w:w="993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Registrant.</w:t>
            </w:r>
          </w:p>
        </w:tc>
      </w:tr>
    </w:tbl>
    <w:p>
      <w:pPr>
        <w:pStyle w:val="TextBody"/>
        <w:spacing w:before="0" w:after="0"/>
        <w:ind w:left="1160" w:right="0" w:hanging="480"/>
        <w:rPr>
          <w:caps w:val="false"/>
          <w:smallCaps w:val="false"/>
        </w:rPr>
      </w:pPr>
      <w:r>
        <w:rPr>
          <w:caps w:val="false"/>
          <w:smallCaps w:val="false"/>
        </w:rPr>
        <w:t> </w:t>
      </w:r>
    </w:p>
    <w:tbl>
      <w:tblPr>
        <w:tblW w:w="5625" w:type="dxa"/>
        <w:jc w:val="left"/>
        <w:tblInd w:w="0" w:type="dxa"/>
        <w:tblCellMar>
          <w:top w:w="0" w:type="dxa"/>
          <w:left w:w="0" w:type="dxa"/>
          <w:bottom w:w="0" w:type="dxa"/>
          <w:right w:w="0" w:type="dxa"/>
        </w:tblCellMar>
      </w:tblPr>
      <w:tblGrid>
        <w:gridCol w:w="1550"/>
        <w:gridCol w:w="320"/>
        <w:gridCol w:w="3755"/>
      </w:tblGrid>
      <w:tr>
        <w:trPr/>
        <w:tc>
          <w:tcPr>
            <w:tcW w:w="15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May 9, 2023</w:t>
            </w:r>
          </w:p>
        </w:tc>
        <w:tc>
          <w:tcPr>
            <w:tcW w:w="4075" w:type="dxa"/>
            <w:gridSpan w:val="2"/>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4075" w:type="dxa"/>
            <w:gridSpan w:val="2"/>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5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Phillip Silverman</w:t>
            </w:r>
          </w:p>
        </w:tc>
      </w:tr>
      <w:tr>
        <w:trPr/>
        <w:tc>
          <w:tcPr>
            <w:tcW w:w="155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75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Phillip Silverman</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26445</Words>
  <CharactersWithSpaces>170546</CharactersWithSpaces>
  <Paragraphs>7575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